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Young Offenders and Prisons Legislation Amendment Act 2024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Young Offenders and Prisons Legislation Amendment Act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_Toc184389358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_Toc184389359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Prisons Act 1981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_Toc184389361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 amended</w:t>
      </w:r>
      <w:r>
        <w:tab/>
      </w:r>
      <w:r>
        <w:fldChar w:fldCharType="begin"/>
      </w:r>
      <w:r>
        <w:instrText xml:space="preserve"> PAGEREF _Toc184389362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Sections 14A and 14B inserted</w:t>
      </w:r>
      <w:r>
        <w:tab/>
      </w:r>
      <w:r>
        <w:fldChar w:fldCharType="begin"/>
      </w:r>
      <w:r>
        <w:instrText xml:space="preserve"> PAGEREF _Toc184389363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14A.</w:t>
      </w:r>
      <w:r>
        <w:rPr>
          <w:noProof/>
        </w:rPr>
        <w:tab/>
        <w:t xml:space="preserve">Designation of prison officers for purposes of </w:t>
      </w:r>
      <w:r>
        <w:rPr>
          <w:i/>
          <w:iCs/>
          <w:noProof/>
        </w:rPr>
        <w:t>Young Offenders Act 1994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_Toc184389364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14B.</w:t>
      </w:r>
      <w:r>
        <w:rPr>
          <w:noProof/>
        </w:rPr>
        <w:tab/>
        <w:t xml:space="preserve">Directions to special custodial officers and prison officers for purposes of </w:t>
      </w:r>
      <w:r>
        <w:rPr>
          <w:i/>
          <w:iCs/>
          <w:noProof/>
        </w:rPr>
        <w:t>Young Offenders Act 1994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_Toc184389365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113 amended</w:t>
      </w:r>
      <w:r>
        <w:tab/>
      </w:r>
      <w:r>
        <w:fldChar w:fldCharType="begin"/>
      </w:r>
      <w:r>
        <w:instrText xml:space="preserve"> PAGEREF _Toc184389366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Young Offenders Act 1994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_Toc184389368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Section 3 amended</w:t>
      </w:r>
      <w:r>
        <w:tab/>
      </w:r>
      <w:r>
        <w:fldChar w:fldCharType="begin"/>
      </w:r>
      <w:r>
        <w:instrText xml:space="preserve"> PAGEREF _Toc184389369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Sections 11AB and 11AC inserted</w:t>
      </w:r>
      <w:r>
        <w:tab/>
      </w:r>
      <w:r>
        <w:fldChar w:fldCharType="begin"/>
      </w:r>
      <w:r>
        <w:instrText xml:space="preserve"> PAGEREF _Toc184389370 \h </w:instrText>
      </w:r>
      <w:r>
        <w:fldChar w:fldCharType="separate"/>
      </w:r>
      <w:r>
        <w:t>8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11AB.</w:t>
      </w:r>
      <w:r>
        <w:rPr>
          <w:noProof/>
        </w:rPr>
        <w:tab/>
        <w:t>Designation of prison officers as special custodial officers for the purposes of this Act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_Toc184389371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11AC.</w:t>
      </w:r>
      <w:r>
        <w:rPr>
          <w:noProof/>
        </w:rPr>
        <w:tab/>
        <w:t xml:space="preserve">Return of special custodial officers to duties under </w:t>
      </w:r>
      <w:r>
        <w:rPr>
          <w:i/>
          <w:iCs/>
          <w:noProof/>
        </w:rPr>
        <w:t>Prisons Act 1981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_Toc184389372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Section 11A amended</w:t>
      </w:r>
      <w:r>
        <w:tab/>
      </w:r>
      <w:r>
        <w:fldChar w:fldCharType="begin"/>
      </w:r>
      <w:r>
        <w:instrText xml:space="preserve"> PAGEREF _Toc184389373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Section 11B amended</w:t>
      </w:r>
      <w:r>
        <w:tab/>
      </w:r>
      <w:r>
        <w:fldChar w:fldCharType="begin"/>
      </w:r>
      <w:r>
        <w:instrText xml:space="preserve"> PAGEREF _Toc184389374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keepNext/>
        <w:rPr>
          <w:rFonts w:asciiTheme="minorHAnsi" w:eastAsiaTheme="minorEastAsia" w:hAnsiTheme="minorHAnsi" w:cstheme="minorBidi"/>
          <w:szCs w:val="22"/>
        </w:rPr>
      </w:pPr>
      <w:r>
        <w:lastRenderedPageBreak/>
        <w:t>12.</w:t>
      </w:r>
      <w:r>
        <w:tab/>
        <w:t>Section 11CAA inserted</w:t>
      </w:r>
      <w:r>
        <w:tab/>
      </w:r>
      <w:r>
        <w:fldChar w:fldCharType="begin"/>
      </w:r>
      <w:r>
        <w:instrText xml:space="preserve"> PAGEREF _Toc184389375 \h </w:instrText>
      </w:r>
      <w:r>
        <w:fldChar w:fldCharType="separate"/>
      </w:r>
      <w:r>
        <w:t>10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11CAA.</w:t>
      </w:r>
      <w:r>
        <w:rPr>
          <w:noProof/>
        </w:rPr>
        <w:tab/>
        <w:t>Application of Division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_Toc184389376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Section 11C amended</w:t>
      </w:r>
      <w:r>
        <w:tab/>
      </w:r>
      <w:r>
        <w:fldChar w:fldCharType="begin"/>
      </w:r>
      <w:r>
        <w:instrText xml:space="preserve"> PAGEREF _Toc184389377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Section 11E replaced</w:t>
      </w:r>
      <w:r>
        <w:tab/>
      </w:r>
      <w:r>
        <w:fldChar w:fldCharType="begin"/>
      </w:r>
      <w:r>
        <w:instrText xml:space="preserve"> PAGEREF _Toc184389378 \h </w:instrText>
      </w:r>
      <w:r>
        <w:fldChar w:fldCharType="separate"/>
      </w:r>
      <w:r>
        <w:t>11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11E.</w:t>
      </w:r>
      <w:r>
        <w:rPr>
          <w:noProof/>
        </w:rPr>
        <w:tab/>
        <w:t>Use of control weapons by special custodial officers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_Toc184389379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Section 192A inserted</w:t>
      </w:r>
      <w:r>
        <w:tab/>
      </w:r>
      <w:r>
        <w:fldChar w:fldCharType="begin"/>
      </w:r>
      <w:r>
        <w:instrText xml:space="preserve"> PAGEREF _Toc184389380 \h </w:instrText>
      </w:r>
      <w:r>
        <w:fldChar w:fldCharType="separate"/>
      </w:r>
      <w:r>
        <w:t>12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192A.</w:t>
      </w:r>
      <w:r>
        <w:rPr>
          <w:noProof/>
        </w:rPr>
        <w:tab/>
        <w:t>Visitor may be refused entry or removed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_Toc184389381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Part 11 Division 3 Subdivision 3 inserted</w:t>
      </w:r>
      <w:r>
        <w:tab/>
      </w:r>
      <w:r>
        <w:fldChar w:fldCharType="begin"/>
      </w:r>
      <w:r>
        <w:instrText xml:space="preserve"> PAGEREF _Toc184389382 \h </w:instrText>
      </w:r>
      <w:r>
        <w:fldChar w:fldCharType="separate"/>
      </w:r>
      <w:r>
        <w:t>13</w:t>
      </w:r>
      <w:r>
        <w:fldChar w:fldCharType="end"/>
      </w:r>
    </w:p>
    <w:p>
      <w:pPr>
        <w:pStyle w:val="TOC7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 xml:space="preserve">Subdivision 3 — Transitional provision for </w:t>
      </w:r>
      <w:r>
        <w:rPr>
          <w:i/>
          <w:noProof/>
        </w:rPr>
        <w:t>Young Offenders and Prisons Legislation Amendment Act 2024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235E.</w:t>
      </w:r>
      <w:r>
        <w:rPr>
          <w:noProof/>
        </w:rPr>
        <w:tab/>
        <w:t>Prison officer assisting taken to be special custodial officer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_Toc184389384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Young Offenders and Prisons Legislation Amendment Act 2024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>No. 48 of 2024</w:t>
      </w:r>
    </w:p>
    <w:p>
      <w:pPr>
        <w:pStyle w:val="LongTitle"/>
      </w:pPr>
      <w:r>
        <w:t>An Act to amend the</w:t>
      </w:r>
      <w:r>
        <w:rPr>
          <w:iCs/>
        </w:rPr>
        <w:t xml:space="preserve"> </w:t>
      </w:r>
      <w:r>
        <w:rPr>
          <w:i/>
          <w:snapToGrid w:val="0"/>
        </w:rPr>
        <w:t>Prisons Act 1981</w:t>
      </w:r>
      <w:r>
        <w:rPr>
          <w:snapToGrid w:val="0"/>
        </w:rPr>
        <w:t xml:space="preserve"> and the </w:t>
      </w:r>
      <w:r>
        <w:rPr>
          <w:i/>
          <w:snapToGrid w:val="0"/>
        </w:rPr>
        <w:t>Young Offenders Act 1994</w:t>
      </w:r>
      <w:r>
        <w:t>.</w:t>
      </w:r>
    </w:p>
    <w:p>
      <w:pPr>
        <w:pStyle w:val="AssentDate"/>
        <w:spacing w:before="240" w:after="480"/>
      </w:pPr>
      <w:r>
        <w:t>[</w:t>
      </w:r>
      <w:r>
        <w:rPr>
          <w:i/>
        </w:rPr>
        <w:t>Assented to 6 December 2024</w:t>
      </w:r>
      <w:r>
        <w:t>]</w:t>
      </w:r>
    </w:p>
    <w:p>
      <w:pPr>
        <w:pStyle w:val="Enactment"/>
        <w:spacing w:before="0"/>
      </w:pPr>
      <w: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3" w:name="_Toc184389200"/>
      <w:bookmarkStart w:id="4" w:name="_Toc184389240"/>
      <w:bookmarkStart w:id="5" w:name="_Toc184389357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</w:p>
    <w:p>
      <w:pPr>
        <w:pStyle w:val="Heading5"/>
      </w:pPr>
      <w:bookmarkStart w:id="6" w:name="_Toc184389358"/>
      <w:r>
        <w:rPr>
          <w:rStyle w:val="CharSectno"/>
        </w:rPr>
        <w:t>1</w:t>
      </w:r>
      <w:r>
        <w:t>.</w:t>
      </w:r>
      <w:r>
        <w:tab/>
        <w:t>Short title</w:t>
      </w:r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Young Offenders and Prisons Legislation Amendment Act 2024</w:t>
      </w:r>
      <w:r>
        <w:t>.</w:t>
      </w:r>
    </w:p>
    <w:p>
      <w:pPr>
        <w:pStyle w:val="Heading5"/>
      </w:pPr>
      <w:bookmarkStart w:id="7" w:name="_Toc184389359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a day fixed by proclamation.</w:t>
      </w:r>
    </w:p>
    <w:p>
      <w:pPr>
        <w:pStyle w:val="Heading2"/>
      </w:pPr>
      <w:bookmarkStart w:id="8" w:name="_Toc184389203"/>
      <w:bookmarkStart w:id="9" w:name="_Toc184389243"/>
      <w:bookmarkStart w:id="10" w:name="_Toc184389360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Prisons Act 1981</w:t>
      </w:r>
      <w:r>
        <w:rPr>
          <w:rStyle w:val="CharPartText"/>
        </w:rPr>
        <w:t xml:space="preserve"> amended</w:t>
      </w:r>
      <w:bookmarkEnd w:id="8"/>
      <w:bookmarkEnd w:id="9"/>
      <w:bookmarkEnd w:id="10"/>
    </w:p>
    <w:p>
      <w:pPr>
        <w:pStyle w:val="Heading5"/>
        <w:rPr>
          <w:snapToGrid w:val="0"/>
        </w:rPr>
      </w:pPr>
      <w:bookmarkStart w:id="11" w:name="_Toc18438936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Prisons Act 1981</w:t>
      </w:r>
      <w:r>
        <w:t>.</w:t>
      </w:r>
    </w:p>
    <w:p>
      <w:pPr>
        <w:pStyle w:val="Heading5"/>
      </w:pPr>
      <w:bookmarkStart w:id="12" w:name="_Toc184389362"/>
      <w:r>
        <w:rPr>
          <w:rStyle w:val="CharSectno"/>
        </w:rPr>
        <w:t>4</w:t>
      </w:r>
      <w:r>
        <w:t>.</w:t>
      </w:r>
      <w:r>
        <w:tab/>
        <w:t>Section 3 amended</w:t>
      </w:r>
      <w:bookmarkEnd w:id="12"/>
    </w:p>
    <w:p>
      <w:pPr>
        <w:pStyle w:val="Subsection"/>
      </w:pPr>
      <w:r>
        <w:tab/>
      </w:r>
      <w:r>
        <w:tab/>
        <w:t>In section 3(1) insert in alphabetical order:</w:t>
      </w:r>
    </w:p>
    <w:p>
      <w:pPr>
        <w:pStyle w:val="BlankOpen"/>
      </w:pPr>
    </w:p>
    <w:p>
      <w:pPr>
        <w:pStyle w:val="zDefstart"/>
      </w:pPr>
      <w:r>
        <w:rPr>
          <w:bCs/>
        </w:rPr>
        <w:tab/>
      </w:r>
      <w:r>
        <w:rPr>
          <w:rStyle w:val="CharDefText"/>
        </w:rPr>
        <w:t>CEO (Young Offenders)</w:t>
      </w:r>
      <w:r>
        <w:t xml:space="preserve"> means the chief executive officer as defined in the </w:t>
      </w:r>
      <w:r>
        <w:rPr>
          <w:i/>
          <w:iCs/>
        </w:rPr>
        <w:t>Young Offenders Act 1994</w:t>
      </w:r>
      <w:r>
        <w:t xml:space="preserve"> section 3(1);</w:t>
      </w:r>
    </w:p>
    <w:p>
      <w:pPr>
        <w:pStyle w:val="BlankClose"/>
      </w:pPr>
    </w:p>
    <w:p>
      <w:pPr>
        <w:pStyle w:val="Heading5"/>
      </w:pPr>
      <w:bookmarkStart w:id="13" w:name="_Toc184389363"/>
      <w:r>
        <w:rPr>
          <w:rStyle w:val="CharSectno"/>
        </w:rPr>
        <w:t>5</w:t>
      </w:r>
      <w:r>
        <w:t>.</w:t>
      </w:r>
      <w:r>
        <w:tab/>
        <w:t>Sections 14A and 14B inserted</w:t>
      </w:r>
      <w:bookmarkEnd w:id="13"/>
    </w:p>
    <w:p>
      <w:pPr>
        <w:pStyle w:val="Subsection"/>
      </w:pPr>
      <w:r>
        <w:tab/>
      </w:r>
      <w:r>
        <w:tab/>
        <w:t>After section 14 insert:</w:t>
      </w:r>
    </w:p>
    <w:p>
      <w:pPr>
        <w:pStyle w:val="BlankOpen"/>
      </w:pPr>
    </w:p>
    <w:p>
      <w:pPr>
        <w:pStyle w:val="zHeading5"/>
      </w:pPr>
      <w:bookmarkStart w:id="14" w:name="_Toc184389364"/>
      <w:r>
        <w:t>14A.</w:t>
      </w:r>
      <w:r>
        <w:tab/>
        <w:t xml:space="preserve">Designation of prison officers for purposes of </w:t>
      </w:r>
      <w:r>
        <w:rPr>
          <w:i/>
          <w:iCs/>
        </w:rPr>
        <w:t>Young Offenders Act 1994</w:t>
      </w:r>
      <w:bookmarkEnd w:id="14"/>
    </w:p>
    <w:p>
      <w:pPr>
        <w:pStyle w:val="zSubsection"/>
      </w:pPr>
      <w:r>
        <w:tab/>
        <w:t>(1)</w:t>
      </w:r>
      <w:r>
        <w:tab/>
        <w:t xml:space="preserve">If the chief executive officer receives a request from the CEO (Young Offenders) under the </w:t>
      </w:r>
      <w:r>
        <w:rPr>
          <w:i/>
          <w:iCs/>
        </w:rPr>
        <w:t>Young Offenders Act 1994</w:t>
      </w:r>
      <w:r>
        <w:t xml:space="preserve"> section 11AB(1)(a), the chief executive officer may designate a prison officer as a special custodial officer for the purposes of the </w:t>
      </w:r>
      <w:r>
        <w:rPr>
          <w:i/>
          <w:iCs/>
        </w:rPr>
        <w:t>Young Offenders Act 1994</w:t>
      </w:r>
      <w:r>
        <w:t>.</w:t>
      </w:r>
    </w:p>
    <w:p>
      <w:pPr>
        <w:pStyle w:val="zSubsection"/>
      </w:pPr>
      <w:r>
        <w:tab/>
        <w:t>(2)</w:t>
      </w:r>
      <w:r>
        <w:tab/>
        <w:t xml:space="preserve">The functions conferred on a prison officer under the </w:t>
      </w:r>
      <w:r>
        <w:rPr>
          <w:i/>
          <w:iCs/>
        </w:rPr>
        <w:t>Young Offenders Act 1994</w:t>
      </w:r>
      <w:r>
        <w:t xml:space="preserve"> because of a designation under subsection (1) — </w:t>
      </w:r>
    </w:p>
    <w:p>
      <w:pPr>
        <w:pStyle w:val="zIndenta"/>
      </w:pPr>
      <w:r>
        <w:tab/>
        <w:t>(a)</w:t>
      </w:r>
      <w:r>
        <w:tab/>
        <w:t>are in addition to the functions conferred on the prison officer by this Act or another written law; and</w:t>
      </w:r>
    </w:p>
    <w:p>
      <w:pPr>
        <w:pStyle w:val="zIndenta"/>
        <w:keepNext/>
        <w:keepLines/>
      </w:pPr>
      <w:r>
        <w:lastRenderedPageBreak/>
        <w:tab/>
        <w:t>(b)</w:t>
      </w:r>
      <w:r>
        <w:tab/>
        <w:t>cannot be performed by the prison officer unless the prison officer is given a direction by the chief executive officer under section 14B(2).</w:t>
      </w:r>
    </w:p>
    <w:p>
      <w:pPr>
        <w:pStyle w:val="zSubsection"/>
        <w:rPr>
          <w:snapToGrid w:val="0"/>
        </w:rPr>
      </w:pPr>
      <w:r>
        <w:rPr>
          <w:snapToGrid w:val="0"/>
        </w:rPr>
        <w:tab/>
      </w:r>
      <w:r>
        <w:t>(3)</w:t>
      </w:r>
      <w:r>
        <w:tab/>
        <w:t>A designation remains in force until 1 of the following occurs —</w:t>
      </w:r>
    </w:p>
    <w:p>
      <w:pPr>
        <w:pStyle w:val="zIndenta"/>
      </w:pPr>
      <w:r>
        <w:tab/>
        <w:t>(a)</w:t>
      </w:r>
      <w:r>
        <w:tab/>
        <w:t xml:space="preserve">the chief executive officer revokes the designation under subsection (4) or (5); </w:t>
      </w:r>
    </w:p>
    <w:p>
      <w:pPr>
        <w:pStyle w:val="zIndenta"/>
      </w:pPr>
      <w:r>
        <w:tab/>
        <w:t>(b)</w:t>
      </w:r>
      <w:r>
        <w:tab/>
        <w:t>the person in respect of whom the designation applies ceases to be a prison officer.</w:t>
      </w:r>
    </w:p>
    <w:p>
      <w:pPr>
        <w:pStyle w:val="zSubsection"/>
      </w:pPr>
      <w:r>
        <w:tab/>
        <w:t>(4)</w:t>
      </w:r>
      <w:r>
        <w:tab/>
        <w:t>The chief executive officer may revoke a designation if the chief executive officer considers it necessary for the effective performance of the chief executive officer’s functions under this Act.</w:t>
      </w:r>
    </w:p>
    <w:p>
      <w:pPr>
        <w:pStyle w:val="zSubsection"/>
      </w:pPr>
      <w:r>
        <w:tab/>
        <w:t>(5)</w:t>
      </w:r>
      <w:r>
        <w:tab/>
        <w:t xml:space="preserve">The chief executive officer must revoke a designation if requested to do so by the CEO (Young Offenders) under the </w:t>
      </w:r>
      <w:r>
        <w:rPr>
          <w:i/>
          <w:iCs/>
        </w:rPr>
        <w:t>Young Offenders Act 1994</w:t>
      </w:r>
      <w:r>
        <w:t xml:space="preserve"> section 11AC(2)(a).</w:t>
      </w:r>
    </w:p>
    <w:p>
      <w:pPr>
        <w:pStyle w:val="zSubsection"/>
      </w:pPr>
      <w:r>
        <w:tab/>
        <w:t>(6)</w:t>
      </w:r>
      <w:r>
        <w:tab/>
        <w:t>A designation or revocation under this section must be in writing.</w:t>
      </w:r>
    </w:p>
    <w:p>
      <w:pPr>
        <w:pStyle w:val="zHeading5"/>
      </w:pPr>
      <w:bookmarkStart w:id="15" w:name="_Toc184389365"/>
      <w:r>
        <w:t>14B.</w:t>
      </w:r>
      <w:r>
        <w:tab/>
        <w:t xml:space="preserve">Directions to special custodial officers and prison officers for purposes of </w:t>
      </w:r>
      <w:r>
        <w:rPr>
          <w:i/>
          <w:iCs/>
        </w:rPr>
        <w:t>Young Offenders Act 1994</w:t>
      </w:r>
      <w:bookmarkEnd w:id="15"/>
    </w:p>
    <w:p>
      <w:pPr>
        <w:pStyle w:val="zSubsection"/>
        <w:keepNext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In this section — </w:t>
      </w:r>
    </w:p>
    <w:p>
      <w:pPr>
        <w:pStyle w:val="zDefstart"/>
      </w:pPr>
      <w:r>
        <w:rPr>
          <w:bCs/>
        </w:rPr>
        <w:tab/>
      </w:r>
      <w:r>
        <w:rPr>
          <w:rStyle w:val="CharDefText"/>
        </w:rPr>
        <w:t>special custodial officer</w:t>
      </w:r>
      <w:r>
        <w:t xml:space="preserve"> means a prison officer designated under section 14A(1) as a special custodial officer for the purposes of the </w:t>
      </w:r>
      <w:r>
        <w:rPr>
          <w:i/>
        </w:rPr>
        <w:t>Young Offenders Act 1994</w:t>
      </w:r>
      <w:r>
        <w:t>.</w:t>
      </w:r>
    </w:p>
    <w:p>
      <w:pPr>
        <w:pStyle w:val="zSubsection"/>
        <w:keepNext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If the chief executive </w:t>
      </w:r>
      <w:r>
        <w:t>officer</w:t>
      </w:r>
      <w:r>
        <w:rPr>
          <w:snapToGrid w:val="0"/>
        </w:rPr>
        <w:t xml:space="preserve"> receives a request from the CEO (Young Offenders) under the </w:t>
      </w:r>
      <w:r>
        <w:rPr>
          <w:i/>
          <w:snapToGrid w:val="0"/>
        </w:rPr>
        <w:t xml:space="preserve">Young </w:t>
      </w:r>
      <w:r>
        <w:rPr>
          <w:i/>
          <w:snapToGrid w:val="0"/>
        </w:rPr>
        <w:lastRenderedPageBreak/>
        <w:t>Offenders Act 1994</w:t>
      </w:r>
      <w:r>
        <w:rPr>
          <w:snapToGrid w:val="0"/>
        </w:rPr>
        <w:t xml:space="preserve"> section 11AB(1)(b), the chief executive officer may — </w:t>
      </w:r>
    </w:p>
    <w:p>
      <w:pPr>
        <w:pStyle w:val="zIndenta"/>
        <w:rPr>
          <w:iCs/>
          <w:snapToGrid w:val="0"/>
        </w:rPr>
      </w:pPr>
      <w:r>
        <w:tab/>
        <w:t>(a)</w:t>
      </w:r>
      <w:r>
        <w:tab/>
      </w:r>
      <w:r>
        <w:rPr>
          <w:snapToGrid w:val="0"/>
        </w:rPr>
        <w:t xml:space="preserve">direct a </w:t>
      </w:r>
      <w:r>
        <w:t>special</w:t>
      </w:r>
      <w:r>
        <w:rPr>
          <w:snapToGrid w:val="0"/>
        </w:rPr>
        <w:t xml:space="preserve"> custodial officer to perform the functions conferred on the officer by the </w:t>
      </w:r>
      <w:r>
        <w:rPr>
          <w:i/>
          <w:snapToGrid w:val="0"/>
        </w:rPr>
        <w:t>Young Offenders Act 1994</w:t>
      </w:r>
      <w:r>
        <w:rPr>
          <w:iCs/>
          <w:snapToGrid w:val="0"/>
        </w:rPr>
        <w:t>; or</w:t>
      </w:r>
    </w:p>
    <w:p>
      <w:pPr>
        <w:pStyle w:val="zIndenta"/>
        <w:rPr>
          <w:iCs/>
          <w:snapToGrid w:val="0"/>
        </w:rPr>
      </w:pPr>
      <w:r>
        <w:tab/>
        <w:t>(b)</w:t>
      </w:r>
      <w:r>
        <w:tab/>
      </w:r>
      <w:r>
        <w:rPr>
          <w:snapToGrid w:val="0"/>
        </w:rPr>
        <w:t xml:space="preserve">if the chief executive officer thinks it necessary to do so in order to </w:t>
      </w:r>
      <w:r>
        <w:t>comply</w:t>
      </w:r>
      <w:r>
        <w:rPr>
          <w:snapToGrid w:val="0"/>
        </w:rPr>
        <w:t xml:space="preserve"> with the request — direct a prison officer to perform the functions conferred on a special custodial officer by the </w:t>
      </w:r>
      <w:r>
        <w:rPr>
          <w:i/>
          <w:snapToGrid w:val="0"/>
        </w:rPr>
        <w:t>Young Offenders Act 1994</w:t>
      </w:r>
      <w:r>
        <w:rPr>
          <w:iCs/>
          <w:snapToGrid w:val="0"/>
        </w:rPr>
        <w:t>.</w:t>
      </w:r>
    </w:p>
    <w:p>
      <w:pPr>
        <w:pStyle w:val="z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 xml:space="preserve">A prison officer given a direction under subsection (2)(b) is taken to be designated as a special custodial officer under section 14A(1) from the time the direction is given — </w:t>
      </w:r>
    </w:p>
    <w:p>
      <w:pPr>
        <w:pStyle w:val="zIndenta"/>
      </w:pPr>
      <w:r>
        <w:tab/>
        <w:t>(a)</w:t>
      </w:r>
      <w:r>
        <w:tab/>
        <w:t>for a period of 48 hours; or</w:t>
      </w:r>
    </w:p>
    <w:p>
      <w:pPr>
        <w:pStyle w:val="zIndenta"/>
      </w:pPr>
      <w:r>
        <w:tab/>
        <w:t>(b)</w:t>
      </w:r>
      <w:r>
        <w:tab/>
        <w:t xml:space="preserve">until it is, before the end of that period — </w:t>
      </w:r>
    </w:p>
    <w:p>
      <w:pPr>
        <w:pStyle w:val="zIndenti"/>
      </w:pPr>
      <w:r>
        <w:tab/>
        <w:t>(i)</w:t>
      </w:r>
      <w:r>
        <w:tab/>
        <w:t xml:space="preserve">superseded by a designation under section 14A(1); or </w:t>
      </w:r>
    </w:p>
    <w:p>
      <w:pPr>
        <w:pStyle w:val="zIndenti"/>
      </w:pPr>
      <w:r>
        <w:tab/>
        <w:t>(ii)</w:t>
      </w:r>
      <w:r>
        <w:tab/>
        <w:t>revoked under section 14A(4) or (5).</w:t>
      </w:r>
    </w:p>
    <w:p>
      <w:pPr>
        <w:pStyle w:val="zSubsection"/>
      </w:pPr>
      <w:r>
        <w:rPr>
          <w:snapToGrid w:val="0"/>
        </w:rPr>
        <w:tab/>
        <w:t>(4)</w:t>
      </w:r>
      <w:r>
        <w:rPr>
          <w:snapToGrid w:val="0"/>
        </w:rPr>
        <w:tab/>
        <w:t>If the request referred to in subsection (2) specifies that the CEO (Young Offenders) requires the special custodial officer to carry a control weapon, a direction under subsection (2) must require the special custodial officer to carry the control weapon.</w:t>
      </w:r>
    </w:p>
    <w:p>
      <w:pPr>
        <w:pStyle w:val="zSubsection"/>
        <w:rPr>
          <w:iCs/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 xml:space="preserve">The chief executive officer may direct a special custodial officer to cease performing functions under the </w:t>
      </w:r>
      <w:r>
        <w:rPr>
          <w:i/>
          <w:snapToGrid w:val="0"/>
        </w:rPr>
        <w:t>Young Offenders Act 1994</w:t>
      </w:r>
      <w:r>
        <w:rPr>
          <w:iCs/>
          <w:snapToGrid w:val="0"/>
        </w:rPr>
        <w:t>.</w:t>
      </w:r>
    </w:p>
    <w:p>
      <w:pPr>
        <w:pStyle w:val="zSubsection"/>
        <w:rPr>
          <w:snapToGrid w:val="0"/>
        </w:rPr>
      </w:pPr>
      <w:r>
        <w:rPr>
          <w:snapToGrid w:val="0"/>
        </w:rPr>
        <w:tab/>
        <w:t>(6)</w:t>
      </w:r>
      <w:r>
        <w:rPr>
          <w:snapToGrid w:val="0"/>
        </w:rPr>
        <w:tab/>
        <w:t xml:space="preserve">The chief executive officer must direct a special custodial officer to cease performing functions under the </w:t>
      </w:r>
      <w:r>
        <w:rPr>
          <w:i/>
          <w:snapToGrid w:val="0"/>
        </w:rPr>
        <w:t>Young Offenders Act 1994</w:t>
      </w:r>
      <w:r>
        <w:rPr>
          <w:snapToGrid w:val="0"/>
        </w:rPr>
        <w:t xml:space="preserve"> if requested to do so by the CEO (Young Offenders) under the </w:t>
      </w:r>
      <w:r>
        <w:rPr>
          <w:i/>
          <w:snapToGrid w:val="0"/>
        </w:rPr>
        <w:t>Young Offenders Act 1994</w:t>
      </w:r>
      <w:r>
        <w:rPr>
          <w:snapToGrid w:val="0"/>
        </w:rPr>
        <w:t xml:space="preserve"> section </w:t>
      </w:r>
      <w:r>
        <w:t>11AC</w:t>
      </w:r>
      <w:r>
        <w:rPr>
          <w:snapToGrid w:val="0"/>
        </w:rPr>
        <w:t>(2)(b).</w:t>
      </w:r>
    </w:p>
    <w:p>
      <w:pPr>
        <w:pStyle w:val="zSubsection"/>
        <w:rPr>
          <w:snapToGrid w:val="0"/>
        </w:rPr>
      </w:pPr>
      <w:r>
        <w:rPr>
          <w:snapToGrid w:val="0"/>
        </w:rPr>
        <w:lastRenderedPageBreak/>
        <w:tab/>
        <w:t>(7)</w:t>
      </w:r>
      <w:r>
        <w:rPr>
          <w:snapToGrid w:val="0"/>
        </w:rPr>
        <w:tab/>
        <w:t>An officer given a direction by the chief executive officer under this section must comply with the direction.</w:t>
      </w:r>
    </w:p>
    <w:p>
      <w:pPr>
        <w:pStyle w:val="zSubsection"/>
      </w:pPr>
      <w:r>
        <w:tab/>
        <w:t>(8)</w:t>
      </w:r>
      <w:r>
        <w:tab/>
        <w:t>A direction under this section may be given orally or in writing but if given orally must be put in writing as soon as practicable.</w:t>
      </w:r>
    </w:p>
    <w:p>
      <w:pPr>
        <w:pStyle w:val="zSubsection"/>
      </w:pPr>
      <w:r>
        <w:tab/>
        <w:t>(9)</w:t>
      </w:r>
      <w:r>
        <w:tab/>
        <w:t>A failure to put a direction in writing under subsection (8) does not invalidate the direction or anything done under the direction.</w:t>
      </w:r>
    </w:p>
    <w:p>
      <w:pPr>
        <w:pStyle w:val="BlankClose"/>
      </w:pPr>
    </w:p>
    <w:p>
      <w:pPr>
        <w:pStyle w:val="Heading5"/>
      </w:pPr>
      <w:bookmarkStart w:id="16" w:name="_Toc184389366"/>
      <w:r>
        <w:rPr>
          <w:rStyle w:val="CharSectno"/>
        </w:rPr>
        <w:t>6</w:t>
      </w:r>
      <w:r>
        <w:t>.</w:t>
      </w:r>
      <w:r>
        <w:tab/>
        <w:t>Section 113 amended</w:t>
      </w:r>
      <w:bookmarkEnd w:id="16"/>
    </w:p>
    <w:p>
      <w:pPr>
        <w:pStyle w:val="Subsection"/>
      </w:pPr>
      <w:r>
        <w:tab/>
      </w:r>
      <w:r>
        <w:tab/>
        <w:t xml:space="preserve">In section 113(1) in the definition of </w:t>
      </w:r>
      <w:r>
        <w:rPr>
          <w:b/>
          <w:bCs/>
          <w:i/>
          <w:iCs/>
        </w:rPr>
        <w:t>relevant information</w:t>
      </w:r>
      <w:r>
        <w:t xml:space="preserve"> delete paragraph (b) and insert:</w:t>
      </w:r>
    </w:p>
    <w:p>
      <w:pPr>
        <w:pStyle w:val="BlankOpen"/>
      </w:pPr>
    </w:p>
    <w:p>
      <w:pPr>
        <w:pStyle w:val="zDefpara"/>
      </w:pPr>
      <w:r>
        <w:tab/>
        <w:t>(b)</w:t>
      </w:r>
      <w:r>
        <w:tab/>
        <w:t xml:space="preserve">the performance of a function under — </w:t>
      </w:r>
    </w:p>
    <w:p>
      <w:pPr>
        <w:pStyle w:val="zDefsubpara"/>
      </w:pPr>
      <w:r>
        <w:tab/>
        <w:t>(i)</w:t>
      </w:r>
      <w:r>
        <w:tab/>
        <w:t>this Act; or</w:t>
      </w:r>
    </w:p>
    <w:p>
      <w:pPr>
        <w:pStyle w:val="zDefsubpara"/>
      </w:pPr>
      <w:r>
        <w:tab/>
        <w:t>(ii)</w:t>
      </w:r>
      <w:r>
        <w:tab/>
        <w:t xml:space="preserve">the </w:t>
      </w:r>
      <w:r>
        <w:rPr>
          <w:i/>
        </w:rPr>
        <w:t>Bail Act 1982</w:t>
      </w:r>
      <w:r>
        <w:t>; or</w:t>
      </w:r>
    </w:p>
    <w:p>
      <w:pPr>
        <w:pStyle w:val="zDefsubpara"/>
      </w:pPr>
      <w:r>
        <w:tab/>
        <w:t>(iii)</w:t>
      </w:r>
      <w:r>
        <w:tab/>
        <w:t xml:space="preserve">the </w:t>
      </w:r>
      <w:r>
        <w:rPr>
          <w:i/>
          <w:iCs/>
        </w:rPr>
        <w:t>Public Sector Management Act 1994</w:t>
      </w:r>
      <w:r>
        <w:t>;</w:t>
      </w:r>
    </w:p>
    <w:p>
      <w:pPr>
        <w:pStyle w:val="BlankClose"/>
      </w:pPr>
    </w:p>
    <w:p>
      <w:pPr>
        <w:pStyle w:val="Heading2"/>
      </w:pPr>
      <w:bookmarkStart w:id="17" w:name="_Toc184389210"/>
      <w:bookmarkStart w:id="18" w:name="_Toc184389250"/>
      <w:bookmarkStart w:id="19" w:name="_Toc184389367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Young Offenders Act 1994</w:t>
      </w:r>
      <w:r>
        <w:rPr>
          <w:rStyle w:val="CharPartText"/>
        </w:rPr>
        <w:t xml:space="preserve"> amended</w:t>
      </w:r>
      <w:bookmarkEnd w:id="17"/>
      <w:bookmarkEnd w:id="18"/>
      <w:bookmarkEnd w:id="19"/>
    </w:p>
    <w:p>
      <w:pPr>
        <w:pStyle w:val="Heading5"/>
        <w:rPr>
          <w:snapToGrid w:val="0"/>
        </w:rPr>
      </w:pPr>
      <w:bookmarkStart w:id="20" w:name="_Toc18438936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2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Young Offenders Act 1994</w:t>
      </w:r>
      <w:r>
        <w:t>.</w:t>
      </w:r>
    </w:p>
    <w:p>
      <w:pPr>
        <w:pStyle w:val="Heading5"/>
      </w:pPr>
      <w:bookmarkStart w:id="21" w:name="_Toc184389369"/>
      <w:r>
        <w:rPr>
          <w:rStyle w:val="CharSectno"/>
        </w:rPr>
        <w:t>8</w:t>
      </w:r>
      <w:r>
        <w:t>.</w:t>
      </w:r>
      <w:r>
        <w:tab/>
        <w:t>Section 3 amended</w:t>
      </w:r>
      <w:bookmarkEnd w:id="21"/>
    </w:p>
    <w:p>
      <w:pPr>
        <w:pStyle w:val="Subsection"/>
      </w:pPr>
      <w:r>
        <w:tab/>
        <w:t>(1)</w:t>
      </w:r>
      <w:r>
        <w:tab/>
        <w:t>In section 3(1)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ammunition</w:t>
      </w:r>
      <w:r>
        <w:t xml:space="preserve"> has the meaning given in the </w:t>
      </w:r>
      <w:r>
        <w:rPr>
          <w:i/>
          <w:iCs/>
        </w:rPr>
        <w:t>Firearms Act 2024</w:t>
      </w:r>
      <w:r>
        <w:t xml:space="preserve"> section 5;</w:t>
      </w:r>
    </w:p>
    <w:p>
      <w:pPr>
        <w:pStyle w:val="zDefstart"/>
      </w:pPr>
      <w:r>
        <w:rPr>
          <w:bCs/>
        </w:rPr>
        <w:tab/>
      </w:r>
      <w:r>
        <w:rPr>
          <w:rStyle w:val="CharDefText"/>
        </w:rPr>
        <w:t>CEO (Prisons)</w:t>
      </w:r>
      <w:r>
        <w:t xml:space="preserve"> means the chief executive officer as defined in the </w:t>
      </w:r>
      <w:r>
        <w:rPr>
          <w:i/>
          <w:iCs/>
        </w:rPr>
        <w:t>Prisons Act 1981</w:t>
      </w:r>
      <w:r>
        <w:t xml:space="preserve"> section 3(1);</w:t>
      </w:r>
    </w:p>
    <w:p>
      <w:pPr>
        <w:pStyle w:val="zDefstart"/>
      </w:pPr>
      <w:r>
        <w:rPr>
          <w:bCs/>
        </w:rPr>
        <w:tab/>
      </w:r>
      <w:r>
        <w:rPr>
          <w:rStyle w:val="CharDefText"/>
        </w:rPr>
        <w:t>control weapon</w:t>
      </w:r>
      <w:r>
        <w:t xml:space="preserve"> includes a firearm only if the firearm is used with ammunition prescribed by the regulations;</w:t>
      </w:r>
    </w:p>
    <w:p>
      <w:pPr>
        <w:pStyle w:val="zDefstart"/>
      </w:pPr>
      <w:r>
        <w:tab/>
      </w:r>
      <w:r>
        <w:rPr>
          <w:rStyle w:val="CharDefText"/>
        </w:rPr>
        <w:t>special custodial officer</w:t>
      </w:r>
      <w:r>
        <w:t xml:space="preserve"> means a prison officer designated under the </w:t>
      </w:r>
      <w:r>
        <w:rPr>
          <w:i/>
        </w:rPr>
        <w:t>Prisons Act 1981</w:t>
      </w:r>
      <w:r>
        <w:t xml:space="preserve"> section 14A(1) as a special custodial officer for the purposes of this Act;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section 3(1) in the definition of </w:t>
      </w:r>
      <w:r>
        <w:rPr>
          <w:b/>
          <w:bCs/>
          <w:i/>
          <w:iCs/>
        </w:rPr>
        <w:t>custodial officer</w:t>
      </w:r>
      <w:r>
        <w:t>:</w:t>
      </w:r>
    </w:p>
    <w:p>
      <w:pPr>
        <w:pStyle w:val="Indenta"/>
      </w:pPr>
      <w:r>
        <w:tab/>
        <w:t>(a)</w:t>
      </w:r>
      <w:r>
        <w:tab/>
        <w:t>in paragraph (b) delete “officer;”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officer; or</w:t>
      </w:r>
    </w:p>
    <w:p>
      <w:pPr>
        <w:pStyle w:val="BlankClose"/>
      </w:pPr>
    </w:p>
    <w:p>
      <w:pPr>
        <w:pStyle w:val="Indenta"/>
        <w:keepNext/>
      </w:pPr>
      <w:r>
        <w:tab/>
        <w:t>(b)</w:t>
      </w:r>
      <w:r>
        <w:tab/>
        <w:t>after paragraph (b) insert:</w:t>
      </w:r>
    </w:p>
    <w:p>
      <w:pPr>
        <w:pStyle w:val="BlankOpen"/>
      </w:pPr>
    </w:p>
    <w:p>
      <w:pPr>
        <w:pStyle w:val="zDefpara"/>
        <w:keepNext/>
      </w:pPr>
      <w:r>
        <w:tab/>
        <w:t>(c)</w:t>
      </w:r>
      <w:r>
        <w:tab/>
        <w:t>a special custodial officer;</w:t>
      </w:r>
    </w:p>
    <w:p>
      <w:pPr>
        <w:pStyle w:val="BlankClose"/>
      </w:pPr>
    </w:p>
    <w:p>
      <w:pPr>
        <w:pStyle w:val="Heading5"/>
      </w:pPr>
      <w:bookmarkStart w:id="22" w:name="_Toc184389370"/>
      <w:r>
        <w:rPr>
          <w:rStyle w:val="CharSectno"/>
        </w:rPr>
        <w:lastRenderedPageBreak/>
        <w:t>9</w:t>
      </w:r>
      <w:r>
        <w:t>.</w:t>
      </w:r>
      <w:r>
        <w:tab/>
        <w:t>Sections 11AB and 11AC inserted</w:t>
      </w:r>
      <w:bookmarkEnd w:id="22"/>
    </w:p>
    <w:p>
      <w:pPr>
        <w:pStyle w:val="Subsection"/>
        <w:keepNext/>
      </w:pPr>
      <w:r>
        <w:tab/>
      </w:r>
      <w:r>
        <w:tab/>
        <w:t>Before section 11A insert:</w:t>
      </w:r>
    </w:p>
    <w:p>
      <w:pPr>
        <w:pStyle w:val="BlankOpen"/>
      </w:pPr>
    </w:p>
    <w:p>
      <w:pPr>
        <w:pStyle w:val="zHeading5"/>
      </w:pPr>
      <w:bookmarkStart w:id="23" w:name="_Toc184389371"/>
      <w:r>
        <w:t>11AB.</w:t>
      </w:r>
      <w:r>
        <w:tab/>
        <w:t>Designation of prison officers as special custodial officers for the purposes of this Act</w:t>
      </w:r>
      <w:bookmarkEnd w:id="23"/>
    </w:p>
    <w:p>
      <w:pPr>
        <w:pStyle w:val="zSubsection"/>
      </w:pPr>
      <w:r>
        <w:rPr>
          <w:snapToGrid w:val="0"/>
        </w:rPr>
        <w:tab/>
        <w:t>(1)</w:t>
      </w:r>
      <w:r>
        <w:rPr>
          <w:snapToGrid w:val="0"/>
        </w:rPr>
        <w:tab/>
      </w:r>
      <w:r>
        <w:t xml:space="preserve">If the chief executive officer considers it necessary, the chief executive officer may request the CEO (Prisons) to do either or both of the following — </w:t>
      </w:r>
    </w:p>
    <w:p>
      <w:pPr>
        <w:pStyle w:val="zIndenta"/>
      </w:pPr>
      <w:r>
        <w:tab/>
        <w:t>(a)</w:t>
      </w:r>
      <w:r>
        <w:tab/>
        <w:t xml:space="preserve">designate under the </w:t>
      </w:r>
      <w:r>
        <w:rPr>
          <w:i/>
          <w:iCs/>
        </w:rPr>
        <w:t>Prisons Act 1981</w:t>
      </w:r>
      <w:r>
        <w:t xml:space="preserve"> section 14A(1) prison officers as special custodial officers for the purposes of this Act;</w:t>
      </w:r>
    </w:p>
    <w:p>
      <w:pPr>
        <w:pStyle w:val="zIndenta"/>
      </w:pPr>
      <w:r>
        <w:tab/>
        <w:t>(b)</w:t>
      </w:r>
      <w:r>
        <w:tab/>
        <w:t xml:space="preserve">direct under the </w:t>
      </w:r>
      <w:r>
        <w:rPr>
          <w:i/>
          <w:iCs/>
        </w:rPr>
        <w:t>Prisons Act 1981</w:t>
      </w:r>
      <w:r>
        <w:t xml:space="preserve"> section 14B(2) any prison officers designated under paragraph (a) to perform the functions conferred on them as special custodial officers under this Act.</w:t>
      </w:r>
    </w:p>
    <w:p>
      <w:pPr>
        <w:pStyle w:val="zSubsection"/>
      </w:pPr>
      <w:r>
        <w:tab/>
        <w:t>(2)</w:t>
      </w:r>
      <w:r>
        <w:tab/>
        <w:t>A request must specify whether the chief executive officer requires a special custodial officer the subject of a direction under subsection (1)(b) to carry a control weapon.</w:t>
      </w:r>
    </w:p>
    <w:p>
      <w:pPr>
        <w:pStyle w:val="zSubsection"/>
      </w:pPr>
      <w:r>
        <w:tab/>
        <w:t>(3)</w:t>
      </w:r>
      <w:r>
        <w:tab/>
        <w:t>A request may be given orally or in writing but if given orally must be put in writing as soon as practicable.</w:t>
      </w:r>
    </w:p>
    <w:p>
      <w:pPr>
        <w:pStyle w:val="zHeading5"/>
        <w:rPr>
          <w:i/>
          <w:iCs/>
        </w:rPr>
      </w:pPr>
      <w:bookmarkStart w:id="24" w:name="_Toc184389372"/>
      <w:r>
        <w:t>11AC.</w:t>
      </w:r>
      <w:r>
        <w:tab/>
        <w:t xml:space="preserve">Return of special custodial officers to duties under </w:t>
      </w:r>
      <w:r>
        <w:rPr>
          <w:i/>
          <w:iCs/>
        </w:rPr>
        <w:t>Prisons Act 1981</w:t>
      </w:r>
      <w:bookmarkEnd w:id="24"/>
    </w:p>
    <w:p>
      <w:pPr>
        <w:pStyle w:val="zSubsection"/>
      </w:pPr>
      <w:r>
        <w:tab/>
        <w:t>(1)</w:t>
      </w:r>
      <w:r>
        <w:tab/>
        <w:t>Subsection (2) applies if the chief executive officer considers that —</w:t>
      </w:r>
    </w:p>
    <w:p>
      <w:pPr>
        <w:pStyle w:val="zIndenta"/>
      </w:pPr>
      <w:r>
        <w:tab/>
        <w:t>(a)</w:t>
      </w:r>
      <w:r>
        <w:tab/>
        <w:t>it is no longer necessary for a special custodial officer who is performing functions under this Act to continue to perform those functions; or</w:t>
      </w:r>
    </w:p>
    <w:p>
      <w:pPr>
        <w:pStyle w:val="zIndenta"/>
      </w:pPr>
      <w:r>
        <w:lastRenderedPageBreak/>
        <w:tab/>
        <w:t>(b)</w:t>
      </w:r>
      <w:r>
        <w:tab/>
        <w:t>a special custodial officer who is performing functions under this Act is not suitable to continue to perform those functions.</w:t>
      </w:r>
    </w:p>
    <w:p>
      <w:pPr>
        <w:pStyle w:val="zSubsection"/>
      </w:pPr>
      <w:r>
        <w:tab/>
        <w:t>(2)</w:t>
      </w:r>
      <w:r>
        <w:tab/>
        <w:t xml:space="preserve">The chief executive officer may request the CEO (Prisons) to do either or both of the following — </w:t>
      </w:r>
    </w:p>
    <w:p>
      <w:pPr>
        <w:pStyle w:val="zIndenta"/>
      </w:pPr>
      <w:r>
        <w:tab/>
        <w:t>(a)</w:t>
      </w:r>
      <w:r>
        <w:tab/>
        <w:t xml:space="preserve">revoke the designation of the person as a special custodial officer under the </w:t>
      </w:r>
      <w:r>
        <w:rPr>
          <w:i/>
        </w:rPr>
        <w:t>Prisons Act 1981</w:t>
      </w:r>
      <w:r>
        <w:t xml:space="preserve"> section 14A(5);</w:t>
      </w:r>
    </w:p>
    <w:p>
      <w:pPr>
        <w:pStyle w:val="zIndenta"/>
      </w:pPr>
      <w:r>
        <w:tab/>
        <w:t>(b)</w:t>
      </w:r>
      <w:r>
        <w:tab/>
        <w:t xml:space="preserve">give a direction to the special custodial officer under the </w:t>
      </w:r>
      <w:r>
        <w:rPr>
          <w:i/>
        </w:rPr>
        <w:t>Prisons Act 1981</w:t>
      </w:r>
      <w:r>
        <w:t xml:space="preserve"> section 14B(6).</w:t>
      </w:r>
    </w:p>
    <w:p>
      <w:pPr>
        <w:pStyle w:val="BlankClose"/>
      </w:pPr>
    </w:p>
    <w:p>
      <w:pPr>
        <w:pStyle w:val="Heading5"/>
      </w:pPr>
      <w:bookmarkStart w:id="25" w:name="_Toc184389373"/>
      <w:r>
        <w:rPr>
          <w:rStyle w:val="CharSectno"/>
        </w:rPr>
        <w:t>10</w:t>
      </w:r>
      <w:r>
        <w:t>.</w:t>
      </w:r>
      <w:r>
        <w:tab/>
        <w:t>Section 11A amended</w:t>
      </w:r>
      <w:bookmarkEnd w:id="25"/>
    </w:p>
    <w:p>
      <w:pPr>
        <w:pStyle w:val="Subsection"/>
      </w:pPr>
      <w:r>
        <w:tab/>
      </w:r>
      <w:r>
        <w:tab/>
        <w:t>In section 11A:</w:t>
      </w:r>
    </w:p>
    <w:p>
      <w:pPr>
        <w:pStyle w:val="Indenta"/>
      </w:pPr>
      <w:r>
        <w:tab/>
        <w:t>(a)</w:t>
      </w:r>
      <w:r>
        <w:tab/>
        <w:t>delete “Every”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An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“section 11 —”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section 11 or a special custodial officer must — 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paragraphs (a), (b) and (c) delete “must”.</w:t>
      </w:r>
    </w:p>
    <w:p>
      <w:pPr>
        <w:pStyle w:val="Heading5"/>
      </w:pPr>
      <w:bookmarkStart w:id="26" w:name="_Toc184389374"/>
      <w:r>
        <w:rPr>
          <w:rStyle w:val="CharSectno"/>
        </w:rPr>
        <w:t>11</w:t>
      </w:r>
      <w:r>
        <w:t>.</w:t>
      </w:r>
      <w:r>
        <w:tab/>
        <w:t>Section 11B amended</w:t>
      </w:r>
      <w:bookmarkEnd w:id="26"/>
    </w:p>
    <w:p>
      <w:pPr>
        <w:pStyle w:val="Subsection"/>
      </w:pPr>
      <w:r>
        <w:tab/>
      </w:r>
      <w:r>
        <w:tab/>
        <w:t>In section 11B:</w:t>
      </w:r>
    </w:p>
    <w:p>
      <w:pPr>
        <w:pStyle w:val="Indenta"/>
      </w:pPr>
      <w:r>
        <w:tab/>
        <w:t>(a)</w:t>
      </w:r>
      <w:r>
        <w:tab/>
        <w:t>in paragraph (a) delete “he or she”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custodial officer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in paragraph (b) delete “his or her”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custodial officer’s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 (b) delete “he or she”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custodial officer</w:t>
      </w:r>
    </w:p>
    <w:p>
      <w:pPr>
        <w:pStyle w:val="BlankClose"/>
      </w:pPr>
    </w:p>
    <w:p>
      <w:pPr>
        <w:pStyle w:val="Indenta"/>
        <w:keepNext/>
      </w:pPr>
      <w:r>
        <w:tab/>
        <w:t>(d)</w:t>
      </w:r>
      <w:r>
        <w:tab/>
        <w:t>in paragraph (c) delete “him or her”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custodial officer</w:t>
      </w:r>
    </w:p>
    <w:p>
      <w:pPr>
        <w:pStyle w:val="BlankClose"/>
      </w:pPr>
    </w:p>
    <w:p>
      <w:pPr>
        <w:pStyle w:val="Indenta"/>
      </w:pPr>
      <w:r>
        <w:tab/>
        <w:t>(e)</w:t>
      </w:r>
      <w:r>
        <w:tab/>
        <w:t>in paragraph (c) delete “he or she”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custodial officer</w:t>
      </w:r>
    </w:p>
    <w:p>
      <w:pPr>
        <w:pStyle w:val="BlankClose"/>
      </w:pPr>
    </w:p>
    <w:p>
      <w:pPr>
        <w:pStyle w:val="Indenta"/>
      </w:pPr>
      <w:r>
        <w:tab/>
        <w:t>(f)</w:t>
      </w:r>
      <w:r>
        <w:tab/>
        <w:t>in paragraph (d) delete “prescribed under section 11C as is necessary”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authorised under section 11C</w:t>
      </w:r>
    </w:p>
    <w:p>
      <w:pPr>
        <w:pStyle w:val="BlankClose"/>
      </w:pPr>
    </w:p>
    <w:p>
      <w:pPr>
        <w:pStyle w:val="Heading5"/>
      </w:pPr>
      <w:bookmarkStart w:id="27" w:name="_Toc184389375"/>
      <w:r>
        <w:rPr>
          <w:rStyle w:val="CharSectno"/>
        </w:rPr>
        <w:t>12</w:t>
      </w:r>
      <w:r>
        <w:t>.</w:t>
      </w:r>
      <w:r>
        <w:tab/>
        <w:t>Section 11CAA inserted</w:t>
      </w:r>
      <w:bookmarkEnd w:id="27"/>
    </w:p>
    <w:p>
      <w:pPr>
        <w:pStyle w:val="Subsection"/>
        <w:keepNext/>
      </w:pPr>
      <w:r>
        <w:tab/>
      </w:r>
      <w:r>
        <w:tab/>
        <w:t>At the end of Part 3 Division 3 Subdivision 1 insert:</w:t>
      </w:r>
    </w:p>
    <w:p>
      <w:pPr>
        <w:pStyle w:val="BlankOpen"/>
      </w:pPr>
    </w:p>
    <w:p>
      <w:pPr>
        <w:pStyle w:val="zHeading5"/>
      </w:pPr>
      <w:bookmarkStart w:id="28" w:name="_Toc184389376"/>
      <w:r>
        <w:t>11CAA.</w:t>
      </w:r>
      <w:r>
        <w:tab/>
        <w:t>Application of Division</w:t>
      </w:r>
      <w:bookmarkEnd w:id="28"/>
    </w:p>
    <w:p>
      <w:pPr>
        <w:pStyle w:val="zSubsection"/>
      </w:pPr>
      <w:r>
        <w:tab/>
      </w:r>
      <w:r>
        <w:tab/>
        <w:t>This Division does not apply in relation to a custodial officer who is a special custodial officer.</w:t>
      </w:r>
    </w:p>
    <w:p>
      <w:pPr>
        <w:pStyle w:val="BlankClose"/>
      </w:pPr>
    </w:p>
    <w:p>
      <w:pPr>
        <w:pStyle w:val="Heading5"/>
      </w:pPr>
      <w:bookmarkStart w:id="29" w:name="_Toc184389377"/>
      <w:r>
        <w:rPr>
          <w:rStyle w:val="CharSectno"/>
        </w:rPr>
        <w:lastRenderedPageBreak/>
        <w:t>13</w:t>
      </w:r>
      <w:r>
        <w:t>.</w:t>
      </w:r>
      <w:r>
        <w:tab/>
        <w:t>Section 11C amended</w:t>
      </w:r>
      <w:bookmarkEnd w:id="29"/>
    </w:p>
    <w:p>
      <w:pPr>
        <w:pStyle w:val="Subsection"/>
        <w:keepNext/>
      </w:pPr>
      <w:r>
        <w:tab/>
      </w:r>
      <w:r>
        <w:tab/>
        <w:t>In section 11C(2) delete “young offender”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detainee</w:t>
      </w:r>
    </w:p>
    <w:p>
      <w:pPr>
        <w:pStyle w:val="BlankClose"/>
      </w:pPr>
    </w:p>
    <w:p>
      <w:pPr>
        <w:pStyle w:val="Heading5"/>
      </w:pPr>
      <w:bookmarkStart w:id="30" w:name="_Toc184389378"/>
      <w:r>
        <w:rPr>
          <w:rStyle w:val="CharSectno"/>
        </w:rPr>
        <w:t>14</w:t>
      </w:r>
      <w:r>
        <w:t>.</w:t>
      </w:r>
      <w:r>
        <w:tab/>
        <w:t>Section 11E replaced</w:t>
      </w:r>
      <w:bookmarkEnd w:id="30"/>
    </w:p>
    <w:p>
      <w:pPr>
        <w:pStyle w:val="Subsection"/>
      </w:pPr>
      <w:r>
        <w:tab/>
      </w:r>
      <w:r>
        <w:tab/>
        <w:t>Delete section 11E and insert:</w:t>
      </w:r>
    </w:p>
    <w:p>
      <w:pPr>
        <w:pStyle w:val="BlankOpen"/>
      </w:pPr>
    </w:p>
    <w:p>
      <w:pPr>
        <w:pStyle w:val="zHeading5"/>
      </w:pPr>
      <w:bookmarkStart w:id="31" w:name="_Toc184389379"/>
      <w:r>
        <w:t>11E.</w:t>
      </w:r>
      <w:r>
        <w:tab/>
        <w:t>Use of control weapons by special custodial officers</w:t>
      </w:r>
      <w:bookmarkEnd w:id="31"/>
    </w:p>
    <w:p>
      <w:pPr>
        <w:pStyle w:val="zSubsection"/>
      </w:pPr>
      <w:r>
        <w:tab/>
        <w:t>(1)</w:t>
      </w:r>
      <w:r>
        <w:tab/>
        <w:t xml:space="preserve">This section applies to a special custodial officer if a direction under the </w:t>
      </w:r>
      <w:r>
        <w:rPr>
          <w:i/>
          <w:iCs/>
        </w:rPr>
        <w:t>Prisons Act 1981</w:t>
      </w:r>
      <w:r>
        <w:t xml:space="preserve"> section 14B(2) requires the officer to carry control weapons.</w:t>
      </w:r>
    </w:p>
    <w:p>
      <w:pPr>
        <w:pStyle w:val="zSubsection"/>
      </w:pPr>
      <w:r>
        <w:tab/>
        <w:t>(2)</w:t>
      </w:r>
      <w:r>
        <w:tab/>
        <w:t>The chief executive officer may give approval for the special custodial officer to use a specified control weapon, either generally or in a particular case.</w:t>
      </w:r>
    </w:p>
    <w:p>
      <w:pPr>
        <w:pStyle w:val="zSubsection"/>
      </w:pPr>
      <w:r>
        <w:tab/>
        <w:t>(3)</w:t>
      </w:r>
      <w:r>
        <w:tab/>
        <w:t>The approval may be given orally or in writing but if given orally must be put in writing as soon as practicable.</w:t>
      </w:r>
    </w:p>
    <w:p>
      <w:pPr>
        <w:pStyle w:val="zSubsection"/>
      </w:pPr>
      <w:r>
        <w:tab/>
        <w:t>(4)</w:t>
      </w:r>
      <w:r>
        <w:tab/>
        <w:t xml:space="preserve">In using force under section 11C, the special custodial officer is authorised to use a control weapon if the use of the weapon — </w:t>
      </w:r>
    </w:p>
    <w:p>
      <w:pPr>
        <w:pStyle w:val="zIndenta"/>
      </w:pPr>
      <w:r>
        <w:tab/>
        <w:t>(a)</w:t>
      </w:r>
      <w:r>
        <w:tab/>
        <w:t>is approved by the chief executive officer under subsection (2); and</w:t>
      </w:r>
    </w:p>
    <w:p>
      <w:pPr>
        <w:pStyle w:val="zIndenta"/>
      </w:pPr>
      <w:r>
        <w:tab/>
        <w:t>(b)</w:t>
      </w:r>
      <w:r>
        <w:tab/>
        <w:t>is necessary in the circumstances.</w:t>
      </w:r>
    </w:p>
    <w:p>
      <w:pPr>
        <w:pStyle w:val="BlankClose"/>
      </w:pPr>
    </w:p>
    <w:p>
      <w:pPr>
        <w:pStyle w:val="Heading5"/>
      </w:pPr>
      <w:bookmarkStart w:id="32" w:name="_Toc184389380"/>
      <w:r>
        <w:rPr>
          <w:rStyle w:val="CharSectno"/>
        </w:rPr>
        <w:lastRenderedPageBreak/>
        <w:t>15</w:t>
      </w:r>
      <w:r>
        <w:t>.</w:t>
      </w:r>
      <w:r>
        <w:tab/>
        <w:t>Section 192A inserted</w:t>
      </w:r>
      <w:bookmarkEnd w:id="32"/>
    </w:p>
    <w:p>
      <w:pPr>
        <w:pStyle w:val="Subsection"/>
        <w:keepNext/>
      </w:pPr>
      <w:r>
        <w:tab/>
      </w:r>
      <w:r>
        <w:tab/>
        <w:t>After section 192 insert:</w:t>
      </w:r>
    </w:p>
    <w:p>
      <w:pPr>
        <w:pStyle w:val="BlankOpen"/>
      </w:pPr>
    </w:p>
    <w:p>
      <w:pPr>
        <w:pStyle w:val="zHeading5"/>
      </w:pPr>
      <w:bookmarkStart w:id="33" w:name="_Toc184389381"/>
      <w:r>
        <w:t>192A.</w:t>
      </w:r>
      <w:r>
        <w:tab/>
        <w:t>Visitor may be refused entry or removed</w:t>
      </w:r>
      <w:bookmarkEnd w:id="33"/>
    </w:p>
    <w:p>
      <w:pPr>
        <w:pStyle w:val="z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section applies if the superintendent of a detention centre is of the opinion that a visitor or another person is likely to interfere with the preservation of the good order or security of a detention centre.</w:t>
      </w:r>
    </w:p>
    <w:p>
      <w:pPr>
        <w:pStyle w:val="zSubsection"/>
      </w:pPr>
      <w:r>
        <w:tab/>
        <w:t>(2)</w:t>
      </w:r>
      <w:r>
        <w:tab/>
      </w:r>
      <w:r>
        <w:rPr>
          <w:snapToGrid w:val="0"/>
        </w:rPr>
        <w:t xml:space="preserve">The superintendent may, despite a provision of this </w:t>
      </w:r>
      <w:r>
        <w:t xml:space="preserve">Act or another written law — </w:t>
      </w:r>
    </w:p>
    <w:p>
      <w:pPr>
        <w:pStyle w:val="zIndenta"/>
      </w:pPr>
      <w:r>
        <w:tab/>
        <w:t>(a)</w:t>
      </w:r>
      <w:r>
        <w:tab/>
        <w:t>refuse the person entry to the detention centre; or</w:t>
      </w:r>
    </w:p>
    <w:p>
      <w:pPr>
        <w:pStyle w:val="zIndenta"/>
      </w:pPr>
      <w:r>
        <w:tab/>
        <w:t>(b)</w:t>
      </w:r>
      <w:r>
        <w:tab/>
        <w:t>if the person has been admitted to the detention centre — remove the person.</w:t>
      </w:r>
    </w:p>
    <w:p>
      <w:pPr>
        <w:pStyle w:val="z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 xml:space="preserve">The </w:t>
      </w:r>
      <w:r>
        <w:t>superintendent</w:t>
      </w:r>
      <w:r>
        <w:rPr>
          <w:snapToGrid w:val="0"/>
        </w:rPr>
        <w:t xml:space="preserve"> may use such reasonable force as is necessary for the purposes of subsection (2)(b).</w:t>
      </w:r>
    </w:p>
    <w:p>
      <w:pPr>
        <w:pStyle w:val="z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The superintendent must immediately notify the chief executive officer, in writing, of action taken under subsection (2).</w:t>
      </w:r>
    </w:p>
    <w:p>
      <w:pPr>
        <w:pStyle w:val="BlankClose"/>
      </w:pPr>
    </w:p>
    <w:p>
      <w:pPr>
        <w:pStyle w:val="Heading5"/>
      </w:pPr>
      <w:bookmarkStart w:id="34" w:name="_Toc184389382"/>
      <w:r>
        <w:rPr>
          <w:rStyle w:val="CharSectno"/>
        </w:rPr>
        <w:lastRenderedPageBreak/>
        <w:t>16</w:t>
      </w:r>
      <w:r>
        <w:t>.</w:t>
      </w:r>
      <w:r>
        <w:tab/>
        <w:t>Part 11 Division 3 Subdivision 3 inserted</w:t>
      </w:r>
      <w:bookmarkEnd w:id="34"/>
    </w:p>
    <w:p>
      <w:pPr>
        <w:pStyle w:val="Subsection"/>
        <w:keepNext/>
      </w:pPr>
      <w:r>
        <w:tab/>
      </w:r>
      <w:r>
        <w:tab/>
        <w:t>At the end of Part 11 Division 3 insert:</w:t>
      </w:r>
    </w:p>
    <w:p>
      <w:pPr>
        <w:pStyle w:val="BlankOpen"/>
      </w:pPr>
    </w:p>
    <w:p>
      <w:pPr>
        <w:pStyle w:val="zHeading4"/>
      </w:pPr>
      <w:bookmarkStart w:id="35" w:name="_Toc184389226"/>
      <w:bookmarkStart w:id="36" w:name="_Toc184389266"/>
      <w:bookmarkStart w:id="37" w:name="_Toc184389383"/>
      <w:r>
        <w:t xml:space="preserve">Subdivision 3 — Transitional provision for </w:t>
      </w:r>
      <w:r>
        <w:rPr>
          <w:i/>
        </w:rPr>
        <w:t>Young Offenders and Prisons Legislation Amendment Act 2024</w:t>
      </w:r>
      <w:bookmarkEnd w:id="35"/>
      <w:bookmarkEnd w:id="36"/>
      <w:bookmarkEnd w:id="37"/>
    </w:p>
    <w:p>
      <w:pPr>
        <w:pStyle w:val="zHeading5"/>
      </w:pPr>
      <w:bookmarkStart w:id="38" w:name="_Toc184389384"/>
      <w:r>
        <w:t>235E.</w:t>
      </w:r>
      <w:r>
        <w:tab/>
        <w:t>Prison officer assisting taken to be special custodial officer</w:t>
      </w:r>
      <w:bookmarkEnd w:id="38"/>
    </w:p>
    <w:p>
      <w:pPr>
        <w:pStyle w:val="zSubsection"/>
        <w:keepNext/>
        <w:rPr>
          <w:snapToGrid w:val="0"/>
        </w:rPr>
      </w:pPr>
      <w:r>
        <w:tab/>
        <w:t>(1)</w:t>
      </w:r>
      <w:r>
        <w:tab/>
      </w:r>
      <w:r>
        <w:rPr>
          <w:snapToGrid w:val="0"/>
        </w:rPr>
        <w:t xml:space="preserve">In this </w:t>
      </w:r>
      <w:r>
        <w:t>section</w:t>
      </w:r>
      <w:r>
        <w:rPr>
          <w:snapToGrid w:val="0"/>
        </w:rPr>
        <w:t xml:space="preserve"> — </w:t>
      </w:r>
    </w:p>
    <w:p>
      <w:pPr>
        <w:pStyle w:val="zDefstart"/>
      </w:pPr>
      <w:r>
        <w:tab/>
      </w:r>
      <w:r>
        <w:rPr>
          <w:rStyle w:val="CharDefText"/>
        </w:rPr>
        <w:t>commencement day</w:t>
      </w:r>
      <w:r>
        <w:t xml:space="preserve"> </w:t>
      </w:r>
      <w:r>
        <w:rPr>
          <w:snapToGrid/>
        </w:rPr>
        <w:t xml:space="preserve">means the day on which the </w:t>
      </w:r>
      <w:r>
        <w:rPr>
          <w:i/>
        </w:rPr>
        <w:t>Young Offenders and Prisons Legislation Amendment Act 2024</w:t>
      </w:r>
      <w:r>
        <w:rPr>
          <w:snapToGrid/>
        </w:rPr>
        <w:t xml:space="preserve"> section 14 comes into operation;</w:t>
      </w:r>
    </w:p>
    <w:p>
      <w:pPr>
        <w:pStyle w:val="zDefstart"/>
        <w:rPr>
          <w:snapToGrid/>
        </w:rPr>
      </w:pPr>
      <w:r>
        <w:tab/>
      </w:r>
      <w:r>
        <w:rPr>
          <w:rStyle w:val="CharDefText"/>
        </w:rPr>
        <w:t>former section 11E</w:t>
      </w:r>
      <w:r>
        <w:t xml:space="preserve"> </w:t>
      </w:r>
      <w:r>
        <w:rPr>
          <w:snapToGrid/>
        </w:rPr>
        <w:t>means section 11E as in force immediately before commencement day;</w:t>
      </w:r>
    </w:p>
    <w:p>
      <w:pPr>
        <w:pStyle w:val="zDefstart"/>
        <w:rPr>
          <w:snapToGrid/>
        </w:rPr>
      </w:pPr>
      <w:r>
        <w:tab/>
      </w:r>
      <w:r>
        <w:rPr>
          <w:rStyle w:val="CharDefText"/>
        </w:rPr>
        <w:t>new section 11E</w:t>
      </w:r>
      <w:r>
        <w:t xml:space="preserve"> </w:t>
      </w:r>
      <w:r>
        <w:rPr>
          <w:snapToGrid/>
        </w:rPr>
        <w:t>means section 11E as in force on and from commencement day.</w:t>
      </w:r>
    </w:p>
    <w:p>
      <w:pPr>
        <w:pStyle w:val="zSubsection"/>
        <w:rPr>
          <w:snapToGrid w:val="0"/>
        </w:rPr>
      </w:pPr>
      <w:r>
        <w:tab/>
        <w:t>(2)</w:t>
      </w:r>
      <w:r>
        <w:tab/>
      </w:r>
      <w:r>
        <w:rPr>
          <w:snapToGrid w:val="0"/>
        </w:rPr>
        <w:t xml:space="preserve">This section applies — </w:t>
      </w:r>
    </w:p>
    <w:p>
      <w:pPr>
        <w:pStyle w:val="zIndenta"/>
        <w:rPr>
          <w:snapToGrid w:val="0"/>
        </w:rPr>
      </w:pPr>
      <w:r>
        <w:tab/>
        <w:t>(a)</w:t>
      </w:r>
      <w:r>
        <w:tab/>
      </w:r>
      <w:r>
        <w:rPr>
          <w:snapToGrid w:val="0"/>
        </w:rPr>
        <w:t>to a prison officer who, immediately before commencement day, was assisting in the exercise or performance of a power or duty under former section 11E; and</w:t>
      </w:r>
    </w:p>
    <w:p>
      <w:pPr>
        <w:pStyle w:val="z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the period of 48 hours starting at the beginning of commencement day</w:t>
      </w:r>
      <w:r>
        <w:t>.</w:t>
      </w:r>
    </w:p>
    <w:p>
      <w:pPr>
        <w:pStyle w:val="zSubsection"/>
      </w:pPr>
      <w:r>
        <w:tab/>
        <w:t>(3)</w:t>
      </w:r>
      <w:r>
        <w:tab/>
        <w:t xml:space="preserve">The prison officer is taken to — </w:t>
      </w:r>
    </w:p>
    <w:p>
      <w:pPr>
        <w:pStyle w:val="zIndenta"/>
      </w:pPr>
      <w:r>
        <w:tab/>
        <w:t>(a)</w:t>
      </w:r>
      <w:r>
        <w:tab/>
        <w:t xml:space="preserve">be designated under the </w:t>
      </w:r>
      <w:r>
        <w:rPr>
          <w:i/>
          <w:iCs/>
        </w:rPr>
        <w:t>Prisons Act 1981</w:t>
      </w:r>
      <w:r>
        <w:t xml:space="preserve"> section 14A(1) as a special custodial officer for the purposes of this Act; and</w:t>
      </w:r>
    </w:p>
    <w:p>
      <w:pPr>
        <w:pStyle w:val="zIndenta"/>
      </w:pPr>
      <w:r>
        <w:tab/>
        <w:t>(b)</w:t>
      </w:r>
      <w:r>
        <w:tab/>
        <w:t xml:space="preserve">have been given a direction under the </w:t>
      </w:r>
      <w:r>
        <w:rPr>
          <w:i/>
          <w:iCs/>
        </w:rPr>
        <w:t>Prisons Act 1981</w:t>
      </w:r>
      <w:r>
        <w:t xml:space="preserve"> section 14B(2)(a) to perform the functions conferred on the officer by this Act.</w:t>
      </w:r>
    </w:p>
    <w:p>
      <w:pPr>
        <w:pStyle w:val="zSubsection"/>
        <w:rPr>
          <w:snapToGrid w:val="0"/>
        </w:rPr>
      </w:pPr>
      <w:r>
        <w:lastRenderedPageBreak/>
        <w:tab/>
        <w:t>(4)</w:t>
      </w:r>
      <w:r>
        <w:tab/>
      </w:r>
      <w:r>
        <w:rPr>
          <w:snapToGrid w:val="0"/>
        </w:rPr>
        <w:t xml:space="preserve">An approval of the chief executive officer </w:t>
      </w:r>
      <w:r>
        <w:t>under</w:t>
      </w:r>
      <w:r>
        <w:rPr>
          <w:snapToGrid w:val="0"/>
        </w:rPr>
        <w:t xml:space="preserve"> former section 11E(3) for the prison officer to use a control weapon that is in force immediately before commencement day continues in force as an equivalent approval given under new section 11E(2).</w:t>
      </w:r>
    </w:p>
    <w:p>
      <w:pPr>
        <w:pStyle w:val="zSubsection"/>
        <w:rPr>
          <w:snapToGrid w:val="0"/>
        </w:rPr>
      </w:pPr>
      <w:r>
        <w:rPr>
          <w:snapToGrid w:val="0"/>
        </w:rPr>
        <w:tab/>
      </w:r>
      <w:r>
        <w:t>(5)</w:t>
      </w:r>
      <w:r>
        <w:tab/>
        <w:t>T</w:t>
      </w:r>
      <w:r>
        <w:rPr>
          <w:snapToGrid w:val="0"/>
        </w:rPr>
        <w:t xml:space="preserve">his Act and the </w:t>
      </w:r>
      <w:r>
        <w:rPr>
          <w:i/>
          <w:iCs/>
          <w:snapToGrid w:val="0"/>
        </w:rPr>
        <w:t>Prisons Act 1981</w:t>
      </w:r>
      <w:r>
        <w:rPr>
          <w:snapToGrid w:val="0"/>
        </w:rPr>
        <w:t xml:space="preserve"> sections 14A and 14B apply in relation to the person accordingly.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977CE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005C53FA" w14:textId="2BF5614D" w:rsidR="000876E2" w:rsidRDefault="000876E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10E5E55" w14:textId="77777777" w:rsidR="000876E2" w:rsidRDefault="000876E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F45CBC8" w14:textId="2ECFF24E" w:rsidR="000876E2" w:rsidRDefault="000876E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A784E8" w14:textId="77777777" w:rsidR="000876E2" w:rsidRDefault="000876E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48 of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Dec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48 of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48 of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1700"/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48 of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Dec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48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center" w:pos="538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48 of 2024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Young Offenders and Prisons Legislation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Young Offenders and Prisons Legislation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Young Offenders and Prisons Legislation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Young Offenders and Prisons Legislation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Young Offenders and Prisons Legislation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Young Offenders and Prisons Legislation Amendment Act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9" w:name="Coversheet"/>
    <w:bookmarkEnd w:id="3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  <w:num w:numId="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06144952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407041655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704165511_GUID" w:val="a3448dd8-bcbc-403e-9824-4314b9fa77d7"/>
    <w:docVar w:name="WAFER_202407101448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10144849_GUID" w:val="4185a582-dff3-499c-87d1-483df392c25f"/>
    <w:docVar w:name="WAFER_202407120941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12094109_GUID" w:val="3c098234-3e6a-43f8-9b00-aa4d18a246ef"/>
    <w:docVar w:name="WAFER_202412061449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06144952_GUID" w:val="121b8611-0075-484f-82f1-867bcc1b02c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."/>
  <w:listSeparator w:val=","/>
  <w15:docId w15:val="{8A0C1A94-C098-4FEE-90EF-36A82C45E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jpeg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2331</Words>
  <Characters>11680</Characters>
  <Application>Microsoft Office Word</Application>
  <DocSecurity>0</DocSecurity>
  <Lines>417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13778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Young Offenders and Prisons Legislation Amendment Act 2024 - 00-00-00</dc:title>
  <dc:subject/>
  <dc:creator/>
  <cp:keywords/>
  <dc:description/>
  <cp:lastModifiedBy>Master Repository Process</cp:lastModifiedBy>
  <cp:revision>4</cp:revision>
  <cp:lastPrinted>2024-12-06T06:38:00Z</cp:lastPrinted>
  <dcterms:created xsi:type="dcterms:W3CDTF">2025-06-05T04:08:00Z</dcterms:created>
  <dcterms:modified xsi:type="dcterms:W3CDTF">2025-06-05T04:08:00Z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48 of 2024</vt:lpwstr>
  </property>
  <property fmtid="{D5CDD505-2E9C-101B-9397-08002B2CF9AE}" pid="3" name="DocumentType">
    <vt:lpwstr>Act</vt:lpwstr>
  </property>
  <property fmtid="{D5CDD505-2E9C-101B-9397-08002B2CF9AE}" pid="4" name="AsAtDate">
    <vt:lpwstr>06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ActNoFooter">
    <vt:lpwstr>No. 48 of 2024</vt:lpwstr>
  </property>
  <property fmtid="{D5CDD505-2E9C-101B-9397-08002B2CF9AE}" pid="8" name="CommencementDate">
    <vt:lpwstr>20241206</vt:lpwstr>
  </property>
  <property fmtid="{D5CDD505-2E9C-101B-9397-08002B2CF9AE}" pid="9" name="CommencementAsAt">
    <vt:filetime>2024-12-05T16:00:00Z</vt:filetime>
  </property>
  <property fmtid="{D5CDD505-2E9C-101B-9397-08002B2CF9AE}" pid="10" name="CommencementYear">
    <vt:lpwstr>2024</vt:lpwstr>
  </property>
</Properties>
</file>