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Superannuation Amendment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Amendment Act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_Toc184390289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_Toc184390290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_Toc184390291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_Toc184390292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4A amended</w:t>
      </w:r>
      <w:r>
        <w:tab/>
      </w:r>
      <w:r>
        <w:fldChar w:fldCharType="begin"/>
      </w:r>
      <w:r>
        <w:instrText xml:space="preserve"> PAGEREF _Toc184390293 \h </w:instrText>
      </w:r>
      <w:r>
        <w:fldChar w:fldCharType="separate"/>
      </w:r>
      <w:r>
        <w:t>2</w:t>
      </w:r>
      <w:r>
        <w:fldChar w:fldCharType="end"/>
      </w:r>
    </w:p>
    <w:p>
      <w:pPr>
        <w:pStyle w:val="TOC8"/>
        <w:rPr>
          <w:rFonts w:asciiTheme="minorHAnsi" w:eastAsiaTheme="minorEastAsia" w:hAnsiTheme="minorHAnsi" w:cstheme="minorBidi"/>
          <w:szCs w:val="22"/>
        </w:rPr>
      </w:pPr>
      <w:r>
        <w:t>6.</w:t>
      </w:r>
      <w:r>
        <w:tab/>
        <w:t>Section 4AA inserted</w:t>
      </w:r>
      <w:r>
        <w:tab/>
      </w:r>
      <w:r>
        <w:fldChar w:fldCharType="begin"/>
      </w:r>
      <w:r>
        <w:instrText xml:space="preserve"> PAGEREF _Toc184390294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4AA.</w:t>
      </w:r>
      <w:r>
        <w:rPr>
          <w:noProof/>
        </w:rPr>
        <w:tab/>
        <w:t>Stapled funds</w:t>
      </w:r>
      <w:r>
        <w:rPr>
          <w:noProof/>
        </w:rPr>
        <w:tab/>
      </w:r>
      <w:r>
        <w:rPr>
          <w:noProof/>
        </w:rPr>
        <w:fldChar w:fldCharType="begin"/>
      </w:r>
      <w:r>
        <w:rPr>
          <w:noProof/>
        </w:rPr>
        <w:instrText xml:space="preserve"> PAGEREF _Toc184390295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7.</w:t>
      </w:r>
      <w:r>
        <w:tab/>
        <w:t>Section 4B amended</w:t>
      </w:r>
      <w:r>
        <w:tab/>
      </w:r>
      <w:r>
        <w:fldChar w:fldCharType="begin"/>
      </w:r>
      <w:r>
        <w:instrText xml:space="preserve"> PAGEREF _Toc184390296 \h </w:instrText>
      </w:r>
      <w:r>
        <w:fldChar w:fldCharType="separate"/>
      </w:r>
      <w:r>
        <w:t>3</w:t>
      </w:r>
      <w:r>
        <w:fldChar w:fldCharType="end"/>
      </w:r>
    </w:p>
    <w:p>
      <w:pPr>
        <w:pStyle w:val="TOC8"/>
        <w:rPr>
          <w:rFonts w:asciiTheme="minorHAnsi" w:eastAsiaTheme="minorEastAsia" w:hAnsiTheme="minorHAnsi" w:cstheme="minorBidi"/>
          <w:szCs w:val="22"/>
        </w:rPr>
      </w:pPr>
      <w:r>
        <w:t>8.</w:t>
      </w:r>
      <w:r>
        <w:tab/>
        <w:t>Section 4D inserted</w:t>
      </w:r>
      <w:r>
        <w:tab/>
      </w:r>
      <w:r>
        <w:fldChar w:fldCharType="begin"/>
      </w:r>
      <w:r>
        <w:instrText xml:space="preserve"> PAGEREF _Toc184390297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4D.</w:t>
      </w:r>
      <w:r>
        <w:rPr>
          <w:noProof/>
        </w:rPr>
        <w:tab/>
        <w:t>Fund to which superannuation contributions must be made</w:t>
      </w:r>
      <w:r>
        <w:rPr>
          <w:noProof/>
        </w:rPr>
        <w:tab/>
      </w:r>
      <w:r>
        <w:rPr>
          <w:noProof/>
        </w:rPr>
        <w:fldChar w:fldCharType="begin"/>
      </w:r>
      <w:r>
        <w:rPr>
          <w:noProof/>
        </w:rPr>
        <w:instrText xml:space="preserve"> PAGEREF _Toc184390298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9.</w:t>
      </w:r>
      <w:r>
        <w:tab/>
        <w:t>Section 6 amended</w:t>
      </w:r>
      <w:r>
        <w:tab/>
      </w:r>
      <w:r>
        <w:fldChar w:fldCharType="begin"/>
      </w:r>
      <w:r>
        <w:instrText xml:space="preserve"> PAGEREF _Toc184390299 \h </w:instrText>
      </w:r>
      <w:r>
        <w:fldChar w:fldCharType="separate"/>
      </w:r>
      <w:r>
        <w:t>5</w:t>
      </w:r>
      <w:r>
        <w:fldChar w:fldCharType="end"/>
      </w:r>
    </w:p>
    <w:p>
      <w:pPr>
        <w:pStyle w:val="TOC8"/>
        <w:rPr>
          <w:rFonts w:asciiTheme="minorHAnsi" w:eastAsiaTheme="minorEastAsia" w:hAnsiTheme="minorHAnsi" w:cstheme="minorBidi"/>
          <w:szCs w:val="22"/>
        </w:rPr>
      </w:pPr>
      <w:r>
        <w:t>10.</w:t>
      </w:r>
      <w:r>
        <w:tab/>
        <w:t>Section 18 amended</w:t>
      </w:r>
      <w:r>
        <w:tab/>
      </w:r>
      <w:r>
        <w:fldChar w:fldCharType="begin"/>
      </w:r>
      <w:r>
        <w:instrText xml:space="preserve"> PAGEREF _Toc184390300 \h </w:instrText>
      </w:r>
      <w:r>
        <w:fldChar w:fldCharType="separate"/>
      </w:r>
      <w:r>
        <w:t>5</w:t>
      </w:r>
      <w:r>
        <w:fldChar w:fldCharType="end"/>
      </w:r>
    </w:p>
    <w:p>
      <w:pPr>
        <w:pStyle w:val="TOC8"/>
        <w:rPr>
          <w:rFonts w:asciiTheme="minorHAnsi" w:eastAsiaTheme="minorEastAsia" w:hAnsiTheme="minorHAnsi" w:cstheme="minorBidi"/>
          <w:szCs w:val="22"/>
        </w:rPr>
      </w:pPr>
      <w:r>
        <w:t>11.</w:t>
      </w:r>
      <w:r>
        <w:tab/>
        <w:t>Section 23 amended</w:t>
      </w:r>
      <w:r>
        <w:tab/>
      </w:r>
      <w:r>
        <w:fldChar w:fldCharType="begin"/>
      </w:r>
      <w:r>
        <w:instrText xml:space="preserve"> PAGEREF _Toc184390301 \h </w:instrText>
      </w:r>
      <w:r>
        <w:fldChar w:fldCharType="separate"/>
      </w:r>
      <w:r>
        <w:t>5</w:t>
      </w:r>
      <w:r>
        <w:fldChar w:fldCharType="end"/>
      </w:r>
    </w:p>
    <w:p>
      <w:pPr>
        <w:pStyle w:val="TOC8"/>
        <w:rPr>
          <w:rFonts w:asciiTheme="minorHAnsi" w:eastAsiaTheme="minorEastAsia" w:hAnsiTheme="minorHAnsi" w:cstheme="minorBidi"/>
          <w:szCs w:val="22"/>
        </w:rPr>
      </w:pPr>
      <w:r>
        <w:t>12.</w:t>
      </w:r>
      <w:r>
        <w:tab/>
        <w:t>Section 24 amended</w:t>
      </w:r>
      <w:r>
        <w:tab/>
      </w:r>
      <w:r>
        <w:fldChar w:fldCharType="begin"/>
      </w:r>
      <w:r>
        <w:instrText xml:space="preserve"> PAGEREF _Toc184390302 \h </w:instrText>
      </w:r>
      <w:r>
        <w:fldChar w:fldCharType="separate"/>
      </w:r>
      <w:r>
        <w:t>6</w:t>
      </w:r>
      <w:r>
        <w:fldChar w:fldCharType="end"/>
      </w:r>
    </w:p>
    <w:p>
      <w:pPr>
        <w:pStyle w:val="TOC8"/>
        <w:rPr>
          <w:rFonts w:asciiTheme="minorHAnsi" w:eastAsiaTheme="minorEastAsia" w:hAnsiTheme="minorHAnsi" w:cstheme="minorBidi"/>
          <w:szCs w:val="22"/>
        </w:rPr>
      </w:pPr>
      <w:r>
        <w:t>13.</w:t>
      </w:r>
      <w:r>
        <w:tab/>
        <w:t>Section 27 deleted</w:t>
      </w:r>
      <w:r>
        <w:tab/>
      </w:r>
      <w:r>
        <w:fldChar w:fldCharType="begin"/>
      </w:r>
      <w:r>
        <w:instrText xml:space="preserve"> PAGEREF _Toc184390303 \h </w:instrText>
      </w:r>
      <w:r>
        <w:fldChar w:fldCharType="separate"/>
      </w:r>
      <w:r>
        <w:t>6</w:t>
      </w:r>
      <w:r>
        <w:fldChar w:fldCharType="end"/>
      </w:r>
    </w:p>
    <w:p>
      <w:pPr>
        <w:pStyle w:val="TOC8"/>
        <w:rPr>
          <w:rFonts w:asciiTheme="minorHAnsi" w:eastAsiaTheme="minorEastAsia" w:hAnsiTheme="minorHAnsi" w:cstheme="minorBidi"/>
          <w:szCs w:val="22"/>
        </w:rPr>
      </w:pPr>
      <w:r>
        <w:t>14.</w:t>
      </w:r>
      <w:r>
        <w:tab/>
        <w:t>Section 28 amended</w:t>
      </w:r>
      <w:r>
        <w:tab/>
      </w:r>
      <w:r>
        <w:fldChar w:fldCharType="begin"/>
      </w:r>
      <w:r>
        <w:instrText xml:space="preserve"> PAGEREF _Toc184390304 \h </w:instrText>
      </w:r>
      <w:r>
        <w:fldChar w:fldCharType="separate"/>
      </w:r>
      <w:r>
        <w:t>6</w:t>
      </w:r>
      <w:r>
        <w:fldChar w:fldCharType="end"/>
      </w:r>
    </w:p>
    <w:p>
      <w:pPr>
        <w:pStyle w:val="TOC8"/>
        <w:rPr>
          <w:rFonts w:asciiTheme="minorHAnsi" w:eastAsiaTheme="minorEastAsia" w:hAnsiTheme="minorHAnsi" w:cstheme="minorBidi"/>
          <w:szCs w:val="22"/>
        </w:rPr>
      </w:pPr>
      <w:r>
        <w:t>15.</w:t>
      </w:r>
      <w:r>
        <w:tab/>
        <w:t>Section 30 amended</w:t>
      </w:r>
      <w:r>
        <w:tab/>
      </w:r>
      <w:r>
        <w:fldChar w:fldCharType="begin"/>
      </w:r>
      <w:r>
        <w:instrText xml:space="preserve"> PAGEREF _Toc184390305 \h </w:instrText>
      </w:r>
      <w:r>
        <w:fldChar w:fldCharType="separate"/>
      </w:r>
      <w:r>
        <w:t>6</w:t>
      </w:r>
      <w:r>
        <w:fldChar w:fldCharType="end"/>
      </w:r>
    </w:p>
    <w:p>
      <w:pPr>
        <w:pStyle w:val="TOC8"/>
        <w:rPr>
          <w:rFonts w:asciiTheme="minorHAnsi" w:eastAsiaTheme="minorEastAsia" w:hAnsiTheme="minorHAnsi" w:cstheme="minorBidi"/>
          <w:szCs w:val="22"/>
        </w:rPr>
      </w:pPr>
      <w:r>
        <w:t>16.</w:t>
      </w:r>
      <w:r>
        <w:tab/>
        <w:t>Section 33 amended</w:t>
      </w:r>
      <w:r>
        <w:tab/>
      </w:r>
      <w:r>
        <w:fldChar w:fldCharType="begin"/>
      </w:r>
      <w:r>
        <w:instrText xml:space="preserve"> PAGEREF _Toc184390306 \h </w:instrText>
      </w:r>
      <w:r>
        <w:fldChar w:fldCharType="separate"/>
      </w:r>
      <w:r>
        <w:t>6</w:t>
      </w:r>
      <w:r>
        <w:fldChar w:fldCharType="end"/>
      </w:r>
    </w:p>
    <w:p>
      <w:pPr>
        <w:pStyle w:val="TOC8"/>
        <w:rPr>
          <w:rFonts w:asciiTheme="minorHAnsi" w:eastAsiaTheme="minorEastAsia" w:hAnsiTheme="minorHAnsi" w:cstheme="minorBidi"/>
          <w:szCs w:val="22"/>
        </w:rPr>
      </w:pPr>
      <w:r>
        <w:t>17.</w:t>
      </w:r>
      <w:r>
        <w:tab/>
        <w:t>Section 37 inserted</w:t>
      </w:r>
      <w:r>
        <w:tab/>
      </w:r>
      <w:r>
        <w:fldChar w:fldCharType="begin"/>
      </w:r>
      <w:r>
        <w:instrText xml:space="preserve"> PAGEREF _Toc184390307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37</w:t>
      </w:r>
      <w:r>
        <w:rPr>
          <w:noProof/>
          <w:snapToGrid w:val="0"/>
        </w:rPr>
        <w:t>.</w:t>
      </w:r>
      <w:r>
        <w:rPr>
          <w:noProof/>
          <w:snapToGrid w:val="0"/>
        </w:rPr>
        <w:tab/>
        <w:t>Superannuation contributions made by non</w:t>
      </w:r>
      <w:r>
        <w:rPr>
          <w:noProof/>
          <w:snapToGrid w:val="0"/>
        </w:rPr>
        <w:noBreakHyphen/>
        <w:t>government contributors</w:t>
      </w:r>
      <w:r>
        <w:rPr>
          <w:noProof/>
        </w:rPr>
        <w:tab/>
      </w:r>
      <w:r>
        <w:rPr>
          <w:noProof/>
        </w:rPr>
        <w:fldChar w:fldCharType="begin"/>
      </w:r>
      <w:r>
        <w:rPr>
          <w:noProof/>
        </w:rPr>
        <w:instrText xml:space="preserve"> PAGEREF _Toc184390308 \h </w:instrText>
      </w:r>
      <w:r>
        <w:rPr>
          <w:noProof/>
        </w:rPr>
      </w:r>
      <w:r>
        <w:rPr>
          <w:noProof/>
        </w:rPr>
        <w:fldChar w:fldCharType="separate"/>
      </w:r>
      <w:r>
        <w:rPr>
          <w:noProof/>
        </w:rPr>
        <w:t>7</w:t>
      </w:r>
      <w:r>
        <w:rPr>
          <w:noProof/>
        </w:rPr>
        <w:fldChar w:fldCharType="end"/>
      </w:r>
    </w:p>
    <w:p>
      <w:pPr>
        <w:pStyle w:val="TOC8"/>
        <w:rPr>
          <w:rFonts w:asciiTheme="minorHAnsi" w:eastAsiaTheme="minorEastAsia" w:hAnsiTheme="minorHAnsi" w:cstheme="minorBidi"/>
          <w:szCs w:val="22"/>
        </w:rPr>
      </w:pPr>
      <w:r>
        <w:t>18.</w:t>
      </w:r>
      <w:r>
        <w:tab/>
        <w:t>Section 38 amended</w:t>
      </w:r>
      <w:r>
        <w:tab/>
      </w:r>
      <w:r>
        <w:fldChar w:fldCharType="begin"/>
      </w:r>
      <w:r>
        <w:instrText xml:space="preserve"> PAGEREF _Toc184390309 \h </w:instrText>
      </w:r>
      <w:r>
        <w:fldChar w:fldCharType="separate"/>
      </w:r>
      <w:r>
        <w:t>8</w:t>
      </w:r>
      <w:r>
        <w:fldChar w:fldCharType="end"/>
      </w:r>
    </w:p>
    <w:p>
      <w:pPr>
        <w:pStyle w:val="TOC8"/>
        <w:rPr>
          <w:rFonts w:asciiTheme="minorHAnsi" w:eastAsiaTheme="minorEastAsia" w:hAnsiTheme="minorHAnsi" w:cstheme="minorBidi"/>
          <w:szCs w:val="22"/>
        </w:rPr>
      </w:pPr>
      <w:r>
        <w:t>19.</w:t>
      </w:r>
      <w:r>
        <w:tab/>
        <w:t>Part 7 inserted</w:t>
      </w:r>
      <w:r>
        <w:tab/>
      </w:r>
      <w:r>
        <w:fldChar w:fldCharType="begin"/>
      </w:r>
      <w:r>
        <w:instrText xml:space="preserve"> PAGEREF _Toc184390310 \h </w:instrText>
      </w:r>
      <w:r>
        <w:fldChar w:fldCharType="separate"/>
      </w:r>
      <w:r>
        <w:t>9</w:t>
      </w:r>
      <w:r>
        <w:fldChar w:fldCharType="end"/>
      </w:r>
    </w:p>
    <w:p>
      <w:pPr>
        <w:pStyle w:val="TOC3"/>
        <w:tabs>
          <w:tab w:val="right" w:leader="dot" w:pos="7077"/>
        </w:tabs>
        <w:rPr>
          <w:rFonts w:asciiTheme="minorHAnsi" w:eastAsiaTheme="minorEastAsia" w:hAnsiTheme="minorHAnsi" w:cstheme="minorBidi"/>
          <w:b w:val="0"/>
          <w:sz w:val="22"/>
          <w:szCs w:val="22"/>
        </w:rPr>
      </w:pPr>
      <w:r>
        <w:t>Part 7 — Savings and transitional provisions</w:t>
      </w:r>
    </w:p>
    <w:p>
      <w:pPr>
        <w:pStyle w:val="TOC9"/>
        <w:rPr>
          <w:rFonts w:asciiTheme="minorHAnsi" w:eastAsiaTheme="minorEastAsia" w:hAnsiTheme="minorHAnsi" w:cstheme="minorBidi"/>
          <w:noProof/>
          <w:sz w:val="22"/>
          <w:szCs w:val="22"/>
        </w:rPr>
      </w:pPr>
      <w:r>
        <w:rPr>
          <w:noProof/>
        </w:rPr>
        <w:t>41.</w:t>
      </w:r>
      <w:r>
        <w:rPr>
          <w:noProof/>
        </w:rPr>
        <w:tab/>
        <w:t>Default fund for employee</w:t>
      </w:r>
      <w:r>
        <w:rPr>
          <w:noProof/>
        </w:rPr>
        <w:tab/>
      </w:r>
      <w:r>
        <w:rPr>
          <w:noProof/>
        </w:rPr>
        <w:fldChar w:fldCharType="begin"/>
      </w:r>
      <w:r>
        <w:rPr>
          <w:noProof/>
        </w:rPr>
        <w:instrText xml:space="preserve"> PAGEREF _Toc184390312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42.</w:t>
      </w:r>
      <w:r>
        <w:rPr>
          <w:noProof/>
        </w:rPr>
        <w:tab/>
        <w:t>Maximum period of service for directors</w:t>
      </w:r>
      <w:r>
        <w:rPr>
          <w:noProof/>
        </w:rPr>
        <w:tab/>
      </w:r>
      <w:r>
        <w:rPr>
          <w:noProof/>
        </w:rPr>
        <w:fldChar w:fldCharType="begin"/>
      </w:r>
      <w:r>
        <w:rPr>
          <w:noProof/>
        </w:rPr>
        <w:instrText xml:space="preserve"> PAGEREF _Toc184390313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43.</w:t>
      </w:r>
      <w:r>
        <w:rPr>
          <w:noProof/>
        </w:rPr>
        <w:tab/>
        <w:t>Changes to regulation</w:t>
      </w:r>
      <w:r>
        <w:rPr>
          <w:noProof/>
        </w:rPr>
        <w:noBreakHyphen/>
        <w:t>making power</w:t>
      </w:r>
      <w:r>
        <w:rPr>
          <w:noProof/>
        </w:rPr>
        <w:tab/>
      </w:r>
      <w:r>
        <w:rPr>
          <w:noProof/>
        </w:rPr>
        <w:fldChar w:fldCharType="begin"/>
      </w:r>
      <w:r>
        <w:rPr>
          <w:noProof/>
        </w:rPr>
        <w:instrText xml:space="preserve"> PAGEREF _Toc184390314 \h </w:instrText>
      </w:r>
      <w:r>
        <w:rPr>
          <w:noProof/>
        </w:rPr>
      </w:r>
      <w:r>
        <w:rPr>
          <w:noProof/>
        </w:rPr>
        <w:fldChar w:fldCharType="separate"/>
      </w:r>
      <w:r>
        <w:rPr>
          <w:noProof/>
        </w:rPr>
        <w:t>10</w:t>
      </w:r>
      <w:r>
        <w:rPr>
          <w:noProof/>
        </w:rPr>
        <w:fldChar w:fldCharType="end"/>
      </w:r>
    </w:p>
    <w:p>
      <w:pPr>
        <w:pStyle w:val="TOC8"/>
        <w:keepNext/>
        <w:rPr>
          <w:rFonts w:asciiTheme="minorHAnsi" w:eastAsiaTheme="minorEastAsia" w:hAnsiTheme="minorHAnsi" w:cstheme="minorBidi"/>
          <w:szCs w:val="22"/>
        </w:rPr>
      </w:pPr>
      <w:r>
        <w:lastRenderedPageBreak/>
        <w:t>20.</w:t>
      </w:r>
      <w:r>
        <w:tab/>
        <w:t>Schedule 1 clause 1A inserted</w:t>
      </w:r>
      <w:r>
        <w:tab/>
      </w:r>
      <w:r>
        <w:fldChar w:fldCharType="begin"/>
      </w:r>
      <w:r>
        <w:instrText xml:space="preserve"> PAGEREF _Toc184390315 \h </w:instrText>
      </w:r>
      <w:r>
        <w:fldChar w:fldCharType="separate"/>
      </w:r>
      <w:r>
        <w:t>11</w:t>
      </w:r>
      <w:r>
        <w:fldChar w:fldCharType="end"/>
      </w:r>
    </w:p>
    <w:p>
      <w:pPr>
        <w:pStyle w:val="TOC9"/>
        <w:keepNext/>
        <w:rPr>
          <w:rFonts w:asciiTheme="minorHAnsi" w:eastAsiaTheme="minorEastAsia" w:hAnsiTheme="minorHAnsi" w:cstheme="minorBidi"/>
          <w:noProof/>
          <w:sz w:val="22"/>
          <w:szCs w:val="22"/>
        </w:rPr>
      </w:pPr>
      <w:r>
        <w:rPr>
          <w:noProof/>
        </w:rPr>
        <w:t>1A.</w:t>
      </w:r>
      <w:r>
        <w:rPr>
          <w:noProof/>
        </w:rPr>
        <w:tab/>
        <w:t>Terms used</w:t>
      </w:r>
      <w:r>
        <w:rPr>
          <w:noProof/>
        </w:rPr>
        <w:tab/>
      </w:r>
      <w:r>
        <w:rPr>
          <w:noProof/>
        </w:rPr>
        <w:fldChar w:fldCharType="begin"/>
      </w:r>
      <w:r>
        <w:rPr>
          <w:noProof/>
        </w:rPr>
        <w:instrText xml:space="preserve"> PAGEREF _Toc184390316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21.</w:t>
      </w:r>
      <w:r>
        <w:tab/>
        <w:t>Schedule 1 clause 4 amended</w:t>
      </w:r>
      <w:r>
        <w:tab/>
      </w:r>
      <w:r>
        <w:fldChar w:fldCharType="begin"/>
      </w:r>
      <w:r>
        <w:instrText xml:space="preserve"> PAGEREF _Toc184390317 \h </w:instrText>
      </w:r>
      <w:r>
        <w:fldChar w:fldCharType="separate"/>
      </w:r>
      <w:r>
        <w:t>11</w:t>
      </w:r>
      <w:r>
        <w:fldChar w:fldCharType="end"/>
      </w:r>
    </w:p>
    <w:p>
      <w:pPr>
        <w:pStyle w:val="TOC8"/>
        <w:rPr>
          <w:rFonts w:asciiTheme="minorHAnsi" w:eastAsiaTheme="minorEastAsia" w:hAnsiTheme="minorHAnsi" w:cstheme="minorBidi"/>
          <w:szCs w:val="22"/>
        </w:rPr>
      </w:pPr>
      <w:r>
        <w:t>22.</w:t>
      </w:r>
      <w:r>
        <w:tab/>
        <w:t>Schedule 1 clause 4A inserted</w:t>
      </w:r>
      <w:r>
        <w:tab/>
      </w:r>
      <w:r>
        <w:fldChar w:fldCharType="begin"/>
      </w:r>
      <w:r>
        <w:instrText xml:space="preserve"> PAGEREF _Toc184390318 \h </w:instrText>
      </w:r>
      <w:r>
        <w:fldChar w:fldCharType="separate"/>
      </w:r>
      <w:r>
        <w:t>12</w:t>
      </w:r>
      <w:r>
        <w:fldChar w:fldCharType="end"/>
      </w:r>
    </w:p>
    <w:p>
      <w:pPr>
        <w:pStyle w:val="TOC9"/>
        <w:rPr>
          <w:rFonts w:asciiTheme="minorHAnsi" w:eastAsiaTheme="minorEastAsia" w:hAnsiTheme="minorHAnsi" w:cstheme="minorBidi"/>
          <w:noProof/>
          <w:sz w:val="22"/>
          <w:szCs w:val="22"/>
        </w:rPr>
      </w:pPr>
      <w:r>
        <w:rPr>
          <w:noProof/>
        </w:rPr>
        <w:t>4A.</w:t>
      </w:r>
      <w:r>
        <w:rPr>
          <w:noProof/>
        </w:rPr>
        <w:tab/>
        <w:t>Term of office: Member directors</w:t>
      </w:r>
      <w:r>
        <w:rPr>
          <w:noProof/>
        </w:rPr>
        <w:tab/>
      </w:r>
      <w:r>
        <w:rPr>
          <w:noProof/>
        </w:rPr>
        <w:fldChar w:fldCharType="begin"/>
      </w:r>
      <w:r>
        <w:rPr>
          <w:noProof/>
        </w:rPr>
        <w:instrText xml:space="preserve"> PAGEREF _Toc184390319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23.</w:t>
      </w:r>
      <w:r>
        <w:tab/>
        <w:t>Schedule 1 clause 6 amended</w:t>
      </w:r>
      <w:r>
        <w:tab/>
      </w:r>
      <w:r>
        <w:fldChar w:fldCharType="begin"/>
      </w:r>
      <w:r>
        <w:instrText xml:space="preserve"> PAGEREF _Toc184390320 \h </w:instrText>
      </w:r>
      <w:r>
        <w:fldChar w:fldCharType="separate"/>
      </w:r>
      <w:r>
        <w:t>12</w:t>
      </w:r>
      <w:r>
        <w:fldChar w:fldCharType="end"/>
      </w:r>
    </w:p>
    <w:p>
      <w:pPr>
        <w:pStyle w:val="TOC8"/>
        <w:rPr>
          <w:rFonts w:asciiTheme="minorHAnsi" w:eastAsiaTheme="minorEastAsia" w:hAnsiTheme="minorHAnsi" w:cstheme="minorBidi"/>
          <w:szCs w:val="22"/>
        </w:rPr>
      </w:pPr>
      <w:r>
        <w:t>24.</w:t>
      </w:r>
      <w:r>
        <w:tab/>
        <w:t>Schedule 1 clause 6A inserted</w:t>
      </w:r>
      <w:r>
        <w:tab/>
      </w:r>
      <w:r>
        <w:fldChar w:fldCharType="begin"/>
      </w:r>
      <w:r>
        <w:instrText xml:space="preserve"> PAGEREF _Toc184390321 \h </w:instrText>
      </w:r>
      <w:r>
        <w:fldChar w:fldCharType="separate"/>
      </w:r>
      <w:r>
        <w:t>13</w:t>
      </w:r>
      <w:r>
        <w:fldChar w:fldCharType="end"/>
      </w:r>
    </w:p>
    <w:p>
      <w:pPr>
        <w:pStyle w:val="TOC9"/>
        <w:rPr>
          <w:rFonts w:asciiTheme="minorHAnsi" w:eastAsiaTheme="minorEastAsia" w:hAnsiTheme="minorHAnsi" w:cstheme="minorBidi"/>
          <w:noProof/>
          <w:sz w:val="22"/>
          <w:szCs w:val="22"/>
        </w:rPr>
      </w:pPr>
      <w:r>
        <w:rPr>
          <w:noProof/>
        </w:rPr>
        <w:t>6A.</w:t>
      </w:r>
      <w:r>
        <w:rPr>
          <w:noProof/>
        </w:rPr>
        <w:tab/>
        <w:t>Acting directors</w:t>
      </w:r>
      <w:r>
        <w:rPr>
          <w:noProof/>
        </w:rPr>
        <w:tab/>
      </w:r>
      <w:r>
        <w:rPr>
          <w:noProof/>
        </w:rPr>
        <w:fldChar w:fldCharType="begin"/>
      </w:r>
      <w:r>
        <w:rPr>
          <w:noProof/>
        </w:rPr>
        <w:instrText xml:space="preserve"> PAGEREF _Toc184390322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25.</w:t>
      </w:r>
      <w:r>
        <w:tab/>
        <w:t>Schedule 1 clause 7 amended</w:t>
      </w:r>
      <w:r>
        <w:tab/>
      </w:r>
      <w:r>
        <w:fldChar w:fldCharType="begin"/>
      </w:r>
      <w:r>
        <w:instrText xml:space="preserve"> PAGEREF _Toc184390323 \h </w:instrText>
      </w:r>
      <w:r>
        <w:fldChar w:fldCharType="separate"/>
      </w:r>
      <w:r>
        <w:t>14</w:t>
      </w:r>
      <w:r>
        <w:fldChar w:fldCharType="end"/>
      </w:r>
    </w:p>
    <w:p>
      <w:pPr>
        <w:pStyle w:val="TOC8"/>
        <w:rPr>
          <w:rFonts w:asciiTheme="minorHAnsi" w:eastAsiaTheme="minorEastAsia" w:hAnsiTheme="minorHAnsi" w:cstheme="minorBidi"/>
          <w:szCs w:val="22"/>
        </w:rPr>
      </w:pPr>
      <w:r>
        <w:t>26.</w:t>
      </w:r>
      <w:r>
        <w:tab/>
        <w:t>Schedule 2 clause 9 amended</w:t>
      </w:r>
      <w:r>
        <w:tab/>
      </w:r>
      <w:r>
        <w:fldChar w:fldCharType="begin"/>
      </w:r>
      <w:r>
        <w:instrText xml:space="preserve"> PAGEREF _Toc184390324 \h </w:instrText>
      </w:r>
      <w:r>
        <w:fldChar w:fldCharType="separate"/>
      </w:r>
      <w:r>
        <w:t>14</w:t>
      </w:r>
      <w:r>
        <w:fldChar w:fldCharType="end"/>
      </w:r>
    </w:p>
    <w:p>
      <w:pPr>
        <w:pStyle w:val="TOC8"/>
        <w:rPr>
          <w:rFonts w:asciiTheme="minorHAnsi" w:eastAsiaTheme="minorEastAsia" w:hAnsiTheme="minorHAnsi" w:cstheme="minorBidi"/>
          <w:szCs w:val="22"/>
        </w:rPr>
      </w:pPr>
      <w:r>
        <w:t>27.</w:t>
      </w:r>
      <w:r>
        <w:tab/>
        <w:t>Various references to “chairman” amended</w:t>
      </w:r>
      <w:r>
        <w:tab/>
      </w:r>
      <w:r>
        <w:fldChar w:fldCharType="begin"/>
      </w:r>
      <w:r>
        <w:instrText xml:space="preserve"> PAGEREF _Toc184390325 \h </w:instrText>
      </w:r>
      <w:r>
        <w:fldChar w:fldCharType="separate"/>
      </w:r>
      <w:r>
        <w:t>14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State Superannuation Amendment Act 2024</w:t>
      </w:r>
    </w:p>
    <w:p>
      <w:pPr>
        <w:pStyle w:val="ABillFor"/>
        <w:pBdr>
          <w:top w:val="single" w:sz="4" w:space="6" w:color="auto"/>
          <w:bottom w:val="single" w:sz="4" w:space="6" w:color="auto"/>
        </w:pBdr>
        <w:spacing w:before="0" w:after="240"/>
        <w:ind w:left="2551" w:right="2551"/>
      </w:pPr>
      <w:bookmarkStart w:id="2" w:name="BillCited"/>
      <w:bookmarkEnd w:id="2"/>
      <w:r>
        <w:t>No. 50 of 2024</w:t>
      </w:r>
    </w:p>
    <w:p>
      <w:pPr>
        <w:pStyle w:val="LongTitle"/>
      </w:pPr>
      <w:r>
        <w:t xml:space="preserve">An Act to amend the </w:t>
      </w:r>
      <w:r>
        <w:rPr>
          <w:i/>
        </w:rPr>
        <w:t>State Superannuation Act 2000</w:t>
      </w:r>
      <w:r>
        <w:t>.</w:t>
      </w:r>
    </w:p>
    <w:p>
      <w:pPr>
        <w:pStyle w:val="AssentDate"/>
        <w:spacing w:before="240" w:after="480"/>
      </w:pPr>
      <w:r>
        <w:t>[</w:t>
      </w:r>
      <w:r>
        <w:rPr>
          <w:i/>
        </w:rPr>
        <w:t>Assented to 6 December 2024</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3" w:name="_Toc184390289"/>
      <w:r>
        <w:rPr>
          <w:rStyle w:val="CharSectno"/>
        </w:rPr>
        <w:lastRenderedPageBreak/>
        <w:t>1</w:t>
      </w:r>
      <w:r>
        <w:t>.</w:t>
      </w:r>
      <w:r>
        <w:tab/>
        <w:t>Short title</w:t>
      </w:r>
      <w:bookmarkEnd w:id="3"/>
    </w:p>
    <w:p>
      <w:pPr>
        <w:pStyle w:val="Subsection"/>
      </w:pPr>
      <w:r>
        <w:tab/>
      </w:r>
      <w:r>
        <w:tab/>
        <w:t>This is the</w:t>
      </w:r>
      <w:r>
        <w:rPr>
          <w:i/>
        </w:rPr>
        <w:t xml:space="preserve"> State Superannuation Amendment Act 2024</w:t>
      </w:r>
      <w:r>
        <w:t>.</w:t>
      </w:r>
    </w:p>
    <w:p>
      <w:pPr>
        <w:pStyle w:val="Heading5"/>
      </w:pPr>
      <w:bookmarkStart w:id="4" w:name="_Toc184390290"/>
      <w:r>
        <w:rPr>
          <w:rStyle w:val="CharSectno"/>
        </w:rPr>
        <w:t>2</w:t>
      </w:r>
      <w:r>
        <w:t>.</w:t>
      </w:r>
      <w:r>
        <w:tab/>
        <w:t>Commencement</w:t>
      </w:r>
      <w:bookmarkEnd w:id="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5" w:name="_Toc184390291"/>
      <w:r>
        <w:rPr>
          <w:rStyle w:val="CharSectno"/>
        </w:rPr>
        <w:t>3</w:t>
      </w:r>
      <w:r>
        <w:rPr>
          <w:snapToGrid w:val="0"/>
        </w:rPr>
        <w:t>.</w:t>
      </w:r>
      <w:r>
        <w:rPr>
          <w:snapToGrid w:val="0"/>
        </w:rPr>
        <w:tab/>
        <w:t>Act amended</w:t>
      </w:r>
      <w:bookmarkEnd w:id="5"/>
    </w:p>
    <w:p>
      <w:pPr>
        <w:pStyle w:val="Subsection"/>
      </w:pPr>
      <w:r>
        <w:tab/>
      </w:r>
      <w:r>
        <w:tab/>
        <w:t xml:space="preserve">This Act amends the </w:t>
      </w:r>
      <w:r>
        <w:rPr>
          <w:i/>
        </w:rPr>
        <w:t>State Superannuation Act 2000</w:t>
      </w:r>
      <w:r>
        <w:t>.</w:t>
      </w:r>
    </w:p>
    <w:p>
      <w:pPr>
        <w:pStyle w:val="Heading5"/>
      </w:pPr>
      <w:bookmarkStart w:id="6" w:name="_Toc184390292"/>
      <w:r>
        <w:rPr>
          <w:rStyle w:val="CharSectno"/>
        </w:rPr>
        <w:t>4</w:t>
      </w:r>
      <w:r>
        <w:t>.</w:t>
      </w:r>
      <w:r>
        <w:tab/>
        <w:t>Section 3 amended</w:t>
      </w:r>
      <w:bookmarkEnd w:id="6"/>
    </w:p>
    <w:p>
      <w:pPr>
        <w:pStyle w:val="Subsection"/>
      </w:pPr>
      <w:r>
        <w:tab/>
      </w:r>
      <w:r>
        <w:tab/>
        <w:t>In section 3(1) insert in alphabetical order:</w:t>
      </w:r>
    </w:p>
    <w:p>
      <w:pPr>
        <w:pStyle w:val="BlankOpen"/>
      </w:pPr>
    </w:p>
    <w:p>
      <w:pPr>
        <w:pStyle w:val="zDefstart"/>
      </w:pPr>
      <w:r>
        <w:tab/>
      </w:r>
      <w:r>
        <w:rPr>
          <w:rStyle w:val="CharDefText"/>
        </w:rPr>
        <w:t>non</w:t>
      </w:r>
      <w:r>
        <w:rPr>
          <w:rStyle w:val="CharDefText"/>
        </w:rPr>
        <w:noBreakHyphen/>
        <w:t>government contributor</w:t>
      </w:r>
      <w:r>
        <w:t xml:space="preserve"> has the meaning given in section 37(1);</w:t>
      </w:r>
    </w:p>
    <w:p>
      <w:pPr>
        <w:pStyle w:val="zDefstart"/>
      </w:pPr>
      <w:r>
        <w:tab/>
      </w:r>
      <w:r>
        <w:rPr>
          <w:rStyle w:val="CharDefText"/>
        </w:rPr>
        <w:t>SGA Act</w:t>
      </w:r>
      <w:r>
        <w:t xml:space="preserve"> means the </w:t>
      </w:r>
      <w:r>
        <w:rPr>
          <w:i/>
        </w:rPr>
        <w:t>Superannuation Guarantee (Administration) Act 1992</w:t>
      </w:r>
      <w:r>
        <w:t xml:space="preserve"> (Commonwealth);</w:t>
      </w:r>
    </w:p>
    <w:p>
      <w:pPr>
        <w:pStyle w:val="BlankClose"/>
      </w:pPr>
    </w:p>
    <w:p>
      <w:pPr>
        <w:pStyle w:val="Heading5"/>
      </w:pPr>
      <w:bookmarkStart w:id="7" w:name="_Toc184390293"/>
      <w:r>
        <w:rPr>
          <w:rStyle w:val="CharSectno"/>
        </w:rPr>
        <w:t>5</w:t>
      </w:r>
      <w:r>
        <w:t>.</w:t>
      </w:r>
      <w:r>
        <w:tab/>
        <w:t>Section 4A amended</w:t>
      </w:r>
      <w:bookmarkEnd w:id="7"/>
    </w:p>
    <w:p>
      <w:pPr>
        <w:pStyle w:val="Subsection"/>
      </w:pPr>
      <w:r>
        <w:tab/>
        <w:t>(1)</w:t>
      </w:r>
      <w:r>
        <w:tab/>
        <w:t xml:space="preserve">In section 4A(1) delete the definition of </w:t>
      </w:r>
      <w:r>
        <w:rPr>
          <w:b/>
          <w:i/>
        </w:rPr>
        <w:t>SGA Act</w:t>
      </w:r>
      <w:r>
        <w:t>.</w:t>
      </w:r>
    </w:p>
    <w:p>
      <w:pPr>
        <w:pStyle w:val="Subsection"/>
      </w:pPr>
      <w:r>
        <w:tab/>
        <w:t>(2)</w:t>
      </w:r>
      <w:r>
        <w:tab/>
        <w:t>In section 4A(1) insert in alphabetical order:</w:t>
      </w:r>
    </w:p>
    <w:p>
      <w:pPr>
        <w:pStyle w:val="BlankOpen"/>
      </w:pPr>
    </w:p>
    <w:p>
      <w:pPr>
        <w:pStyle w:val="zDefstart"/>
      </w:pPr>
      <w:r>
        <w:tab/>
      </w:r>
      <w:r>
        <w:rPr>
          <w:rStyle w:val="CharDefText"/>
        </w:rPr>
        <w:t>Commissioner of Taxation</w:t>
      </w:r>
      <w:r>
        <w:t xml:space="preserve"> means the Commissioner of Taxation holding office under the </w:t>
      </w:r>
      <w:r>
        <w:rPr>
          <w:i/>
          <w:iCs/>
        </w:rPr>
        <w:t>Taxation Administration Act 1953</w:t>
      </w:r>
      <w:r>
        <w:rPr>
          <w:iCs/>
        </w:rPr>
        <w:t xml:space="preserve"> (Commonwealth)</w:t>
      </w:r>
      <w:r>
        <w:t>;</w:t>
      </w:r>
    </w:p>
    <w:p>
      <w:pPr>
        <w:pStyle w:val="zDefstart"/>
      </w:pPr>
      <w:r>
        <w:tab/>
      </w:r>
      <w:r>
        <w:rPr>
          <w:rStyle w:val="CharDefText"/>
        </w:rPr>
        <w:t>no stapled fund</w:t>
      </w:r>
      <w:r>
        <w:t xml:space="preserve"> has the meaning given in section 4AA(2); </w:t>
      </w:r>
    </w:p>
    <w:p>
      <w:pPr>
        <w:pStyle w:val="zDefstart"/>
      </w:pPr>
      <w:r>
        <w:lastRenderedPageBreak/>
        <w:tab/>
      </w:r>
      <w:r>
        <w:rPr>
          <w:rStyle w:val="CharDefText"/>
        </w:rPr>
        <w:t>stapled fund</w:t>
      </w:r>
      <w:r>
        <w:t xml:space="preserve"> has the meaning given in section 4AA(1);</w:t>
      </w:r>
    </w:p>
    <w:p>
      <w:pPr>
        <w:pStyle w:val="zDefstart"/>
      </w:pPr>
      <w:r>
        <w:tab/>
      </w:r>
      <w:r>
        <w:rPr>
          <w:rStyle w:val="CharDefText"/>
        </w:rPr>
        <w:t>stapled fund notification</w:t>
      </w:r>
      <w:r>
        <w:t xml:space="preserve"> means a notification to an Employer given by the Commissioner of Taxation under the SGA Act section 32R(2) or (3);</w:t>
      </w:r>
    </w:p>
    <w:p>
      <w:pPr>
        <w:pStyle w:val="BlankClose"/>
      </w:pPr>
    </w:p>
    <w:p>
      <w:pPr>
        <w:pStyle w:val="Subsection"/>
      </w:pPr>
      <w:r>
        <w:tab/>
        <w:t>(3)</w:t>
      </w:r>
      <w:r>
        <w:tab/>
        <w:t xml:space="preserve">In section 4A(1) in the definition of </w:t>
      </w:r>
      <w:r>
        <w:rPr>
          <w:b/>
          <w:i/>
        </w:rPr>
        <w:t>exempt employee</w:t>
      </w:r>
      <w:r>
        <w:t xml:space="preserve"> delete “section 30(1) or (2),” and insert:</w:t>
      </w:r>
    </w:p>
    <w:p>
      <w:pPr>
        <w:pStyle w:val="BlankOpen"/>
      </w:pPr>
    </w:p>
    <w:p>
      <w:pPr>
        <w:pStyle w:val="Subsection"/>
      </w:pPr>
      <w:r>
        <w:tab/>
      </w:r>
      <w:r>
        <w:tab/>
        <w:t>section 30(1),</w:t>
      </w:r>
    </w:p>
    <w:p>
      <w:pPr>
        <w:pStyle w:val="BlankClose"/>
      </w:pPr>
    </w:p>
    <w:p>
      <w:pPr>
        <w:pStyle w:val="Heading5"/>
      </w:pPr>
      <w:bookmarkStart w:id="8" w:name="_Toc184390294"/>
      <w:r>
        <w:rPr>
          <w:rStyle w:val="CharSectno"/>
        </w:rPr>
        <w:t>6</w:t>
      </w:r>
      <w:r>
        <w:t>.</w:t>
      </w:r>
      <w:r>
        <w:tab/>
        <w:t>Section 4AA inserted</w:t>
      </w:r>
      <w:bookmarkEnd w:id="8"/>
    </w:p>
    <w:p>
      <w:pPr>
        <w:pStyle w:val="Subsection"/>
      </w:pPr>
      <w:r>
        <w:tab/>
      </w:r>
      <w:r>
        <w:tab/>
        <w:t>After section 4A insert:</w:t>
      </w:r>
    </w:p>
    <w:p>
      <w:pPr>
        <w:pStyle w:val="BlankOpen"/>
      </w:pPr>
    </w:p>
    <w:p>
      <w:pPr>
        <w:pStyle w:val="zHeading5"/>
      </w:pPr>
      <w:bookmarkStart w:id="9" w:name="_Toc184390295"/>
      <w:r>
        <w:t>4AA.</w:t>
      </w:r>
      <w:r>
        <w:tab/>
        <w:t>Stapled funds</w:t>
      </w:r>
      <w:bookmarkEnd w:id="9"/>
    </w:p>
    <w:p>
      <w:pPr>
        <w:pStyle w:val="zSubsection"/>
      </w:pPr>
      <w:r>
        <w:tab/>
        <w:t>(1)</w:t>
      </w:r>
      <w:r>
        <w:tab/>
        <w:t xml:space="preserve">For the purposes of this Part, the </w:t>
      </w:r>
      <w:r>
        <w:rPr>
          <w:rStyle w:val="CharDefText"/>
        </w:rPr>
        <w:t>stapled fund</w:t>
      </w:r>
      <w:r>
        <w:t xml:space="preserve"> for an employee is the fund identified in the most recent stapled fund notification relating to the employee as the stapled fund for the employee.</w:t>
      </w:r>
    </w:p>
    <w:p>
      <w:pPr>
        <w:pStyle w:val="zSubsection"/>
      </w:pPr>
      <w:r>
        <w:tab/>
        <w:t>(2)</w:t>
      </w:r>
      <w:r>
        <w:tab/>
        <w:t xml:space="preserve">For the purposes of this Part, there is </w:t>
      </w:r>
      <w:r>
        <w:rPr>
          <w:rStyle w:val="CharDefText"/>
        </w:rPr>
        <w:t>no stapled fund</w:t>
      </w:r>
      <w:r>
        <w:rPr>
          <w:bCs/>
          <w:i/>
          <w:iCs/>
          <w:u w:val="single"/>
        </w:rPr>
        <w:t xml:space="preserve"> </w:t>
      </w:r>
      <w:r>
        <w:t xml:space="preserve">for an employee if the most recent stapled fund notification relating to the employee does not identify a stapled fund for the employee. </w:t>
      </w:r>
    </w:p>
    <w:p>
      <w:pPr>
        <w:pStyle w:val="BlankClose"/>
      </w:pPr>
    </w:p>
    <w:p>
      <w:pPr>
        <w:pStyle w:val="Heading5"/>
      </w:pPr>
      <w:bookmarkStart w:id="10" w:name="_Toc184390296"/>
      <w:r>
        <w:rPr>
          <w:rStyle w:val="CharSectno"/>
        </w:rPr>
        <w:t>7</w:t>
      </w:r>
      <w:r>
        <w:t>.</w:t>
      </w:r>
      <w:r>
        <w:tab/>
        <w:t>Section 4B amended</w:t>
      </w:r>
      <w:bookmarkEnd w:id="10"/>
    </w:p>
    <w:p>
      <w:pPr>
        <w:pStyle w:val="Subsection"/>
      </w:pPr>
      <w:r>
        <w:tab/>
      </w:r>
      <w:r>
        <w:tab/>
        <w:t>Delete section 4B(2) and (3).</w:t>
      </w:r>
    </w:p>
    <w:p>
      <w:pPr>
        <w:pStyle w:val="Heading5"/>
      </w:pPr>
      <w:bookmarkStart w:id="11" w:name="_Toc184390297"/>
      <w:r>
        <w:rPr>
          <w:rStyle w:val="CharSectno"/>
        </w:rPr>
        <w:lastRenderedPageBreak/>
        <w:t>8</w:t>
      </w:r>
      <w:r>
        <w:t>.</w:t>
      </w:r>
      <w:r>
        <w:tab/>
        <w:t>Section 4D inserted</w:t>
      </w:r>
      <w:bookmarkEnd w:id="11"/>
    </w:p>
    <w:p>
      <w:pPr>
        <w:pStyle w:val="Subsection"/>
        <w:keepNext/>
      </w:pPr>
      <w:r>
        <w:tab/>
      </w:r>
      <w:r>
        <w:tab/>
        <w:t>At the end of Part 2A insert:</w:t>
      </w:r>
    </w:p>
    <w:p>
      <w:pPr>
        <w:pStyle w:val="BlankOpen"/>
      </w:pPr>
    </w:p>
    <w:p>
      <w:pPr>
        <w:pStyle w:val="zHeading5"/>
      </w:pPr>
      <w:bookmarkStart w:id="12" w:name="_Toc184390298"/>
      <w:r>
        <w:t>4D.</w:t>
      </w:r>
      <w:r>
        <w:tab/>
        <w:t>Fund to which superannuation contributions must be made</w:t>
      </w:r>
      <w:bookmarkEnd w:id="12"/>
    </w:p>
    <w:p>
      <w:pPr>
        <w:pStyle w:val="zSubsection"/>
      </w:pPr>
      <w:r>
        <w:tab/>
        <w:t>(1)</w:t>
      </w:r>
      <w:r>
        <w:tab/>
        <w:t>An Employer must make any superannuation contribution it is required to make under section 4B or 4C in accordance with this section.</w:t>
      </w:r>
    </w:p>
    <w:p>
      <w:pPr>
        <w:pStyle w:val="zSubsection"/>
      </w:pPr>
      <w:r>
        <w:tab/>
        <w:t>(2)</w:t>
      </w:r>
      <w:r>
        <w:tab/>
        <w:t>If there is a chosen fund for the employee at the time the contribution is made, the superannuation contribution must be made to a fund that is a chosen fund for the employee.</w:t>
      </w:r>
    </w:p>
    <w:p>
      <w:pPr>
        <w:pStyle w:val="zSubsection"/>
      </w:pPr>
      <w:r>
        <w:tab/>
        <w:t>(3)</w:t>
      </w:r>
      <w:r>
        <w:tab/>
        <w:t>If there is no chosen fund for the employee at the time the contribution is made, the superannuation contribution must be made to the stapled fund for the employee.</w:t>
      </w:r>
    </w:p>
    <w:p>
      <w:pPr>
        <w:pStyle w:val="zSubsection"/>
      </w:pPr>
      <w:r>
        <w:tab/>
        <w:t>(4)</w:t>
      </w:r>
      <w:r>
        <w:tab/>
        <w:t>If there is no chosen fund and no stapled fund for the employee at the time the contribution is made, the superannuation contribution must be made to the default fund for the employee.</w:t>
      </w:r>
    </w:p>
    <w:p>
      <w:pPr>
        <w:pStyle w:val="zSubsection"/>
      </w:pPr>
      <w:r>
        <w:tab/>
        <w:t>(5)</w:t>
      </w:r>
      <w:r>
        <w:tab/>
        <w:t>Subsections (3) and (4) do not apply in respect of an employee who commenced employment before the commencement of this section.</w:t>
      </w:r>
    </w:p>
    <w:p>
      <w:pPr>
        <w:pStyle w:val="zSubsection"/>
      </w:pPr>
      <w:r>
        <w:tab/>
        <w:t>(6)</w:t>
      </w:r>
      <w:r>
        <w:tab/>
        <w:t>If subsections (3) and (4) do not apply in respect of the employee and there is no chosen fund for the employee at the time the contribution is made, the superannuation contribution must be made to the default fund for the employee.</w:t>
      </w:r>
    </w:p>
    <w:p>
      <w:pPr>
        <w:pStyle w:val="zSubsection"/>
        <w:keepLines/>
      </w:pPr>
      <w:r>
        <w:lastRenderedPageBreak/>
        <w:tab/>
        <w:t>(7)</w:t>
      </w:r>
      <w:r>
        <w:tab/>
        <w:t>Except as prescribed by the regulations, an Employer must comply with the requirements of the SGA Act Part 3A Division 6, even if it is not required by that Act to do so.</w:t>
      </w:r>
    </w:p>
    <w:p>
      <w:pPr>
        <w:pStyle w:val="BlankClose"/>
      </w:pPr>
    </w:p>
    <w:p>
      <w:pPr>
        <w:pStyle w:val="Heading5"/>
      </w:pPr>
      <w:bookmarkStart w:id="13" w:name="_Toc184390299"/>
      <w:r>
        <w:rPr>
          <w:rStyle w:val="CharSectno"/>
        </w:rPr>
        <w:t>9</w:t>
      </w:r>
      <w:r>
        <w:t>.</w:t>
      </w:r>
      <w:r>
        <w:tab/>
        <w:t>Section 6 amended</w:t>
      </w:r>
      <w:bookmarkEnd w:id="13"/>
    </w:p>
    <w:p>
      <w:pPr>
        <w:pStyle w:val="Subsection"/>
      </w:pPr>
      <w:r>
        <w:tab/>
      </w:r>
      <w:r>
        <w:tab/>
        <w:t>Before section 6(1)(ba) insert:</w:t>
      </w:r>
    </w:p>
    <w:p>
      <w:pPr>
        <w:pStyle w:val="BlankOpen"/>
      </w:pPr>
    </w:p>
    <w:p>
      <w:pPr>
        <w:pStyle w:val="zIndenta"/>
        <w:rPr>
          <w:bCs/>
          <w:iCs/>
        </w:rPr>
      </w:pPr>
      <w:r>
        <w:tab/>
        <w:t>(a)</w:t>
      </w:r>
      <w:r>
        <w:tab/>
        <w:t>assist the Treasurer in the administration of this Act;</w:t>
      </w:r>
    </w:p>
    <w:p>
      <w:pPr>
        <w:pStyle w:val="BlankClose"/>
      </w:pPr>
    </w:p>
    <w:p>
      <w:pPr>
        <w:pStyle w:val="Heading5"/>
      </w:pPr>
      <w:bookmarkStart w:id="14" w:name="_Toc184390300"/>
      <w:r>
        <w:rPr>
          <w:rStyle w:val="CharSectno"/>
        </w:rPr>
        <w:t>10</w:t>
      </w:r>
      <w:r>
        <w:t>.</w:t>
      </w:r>
      <w:r>
        <w:tab/>
        <w:t>Section 18 amended</w:t>
      </w:r>
      <w:bookmarkEnd w:id="14"/>
    </w:p>
    <w:p>
      <w:pPr>
        <w:pStyle w:val="Subsection"/>
      </w:pPr>
      <w:r>
        <w:tab/>
      </w:r>
      <w:r>
        <w:tab/>
        <w:t>After section 18(3) insert:</w:t>
      </w:r>
    </w:p>
    <w:p>
      <w:pPr>
        <w:pStyle w:val="BlankOpen"/>
      </w:pPr>
    </w:p>
    <w:p>
      <w:pPr>
        <w:pStyle w:val="zSubsection"/>
      </w:pPr>
      <w:r>
        <w:tab/>
        <w:t>(4)</w:t>
      </w:r>
      <w:r>
        <w:tab/>
        <w:t xml:space="preserve">Any procurement of services by the Board that is made in connection with the performance of its functions under this section is excluded from the application of the </w:t>
      </w:r>
      <w:r>
        <w:rPr>
          <w:i/>
          <w:iCs/>
        </w:rPr>
        <w:t>Procurement Act 2020</w:t>
      </w:r>
      <w:r>
        <w:t>.</w:t>
      </w:r>
    </w:p>
    <w:p>
      <w:pPr>
        <w:pStyle w:val="BlankClose"/>
      </w:pPr>
    </w:p>
    <w:p>
      <w:pPr>
        <w:pStyle w:val="SectAltNote"/>
      </w:pPr>
      <w:r>
        <w:tab/>
        <w:t>Note: The heading to amended section 18 is to read:</w:t>
      </w:r>
    </w:p>
    <w:p>
      <w:pPr>
        <w:pStyle w:val="SectAltHeading"/>
      </w:pPr>
      <w:r>
        <w:tab/>
      </w:r>
      <w:r>
        <w:tab/>
        <w:t>Investing Fund’s assets</w:t>
      </w:r>
    </w:p>
    <w:p>
      <w:pPr>
        <w:pStyle w:val="Heading5"/>
      </w:pPr>
      <w:bookmarkStart w:id="15" w:name="_Toc184390301"/>
      <w:r>
        <w:rPr>
          <w:rStyle w:val="CharSectno"/>
        </w:rPr>
        <w:t>11</w:t>
      </w:r>
      <w:r>
        <w:t>.</w:t>
      </w:r>
      <w:r>
        <w:tab/>
        <w:t>Section 23 amended</w:t>
      </w:r>
      <w:bookmarkEnd w:id="15"/>
    </w:p>
    <w:p>
      <w:pPr>
        <w:pStyle w:val="Subsection"/>
      </w:pPr>
      <w:r>
        <w:tab/>
      </w:r>
      <w:r>
        <w:tab/>
        <w:t>In section 23(1) delete the passage that begins with “appoint —” and continues to the end of the subsection and insert:</w:t>
      </w:r>
    </w:p>
    <w:p>
      <w:pPr>
        <w:pStyle w:val="BlankOpen"/>
      </w:pPr>
    </w:p>
    <w:p>
      <w:pPr>
        <w:pStyle w:val="Subsection"/>
      </w:pPr>
      <w:r>
        <w:tab/>
      </w:r>
      <w:r>
        <w:tab/>
        <w:t>appoint an employee of the Board or any other person as an investment manager on terms determined by the Board.</w:t>
      </w:r>
    </w:p>
    <w:p>
      <w:pPr>
        <w:pStyle w:val="BlankClose"/>
      </w:pPr>
    </w:p>
    <w:p>
      <w:pPr>
        <w:pStyle w:val="SectAltNote"/>
      </w:pPr>
      <w:r>
        <w:tab/>
        <w:t>Note: The heading to amended section 23 is to read:</w:t>
      </w:r>
    </w:p>
    <w:p>
      <w:pPr>
        <w:pStyle w:val="SectAltHeading"/>
      </w:pPr>
      <w:r>
        <w:tab/>
      </w:r>
      <w:r>
        <w:tab/>
        <w:t>Appointment of investment manager</w:t>
      </w:r>
    </w:p>
    <w:p>
      <w:pPr>
        <w:pStyle w:val="Heading5"/>
      </w:pPr>
      <w:bookmarkStart w:id="16" w:name="_Toc184390302"/>
      <w:r>
        <w:rPr>
          <w:rStyle w:val="CharSectno"/>
        </w:rPr>
        <w:lastRenderedPageBreak/>
        <w:t>12</w:t>
      </w:r>
      <w:r>
        <w:t>.</w:t>
      </w:r>
      <w:r>
        <w:tab/>
        <w:t>Section 24 amended</w:t>
      </w:r>
      <w:bookmarkEnd w:id="16"/>
    </w:p>
    <w:p>
      <w:pPr>
        <w:pStyle w:val="Subsection"/>
      </w:pPr>
      <w:r>
        <w:tab/>
      </w:r>
      <w:r>
        <w:tab/>
        <w:t xml:space="preserve">In section 24(3) in the definition of </w:t>
      </w:r>
      <w:r>
        <w:rPr>
          <w:b/>
          <w:i/>
        </w:rPr>
        <w:t>borrow money</w:t>
      </w:r>
      <w:r>
        <w:t xml:space="preserve"> delete “obtain credit”.</w:t>
      </w:r>
    </w:p>
    <w:p>
      <w:pPr>
        <w:pStyle w:val="Heading5"/>
      </w:pPr>
      <w:bookmarkStart w:id="17" w:name="_Toc184390303"/>
      <w:r>
        <w:rPr>
          <w:rStyle w:val="CharSectno"/>
        </w:rPr>
        <w:t>13</w:t>
      </w:r>
      <w:r>
        <w:t>.</w:t>
      </w:r>
      <w:r>
        <w:tab/>
        <w:t>Section 27 deleted</w:t>
      </w:r>
      <w:bookmarkEnd w:id="17"/>
    </w:p>
    <w:p>
      <w:pPr>
        <w:pStyle w:val="Subsection"/>
      </w:pPr>
      <w:r>
        <w:tab/>
      </w:r>
      <w:r>
        <w:tab/>
        <w:t>Delete section 27.</w:t>
      </w:r>
    </w:p>
    <w:p>
      <w:pPr>
        <w:pStyle w:val="Heading5"/>
      </w:pPr>
      <w:bookmarkStart w:id="18" w:name="_Toc184390304"/>
      <w:r>
        <w:rPr>
          <w:rStyle w:val="CharSectno"/>
        </w:rPr>
        <w:t>14</w:t>
      </w:r>
      <w:r>
        <w:t>.</w:t>
      </w:r>
      <w:r>
        <w:tab/>
        <w:t>Section 28 amended</w:t>
      </w:r>
      <w:bookmarkEnd w:id="18"/>
    </w:p>
    <w:p>
      <w:pPr>
        <w:pStyle w:val="Subsection"/>
      </w:pPr>
      <w:r>
        <w:tab/>
        <w:t>(1)</w:t>
      </w:r>
      <w:r>
        <w:tab/>
        <w:t>In section 28(2) delete “A scheme, other than a scheme continued by section 29(1)(b), (c) or (d),” and insert:</w:t>
      </w:r>
    </w:p>
    <w:p>
      <w:pPr>
        <w:pStyle w:val="BlankOpen"/>
      </w:pPr>
    </w:p>
    <w:p>
      <w:pPr>
        <w:pStyle w:val="Subsection"/>
      </w:pPr>
      <w:r>
        <w:tab/>
      </w:r>
      <w:r>
        <w:tab/>
        <w:t>Subject to subsection (2A), a scheme</w:t>
      </w:r>
    </w:p>
    <w:p>
      <w:pPr>
        <w:pStyle w:val="BlankClose"/>
      </w:pPr>
    </w:p>
    <w:p>
      <w:pPr>
        <w:pStyle w:val="Subsection"/>
      </w:pPr>
      <w:r>
        <w:tab/>
        <w:t>(2)</w:t>
      </w:r>
      <w:r>
        <w:tab/>
        <w:t>After section 28(2) insert:</w:t>
      </w:r>
    </w:p>
    <w:p>
      <w:pPr>
        <w:pStyle w:val="BlankOpen"/>
      </w:pPr>
    </w:p>
    <w:p>
      <w:pPr>
        <w:pStyle w:val="zSubsection"/>
      </w:pPr>
      <w:r>
        <w:tab/>
        <w:t>(2A)</w:t>
      </w:r>
      <w:r>
        <w:tab/>
        <w:t>A scheme continued by section 29(1)(b), (c) or (d) may only provide for the matters referred to in subsection (2) by regulations made in accordance with section 38(5A)(a).</w:t>
      </w:r>
    </w:p>
    <w:p>
      <w:pPr>
        <w:pStyle w:val="BlankClose"/>
      </w:pPr>
    </w:p>
    <w:p>
      <w:pPr>
        <w:pStyle w:val="Heading5"/>
      </w:pPr>
      <w:bookmarkStart w:id="19" w:name="_Toc184390305"/>
      <w:r>
        <w:rPr>
          <w:rStyle w:val="CharSectno"/>
        </w:rPr>
        <w:t>15</w:t>
      </w:r>
      <w:r>
        <w:t>.</w:t>
      </w:r>
      <w:r>
        <w:tab/>
        <w:t>Section 30 amended</w:t>
      </w:r>
      <w:bookmarkEnd w:id="19"/>
    </w:p>
    <w:p>
      <w:pPr>
        <w:pStyle w:val="Subsection"/>
      </w:pPr>
      <w:r>
        <w:tab/>
        <w:t>(1)</w:t>
      </w:r>
      <w:r>
        <w:tab/>
        <w:t>Delete section 30(2) and (3A).</w:t>
      </w:r>
    </w:p>
    <w:p>
      <w:pPr>
        <w:pStyle w:val="Subsection"/>
      </w:pPr>
      <w:r>
        <w:tab/>
        <w:t>(2)</w:t>
      </w:r>
      <w:r>
        <w:tab/>
        <w:t>Delete section 30(3)(b).</w:t>
      </w:r>
    </w:p>
    <w:p>
      <w:pPr>
        <w:pStyle w:val="Heading5"/>
      </w:pPr>
      <w:bookmarkStart w:id="20" w:name="_Toc184390306"/>
      <w:r>
        <w:rPr>
          <w:rStyle w:val="CharSectno"/>
        </w:rPr>
        <w:t>16</w:t>
      </w:r>
      <w:r>
        <w:t>.</w:t>
      </w:r>
      <w:r>
        <w:tab/>
        <w:t>Section 33 amended</w:t>
      </w:r>
      <w:bookmarkEnd w:id="20"/>
    </w:p>
    <w:p>
      <w:pPr>
        <w:pStyle w:val="Subsection"/>
      </w:pPr>
      <w:r>
        <w:tab/>
        <w:t>(1)</w:t>
      </w:r>
      <w:r>
        <w:tab/>
        <w:t>In section 33(4A) delete the passage that begins with “is to —” and continues to the end of the subsection and insert:</w:t>
      </w:r>
    </w:p>
    <w:p>
      <w:pPr>
        <w:pStyle w:val="BlankOpen"/>
      </w:pPr>
    </w:p>
    <w:p>
      <w:pPr>
        <w:pStyle w:val="Subsection"/>
      </w:pPr>
      <w:r>
        <w:tab/>
      </w:r>
      <w:r>
        <w:tab/>
        <w:t>must publish the guidelines on a website maintained by the Department.</w:t>
      </w:r>
    </w:p>
    <w:p>
      <w:pPr>
        <w:pStyle w:val="BlankClose"/>
      </w:pPr>
    </w:p>
    <w:p>
      <w:pPr>
        <w:pStyle w:val="Subsection"/>
      </w:pPr>
      <w:r>
        <w:lastRenderedPageBreak/>
        <w:tab/>
        <w:t>(2)</w:t>
      </w:r>
      <w:r>
        <w:tab/>
        <w:t xml:space="preserve">In section 33(4B) in the definition of </w:t>
      </w:r>
      <w:r>
        <w:rPr>
          <w:b/>
          <w:i/>
        </w:rPr>
        <w:t>Department</w:t>
      </w:r>
      <w:r>
        <w:t xml:space="preserve"> delete “this Act.” and insert:</w:t>
      </w:r>
    </w:p>
    <w:p>
      <w:pPr>
        <w:pStyle w:val="BlankOpen"/>
      </w:pPr>
    </w:p>
    <w:p>
      <w:pPr>
        <w:pStyle w:val="Subsection"/>
      </w:pPr>
      <w:r>
        <w:tab/>
      </w:r>
      <w:r>
        <w:tab/>
        <w:t xml:space="preserve">the </w:t>
      </w:r>
      <w:r>
        <w:rPr>
          <w:i/>
        </w:rPr>
        <w:t>Financial Management Act 2006</w:t>
      </w:r>
      <w:r>
        <w:t>.</w:t>
      </w:r>
    </w:p>
    <w:p>
      <w:pPr>
        <w:pStyle w:val="BlankClose"/>
      </w:pPr>
    </w:p>
    <w:p>
      <w:pPr>
        <w:pStyle w:val="Heading5"/>
      </w:pPr>
      <w:bookmarkStart w:id="21" w:name="_Toc184390307"/>
      <w:r>
        <w:rPr>
          <w:rStyle w:val="CharSectno"/>
        </w:rPr>
        <w:t>17</w:t>
      </w:r>
      <w:r>
        <w:t>.</w:t>
      </w:r>
      <w:r>
        <w:tab/>
        <w:t>Section 37 inserted</w:t>
      </w:r>
      <w:bookmarkEnd w:id="21"/>
    </w:p>
    <w:p>
      <w:pPr>
        <w:pStyle w:val="Subsection"/>
      </w:pPr>
      <w:r>
        <w:tab/>
      </w:r>
      <w:r>
        <w:tab/>
        <w:t>After section 36 insert:</w:t>
      </w:r>
    </w:p>
    <w:p>
      <w:pPr>
        <w:pStyle w:val="BlankOpen"/>
      </w:pPr>
    </w:p>
    <w:p>
      <w:pPr>
        <w:pStyle w:val="zHeading5"/>
        <w:rPr>
          <w:snapToGrid w:val="0"/>
        </w:rPr>
      </w:pPr>
      <w:bookmarkStart w:id="22" w:name="_Toc184390308"/>
      <w:r>
        <w:t>37</w:t>
      </w:r>
      <w:r>
        <w:rPr>
          <w:snapToGrid w:val="0"/>
        </w:rPr>
        <w:t>.</w:t>
      </w:r>
      <w:r>
        <w:rPr>
          <w:snapToGrid w:val="0"/>
        </w:rPr>
        <w:tab/>
        <w:t>Superannuation contributions made by non</w:t>
      </w:r>
      <w:r>
        <w:rPr>
          <w:snapToGrid w:val="0"/>
        </w:rPr>
        <w:noBreakHyphen/>
        <w:t>government contributors</w:t>
      </w:r>
      <w:bookmarkEnd w:id="22"/>
    </w:p>
    <w:p>
      <w:pPr>
        <w:pStyle w:val="zSubsection"/>
      </w:pPr>
      <w:r>
        <w:rPr>
          <w:snapToGrid w:val="0"/>
        </w:rPr>
        <w:tab/>
        <w:t>(1)</w:t>
      </w:r>
      <w:r>
        <w:rPr>
          <w:snapToGrid w:val="0"/>
        </w:rPr>
        <w:tab/>
        <w:t xml:space="preserve">In this section — </w:t>
      </w:r>
    </w:p>
    <w:p>
      <w:pPr>
        <w:pStyle w:val="zDefstart"/>
      </w:pPr>
      <w:r>
        <w:tab/>
      </w:r>
      <w:r>
        <w:rPr>
          <w:rStyle w:val="CharDefText"/>
        </w:rPr>
        <w:t>employee</w:t>
      </w:r>
      <w:r>
        <w:t xml:space="preserve"> has the meaning given in the SGA Act section 12;</w:t>
      </w:r>
    </w:p>
    <w:p>
      <w:pPr>
        <w:pStyle w:val="zDefstart"/>
      </w:pPr>
      <w:r>
        <w:tab/>
      </w:r>
      <w:r>
        <w:rPr>
          <w:rStyle w:val="CharDefText"/>
        </w:rPr>
        <w:t>non</w:t>
      </w:r>
      <w:r>
        <w:rPr>
          <w:rStyle w:val="CharDefText"/>
        </w:rPr>
        <w:noBreakHyphen/>
        <w:t>government contributor</w:t>
      </w:r>
      <w:r>
        <w:t xml:space="preserve"> means a person, other than an Employer, who makes a superannuation contribution for the benefit of an employee of the person.</w:t>
      </w:r>
    </w:p>
    <w:p>
      <w:pPr>
        <w:pStyle w:val="zSubsection"/>
      </w:pPr>
      <w:r>
        <w:tab/>
        <w:t>(2)</w:t>
      </w:r>
      <w:r>
        <w:tab/>
        <w:t>The Board may, with the written approval of the Treasurer —</w:t>
      </w:r>
    </w:p>
    <w:p>
      <w:pPr>
        <w:pStyle w:val="zIndenta"/>
      </w:pPr>
      <w:r>
        <w:tab/>
        <w:t>(a)</w:t>
      </w:r>
      <w:r>
        <w:tab/>
        <w:t>provide a service of receiving superannuation contributions that are made by non</w:t>
      </w:r>
      <w:r>
        <w:noBreakHyphen/>
        <w:t xml:space="preserve">government contributors; and </w:t>
      </w:r>
    </w:p>
    <w:p>
      <w:pPr>
        <w:pStyle w:val="zIndenta"/>
      </w:pPr>
      <w:r>
        <w:tab/>
        <w:t>(b)</w:t>
      </w:r>
      <w:r>
        <w:tab/>
        <w:t xml:space="preserve">credit the superannuation contributions to the Fund. </w:t>
      </w:r>
    </w:p>
    <w:p>
      <w:pPr>
        <w:pStyle w:val="zSubsection"/>
      </w:pPr>
      <w:r>
        <w:tab/>
        <w:t>(3)</w:t>
      </w:r>
      <w:r>
        <w:tab/>
        <w:t>The Treasurer’s approval may be of a general nature or limited to a particular non</w:t>
      </w:r>
      <w:r>
        <w:noBreakHyphen/>
        <w:t>government contributor or class of non</w:t>
      </w:r>
      <w:r>
        <w:noBreakHyphen/>
        <w:t>government contributors.</w:t>
      </w:r>
    </w:p>
    <w:p>
      <w:pPr>
        <w:pStyle w:val="zSubsection"/>
        <w:keepLines/>
      </w:pPr>
      <w:r>
        <w:lastRenderedPageBreak/>
        <w:tab/>
        <w:t>(4)</w:t>
      </w:r>
      <w:r>
        <w:tab/>
        <w:t>The Board may accept a superannuation contribution made by a non</w:t>
      </w:r>
      <w:r>
        <w:noBreakHyphen/>
        <w:t>government contributor only if the contribution is made for the benefit of an employee of the non</w:t>
      </w:r>
      <w:r>
        <w:noBreakHyphen/>
        <w:t>government contributor who is a member of a scheme.</w:t>
      </w:r>
    </w:p>
    <w:p>
      <w:pPr>
        <w:pStyle w:val="zSubsection"/>
      </w:pPr>
      <w:r>
        <w:tab/>
        <w:t>(5)</w:t>
      </w:r>
      <w:r>
        <w:tab/>
        <w:t>The Board must not credit a superannuation contribution made by a non</w:t>
      </w:r>
      <w:r>
        <w:noBreakHyphen/>
        <w:t>government contributor to an account that is kept for a scheme continued by section 29.</w:t>
      </w:r>
    </w:p>
    <w:p>
      <w:pPr>
        <w:pStyle w:val="Heading5"/>
      </w:pPr>
      <w:bookmarkStart w:id="23" w:name="_Toc184390309"/>
      <w:r>
        <w:rPr>
          <w:rStyle w:val="CharSectno"/>
        </w:rPr>
        <w:t>18</w:t>
      </w:r>
      <w:r>
        <w:t>.</w:t>
      </w:r>
      <w:r>
        <w:tab/>
        <w:t>Section 38 amended</w:t>
      </w:r>
      <w:bookmarkEnd w:id="23"/>
    </w:p>
    <w:p>
      <w:pPr>
        <w:pStyle w:val="Subsection"/>
      </w:pPr>
      <w:r>
        <w:tab/>
        <w:t>(1)</w:t>
      </w:r>
      <w:r>
        <w:tab/>
        <w:t>After section 38(2)(c) insert:</w:t>
      </w:r>
    </w:p>
    <w:p>
      <w:pPr>
        <w:pStyle w:val="BlankOpen"/>
      </w:pPr>
    </w:p>
    <w:p>
      <w:pPr>
        <w:pStyle w:val="zIndenta"/>
      </w:pPr>
      <w:r>
        <w:tab/>
        <w:t>(ca)</w:t>
      </w:r>
      <w:r>
        <w:tab/>
        <w:t>contributions by non</w:t>
      </w:r>
      <w:r>
        <w:noBreakHyphen/>
        <w:t>government contributors; and</w:t>
      </w:r>
    </w:p>
    <w:p>
      <w:pPr>
        <w:pStyle w:val="BlankClose"/>
      </w:pPr>
    </w:p>
    <w:p>
      <w:pPr>
        <w:pStyle w:val="Subsection"/>
      </w:pPr>
      <w:r>
        <w:tab/>
        <w:t>(2)</w:t>
      </w:r>
      <w:r>
        <w:tab/>
        <w:t>In section 38(4):</w:t>
      </w:r>
    </w:p>
    <w:p>
      <w:pPr>
        <w:pStyle w:val="Indenta"/>
      </w:pPr>
      <w:r>
        <w:tab/>
        <w:t>(a)</w:t>
      </w:r>
      <w:r>
        <w:tab/>
        <w:t>in paragraph (a) after “would be” insert:</w:t>
      </w:r>
    </w:p>
    <w:p>
      <w:pPr>
        <w:pStyle w:val="BlankOpen"/>
      </w:pPr>
    </w:p>
    <w:p>
      <w:pPr>
        <w:pStyle w:val="Indenta"/>
      </w:pPr>
      <w:r>
        <w:tab/>
      </w:r>
      <w:r>
        <w:tab/>
        <w:t>required or</w:t>
      </w:r>
    </w:p>
    <w:p>
      <w:pPr>
        <w:pStyle w:val="BlankClose"/>
      </w:pPr>
    </w:p>
    <w:p>
      <w:pPr>
        <w:pStyle w:val="Indenta"/>
      </w:pPr>
      <w:r>
        <w:tab/>
        <w:t>(b)</w:t>
      </w:r>
      <w:r>
        <w:tab/>
        <w:t>in paragraph (a) delete “the SIS Act to be made to the governing rules of that fund; or” and insert:</w:t>
      </w:r>
    </w:p>
    <w:p>
      <w:pPr>
        <w:pStyle w:val="BlankOpen"/>
      </w:pPr>
    </w:p>
    <w:p>
      <w:pPr>
        <w:pStyle w:val="Indenta"/>
      </w:pPr>
      <w:r>
        <w:tab/>
      </w:r>
      <w:r>
        <w:tab/>
        <w:t>Commonwealth legislation; or</w:t>
      </w:r>
    </w:p>
    <w:p>
      <w:pPr>
        <w:pStyle w:val="BlankClose"/>
      </w:pPr>
    </w:p>
    <w:p>
      <w:pPr>
        <w:pStyle w:val="Indenta"/>
      </w:pPr>
      <w:r>
        <w:tab/>
        <w:t>(c)</w:t>
      </w:r>
      <w:r>
        <w:tab/>
        <w:t>in paragraph (b) delete “them; or” and insert:</w:t>
      </w:r>
    </w:p>
    <w:p>
      <w:pPr>
        <w:pStyle w:val="BlankOpen"/>
      </w:pPr>
    </w:p>
    <w:p>
      <w:pPr>
        <w:pStyle w:val="Indenta"/>
      </w:pPr>
      <w:r>
        <w:tab/>
      </w:r>
      <w:r>
        <w:tab/>
        <w:t>them.</w:t>
      </w:r>
    </w:p>
    <w:p>
      <w:pPr>
        <w:pStyle w:val="BlankClose"/>
      </w:pPr>
    </w:p>
    <w:p>
      <w:pPr>
        <w:pStyle w:val="Indenta"/>
      </w:pPr>
      <w:r>
        <w:tab/>
        <w:t>(d)</w:t>
      </w:r>
      <w:r>
        <w:tab/>
        <w:t>delete paragraphs (c) and (d).</w:t>
      </w:r>
    </w:p>
    <w:p>
      <w:pPr>
        <w:pStyle w:val="Subsection"/>
        <w:keepNext/>
      </w:pPr>
      <w:r>
        <w:lastRenderedPageBreak/>
        <w:tab/>
        <w:t>(3)</w:t>
      </w:r>
      <w:r>
        <w:tab/>
        <w:t>Delete section 38(5A)(a) and insert:</w:t>
      </w:r>
    </w:p>
    <w:p>
      <w:pPr>
        <w:pStyle w:val="BlankOpen"/>
      </w:pPr>
    </w:p>
    <w:p>
      <w:pPr>
        <w:pStyle w:val="zIndenta"/>
      </w:pPr>
      <w:r>
        <w:tab/>
        <w:t>(a)</w:t>
      </w:r>
      <w:r>
        <w:tab/>
        <w:t>the Treasurer has certified that the Treasurer is satisfied that the change to be made by the regulations is a change that, if each scheme affected by the regulations were a regulated superannuation fund, would be required or permitted under Commonwealth legislation; or</w:t>
      </w:r>
    </w:p>
    <w:p>
      <w:pPr>
        <w:pStyle w:val="BlankClose"/>
      </w:pPr>
    </w:p>
    <w:p>
      <w:pPr>
        <w:pStyle w:val="Subsection"/>
      </w:pPr>
      <w:r>
        <w:tab/>
        <w:t>(4)</w:t>
      </w:r>
      <w:r>
        <w:tab/>
        <w:t>Delete section 38(5C), (5E) and (6A).</w:t>
      </w:r>
    </w:p>
    <w:p>
      <w:pPr>
        <w:pStyle w:val="Subsection"/>
      </w:pPr>
      <w:r>
        <w:tab/>
        <w:t>(5)</w:t>
      </w:r>
      <w:r>
        <w:tab/>
        <w:t xml:space="preserve">In section 38(6) delete “the </w:t>
      </w:r>
      <w:r>
        <w:rPr>
          <w:i/>
        </w:rPr>
        <w:t>Gazette</w:t>
      </w:r>
      <w:r>
        <w:t>.” and insert:</w:t>
      </w:r>
    </w:p>
    <w:p>
      <w:pPr>
        <w:pStyle w:val="BlankOpen"/>
      </w:pPr>
    </w:p>
    <w:p>
      <w:pPr>
        <w:pStyle w:val="Subsection"/>
      </w:pPr>
      <w:r>
        <w:tab/>
      </w:r>
      <w:r>
        <w:tab/>
        <w:t xml:space="preserve">accordance with the </w:t>
      </w:r>
      <w:r>
        <w:rPr>
          <w:i/>
        </w:rPr>
        <w:t xml:space="preserve">Interpretation Act 1984 </w:t>
      </w:r>
      <w:r>
        <w:t>section 41(1)(a)</w:t>
      </w:r>
      <w:r>
        <w:rPr>
          <w:iCs/>
        </w:rPr>
        <w:t>.</w:t>
      </w:r>
    </w:p>
    <w:p>
      <w:pPr>
        <w:pStyle w:val="BlankClose"/>
      </w:pPr>
    </w:p>
    <w:p>
      <w:pPr>
        <w:pStyle w:val="Subsection"/>
      </w:pPr>
      <w:r>
        <w:tab/>
        <w:t>(6)</w:t>
      </w:r>
      <w:r>
        <w:tab/>
        <w:t>Delete section 38(9).</w:t>
      </w:r>
    </w:p>
    <w:p>
      <w:pPr>
        <w:pStyle w:val="Heading5"/>
      </w:pPr>
      <w:bookmarkStart w:id="24" w:name="_Toc184390310"/>
      <w:r>
        <w:rPr>
          <w:rStyle w:val="CharSectno"/>
        </w:rPr>
        <w:t>19</w:t>
      </w:r>
      <w:r>
        <w:t>.</w:t>
      </w:r>
      <w:r>
        <w:tab/>
        <w:t>Part 7 inserted</w:t>
      </w:r>
      <w:bookmarkEnd w:id="24"/>
    </w:p>
    <w:p>
      <w:pPr>
        <w:pStyle w:val="Subsection"/>
      </w:pPr>
      <w:r>
        <w:tab/>
      </w:r>
      <w:r>
        <w:tab/>
        <w:t>After section 40 insert:</w:t>
      </w:r>
    </w:p>
    <w:p>
      <w:pPr>
        <w:pStyle w:val="BlankOpen"/>
      </w:pPr>
    </w:p>
    <w:p>
      <w:pPr>
        <w:pStyle w:val="zHeading2"/>
      </w:pPr>
      <w:bookmarkStart w:id="25" w:name="_Toc184390236"/>
      <w:bookmarkStart w:id="26" w:name="_Toc184390273"/>
      <w:bookmarkStart w:id="27" w:name="_Toc184390311"/>
      <w:r>
        <w:t>Part 7</w:t>
      </w:r>
      <w:r>
        <w:rPr>
          <w:rStyle w:val="CharDivNo"/>
        </w:rPr>
        <w:t> </w:t>
      </w:r>
      <w:r>
        <w:t>—</w:t>
      </w:r>
      <w:r>
        <w:rPr>
          <w:rStyle w:val="CharDivText"/>
        </w:rPr>
        <w:t> </w:t>
      </w:r>
      <w:r>
        <w:t>Savings and transitional provisions</w:t>
      </w:r>
      <w:bookmarkEnd w:id="25"/>
      <w:bookmarkEnd w:id="26"/>
      <w:bookmarkEnd w:id="27"/>
    </w:p>
    <w:p>
      <w:pPr>
        <w:pStyle w:val="zHeading5"/>
      </w:pPr>
      <w:bookmarkStart w:id="28" w:name="_Toc184390312"/>
      <w:r>
        <w:t>41.</w:t>
      </w:r>
      <w:r>
        <w:tab/>
        <w:t>Default fund for employee</w:t>
      </w:r>
      <w:bookmarkEnd w:id="28"/>
      <w:r>
        <w:t xml:space="preserve"> </w:t>
      </w:r>
    </w:p>
    <w:p>
      <w:pPr>
        <w:pStyle w:val="zSubsection"/>
      </w:pPr>
      <w:r>
        <w:tab/>
        <w:t>(1)</w:t>
      </w:r>
      <w:r>
        <w:tab/>
        <w:t xml:space="preserve">If, immediately before the day on which the </w:t>
      </w:r>
      <w:r>
        <w:rPr>
          <w:i/>
        </w:rPr>
        <w:t>State Superannuation Amendment Act 2024</w:t>
      </w:r>
      <w:r>
        <w:t xml:space="preserve"> section 15(1) comes into operation, superannuation contributions were being made by an Employer in relation to an employee to a superannuation fund or scheme in accordance with the approval of the Treasurer under section 30(2) —</w:t>
      </w:r>
    </w:p>
    <w:p>
      <w:pPr>
        <w:pStyle w:val="zIndenta"/>
      </w:pPr>
      <w:r>
        <w:tab/>
        <w:t>(a)</w:t>
      </w:r>
      <w:r>
        <w:tab/>
        <w:t>the employee continues to be an exempt employee, for the purposes of Part 2A, in relation to that Employer; and</w:t>
      </w:r>
    </w:p>
    <w:p>
      <w:pPr>
        <w:pStyle w:val="zIndenta"/>
      </w:pPr>
      <w:r>
        <w:lastRenderedPageBreak/>
        <w:tab/>
        <w:t>(b)</w:t>
      </w:r>
      <w:r>
        <w:tab/>
        <w:t>the fund or scheme to which the contributions were being made continues to be the default fund in relation to that exempt employee for the purposes of Part 2A.</w:t>
      </w:r>
    </w:p>
    <w:p>
      <w:pPr>
        <w:pStyle w:val="zSubsection"/>
      </w:pPr>
      <w:r>
        <w:tab/>
        <w:t>(2)</w:t>
      </w:r>
      <w:r>
        <w:tab/>
        <w:t>Subsection (1) ceases to apply if the Treasurer revokes approval of the fund as the default fund for the employee.</w:t>
      </w:r>
    </w:p>
    <w:p>
      <w:pPr>
        <w:pStyle w:val="zHeading5"/>
      </w:pPr>
      <w:bookmarkStart w:id="29" w:name="_Toc184390313"/>
      <w:r>
        <w:t>42.</w:t>
      </w:r>
      <w:r>
        <w:tab/>
        <w:t>Maximum period of service for directors</w:t>
      </w:r>
      <w:bookmarkEnd w:id="29"/>
    </w:p>
    <w:p>
      <w:pPr>
        <w:pStyle w:val="zSubsection"/>
      </w:pPr>
      <w:r>
        <w:tab/>
        <w:t>(1)</w:t>
      </w:r>
      <w:r>
        <w:tab/>
        <w:t xml:space="preserve">A term of office of a chairperson of the Board or an Employer director that commenced before the day on which the </w:t>
      </w:r>
      <w:r>
        <w:rPr>
          <w:i/>
        </w:rPr>
        <w:t>State Superannuation Amendment Act 2024</w:t>
      </w:r>
      <w:r>
        <w:t xml:space="preserve"> section 21(2) comes into operation does not count towards the maximum period of service of the chairperson or Employer director.</w:t>
      </w:r>
    </w:p>
    <w:p>
      <w:pPr>
        <w:pStyle w:val="zSubsection"/>
      </w:pPr>
      <w:r>
        <w:tab/>
        <w:t>(2)</w:t>
      </w:r>
      <w:r>
        <w:tab/>
        <w:t xml:space="preserve">A term of office of an elected director that commenced before the day on which the </w:t>
      </w:r>
      <w:r>
        <w:rPr>
          <w:i/>
        </w:rPr>
        <w:t>State Superannuation Amendment Act 2024</w:t>
      </w:r>
      <w:r>
        <w:t xml:space="preserve"> section 22 comes into operation does not count towards the maximum period of service of the elected director.</w:t>
      </w:r>
    </w:p>
    <w:p>
      <w:pPr>
        <w:pStyle w:val="zHeading5"/>
      </w:pPr>
      <w:bookmarkStart w:id="30" w:name="_Toc184390314"/>
      <w:r>
        <w:t>43.</w:t>
      </w:r>
      <w:r>
        <w:tab/>
        <w:t>Changes to regulation</w:t>
      </w:r>
      <w:r>
        <w:noBreakHyphen/>
        <w:t>making power</w:t>
      </w:r>
      <w:bookmarkEnd w:id="30"/>
    </w:p>
    <w:p>
      <w:pPr>
        <w:pStyle w:val="zSubsection"/>
      </w:pPr>
      <w:r>
        <w:tab/>
      </w:r>
      <w:r>
        <w:tab/>
        <w:t xml:space="preserve">The amendment of section 38 by the </w:t>
      </w:r>
      <w:r>
        <w:rPr>
          <w:i/>
        </w:rPr>
        <w:t>State Superannuation Amendment Act 2024</w:t>
      </w:r>
      <w:r>
        <w:t xml:space="preserve"> section 18 does not affect the validity of any regulation in effect immediately before section 18 comes into operation.</w:t>
      </w:r>
    </w:p>
    <w:p>
      <w:pPr>
        <w:pStyle w:val="BlankClose"/>
      </w:pPr>
    </w:p>
    <w:p>
      <w:pPr>
        <w:pStyle w:val="Heading5"/>
      </w:pPr>
      <w:bookmarkStart w:id="31" w:name="_Toc184390315"/>
      <w:r>
        <w:rPr>
          <w:rStyle w:val="CharSectno"/>
        </w:rPr>
        <w:lastRenderedPageBreak/>
        <w:t>20</w:t>
      </w:r>
      <w:r>
        <w:t>.</w:t>
      </w:r>
      <w:r>
        <w:tab/>
        <w:t>Schedule 1 clause 1A inserted</w:t>
      </w:r>
      <w:bookmarkEnd w:id="31"/>
    </w:p>
    <w:p>
      <w:pPr>
        <w:pStyle w:val="Subsection"/>
        <w:keepNext/>
      </w:pPr>
      <w:r>
        <w:tab/>
      </w:r>
      <w:r>
        <w:tab/>
        <w:t>At the beginning of Schedule 1 insert:</w:t>
      </w:r>
    </w:p>
    <w:p>
      <w:pPr>
        <w:pStyle w:val="BlankOpen"/>
      </w:pPr>
    </w:p>
    <w:p>
      <w:pPr>
        <w:pStyle w:val="zyHeading5"/>
      </w:pPr>
      <w:bookmarkStart w:id="32" w:name="_Toc184390316"/>
      <w:r>
        <w:t>1A.</w:t>
      </w:r>
      <w:r>
        <w:tab/>
        <w:t>Terms used</w:t>
      </w:r>
      <w:bookmarkEnd w:id="32"/>
    </w:p>
    <w:p>
      <w:pPr>
        <w:pStyle w:val="zySubsection"/>
        <w:keepNext/>
      </w:pPr>
      <w:r>
        <w:tab/>
      </w:r>
      <w:r>
        <w:tab/>
        <w:t xml:space="preserve">In this Schedule — </w:t>
      </w:r>
    </w:p>
    <w:p>
      <w:pPr>
        <w:pStyle w:val="zyDefstart"/>
      </w:pPr>
      <w:r>
        <w:tab/>
      </w:r>
      <w:r>
        <w:rPr>
          <w:rStyle w:val="CharDefText"/>
        </w:rPr>
        <w:t>Employer director</w:t>
      </w:r>
      <w:r>
        <w:t xml:space="preserve"> means a director appointed under section 8(1)(b);</w:t>
      </w:r>
    </w:p>
    <w:p>
      <w:pPr>
        <w:pStyle w:val="zyDefstart"/>
        <w:keepNext/>
      </w:pPr>
      <w:r>
        <w:tab/>
      </w:r>
      <w:r>
        <w:rPr>
          <w:rStyle w:val="CharDefText"/>
        </w:rPr>
        <w:t>Member director</w:t>
      </w:r>
      <w:r>
        <w:t xml:space="preserve"> means a director elected under section 8(1)(c). </w:t>
      </w:r>
    </w:p>
    <w:p>
      <w:pPr>
        <w:pStyle w:val="BlankClose"/>
      </w:pPr>
    </w:p>
    <w:p>
      <w:pPr>
        <w:pStyle w:val="Heading5"/>
      </w:pPr>
      <w:bookmarkStart w:id="33" w:name="_Toc184390317"/>
      <w:r>
        <w:rPr>
          <w:rStyle w:val="CharSectno"/>
        </w:rPr>
        <w:t>21</w:t>
      </w:r>
      <w:r>
        <w:t>.</w:t>
      </w:r>
      <w:r>
        <w:tab/>
        <w:t>Schedule 1 clause 4 amended</w:t>
      </w:r>
      <w:bookmarkEnd w:id="33"/>
    </w:p>
    <w:p>
      <w:pPr>
        <w:pStyle w:val="Subsection"/>
      </w:pPr>
      <w:r>
        <w:tab/>
        <w:t>(1)</w:t>
      </w:r>
      <w:r>
        <w:tab/>
        <w:t>In Schedule 1 clause 4(1) delete “</w:t>
      </w:r>
      <w:r>
        <w:rPr>
          <w:sz w:val="22"/>
        </w:rPr>
        <w:t>chairman or is appointed under section 8(1)(b) to be a director</w:t>
      </w:r>
      <w:r>
        <w:t>” and insert:</w:t>
      </w:r>
    </w:p>
    <w:p>
      <w:pPr>
        <w:pStyle w:val="BlankOpen"/>
      </w:pPr>
    </w:p>
    <w:p>
      <w:pPr>
        <w:pStyle w:val="Subsection"/>
        <w:rPr>
          <w:sz w:val="22"/>
        </w:rPr>
      </w:pPr>
      <w:r>
        <w:tab/>
      </w:r>
      <w:r>
        <w:tab/>
      </w:r>
      <w:r>
        <w:rPr>
          <w:sz w:val="22"/>
        </w:rPr>
        <w:t>chairperson or is appointed as an Employer director</w:t>
      </w:r>
    </w:p>
    <w:p>
      <w:pPr>
        <w:pStyle w:val="BlankClose"/>
      </w:pPr>
    </w:p>
    <w:p>
      <w:pPr>
        <w:pStyle w:val="Subsection"/>
      </w:pPr>
      <w:r>
        <w:tab/>
        <w:t>(2)</w:t>
      </w:r>
      <w:r>
        <w:tab/>
        <w:t>Delete Schedule 1 clause 4(2) and (3) and insert:</w:t>
      </w:r>
    </w:p>
    <w:p>
      <w:pPr>
        <w:pStyle w:val="BlankOpen"/>
      </w:pPr>
    </w:p>
    <w:p>
      <w:pPr>
        <w:pStyle w:val="zySubsection"/>
      </w:pPr>
      <w:r>
        <w:tab/>
        <w:t>(2)</w:t>
      </w:r>
      <w:r>
        <w:tab/>
        <w:t>A person appointed as chairperson or an Employer director is eligible (if otherwise qualified) for re</w:t>
      </w:r>
      <w:r>
        <w:noBreakHyphen/>
        <w:t xml:space="preserve">appointment. </w:t>
      </w:r>
    </w:p>
    <w:p>
      <w:pPr>
        <w:pStyle w:val="zySubsection"/>
      </w:pPr>
      <w:r>
        <w:tab/>
        <w:t>(3)</w:t>
      </w:r>
      <w:r>
        <w:tab/>
        <w:t xml:space="preserve">The maximum period for which a person is eligible to serve as chairperson or an Employer director is 10 years. </w:t>
      </w:r>
    </w:p>
    <w:p>
      <w:pPr>
        <w:pStyle w:val="zySubsection"/>
      </w:pPr>
      <w:r>
        <w:tab/>
        <w:t>(4)</w:t>
      </w:r>
      <w:r>
        <w:tab/>
        <w:t>However, the Treasurer may appoint a person as chairperson or an Employer director for 1 term of office that exceeds the maximum period.</w:t>
      </w:r>
    </w:p>
    <w:p>
      <w:pPr>
        <w:pStyle w:val="BlankClose"/>
      </w:pPr>
    </w:p>
    <w:p>
      <w:pPr>
        <w:pStyle w:val="SectAltNote"/>
      </w:pPr>
      <w:r>
        <w:tab/>
        <w:t>Note: The heading to amended Schedule 1 clause 4 is to read:</w:t>
      </w:r>
    </w:p>
    <w:p>
      <w:pPr>
        <w:pStyle w:val="SectAltHeading"/>
      </w:pPr>
      <w:r>
        <w:tab/>
      </w:r>
      <w:r>
        <w:tab/>
        <w:t>Term of office: chairperson and Employer directors</w:t>
      </w:r>
    </w:p>
    <w:p>
      <w:pPr>
        <w:pStyle w:val="Heading5"/>
      </w:pPr>
      <w:bookmarkStart w:id="34" w:name="_Toc184390318"/>
      <w:r>
        <w:rPr>
          <w:rStyle w:val="CharSectno"/>
        </w:rPr>
        <w:lastRenderedPageBreak/>
        <w:t>22</w:t>
      </w:r>
      <w:r>
        <w:t>.</w:t>
      </w:r>
      <w:r>
        <w:tab/>
        <w:t>Schedule 1 clause 4A inserted</w:t>
      </w:r>
      <w:bookmarkEnd w:id="34"/>
    </w:p>
    <w:p>
      <w:pPr>
        <w:pStyle w:val="Subsection"/>
      </w:pPr>
      <w:r>
        <w:tab/>
      </w:r>
      <w:r>
        <w:tab/>
        <w:t>After Schedule 1 clause 4 insert:</w:t>
      </w:r>
    </w:p>
    <w:p>
      <w:pPr>
        <w:pStyle w:val="BlankOpen"/>
      </w:pPr>
    </w:p>
    <w:p>
      <w:pPr>
        <w:pStyle w:val="zyHeading5"/>
      </w:pPr>
      <w:bookmarkStart w:id="35" w:name="_Toc184390319"/>
      <w:r>
        <w:t>4A.</w:t>
      </w:r>
      <w:r>
        <w:tab/>
        <w:t>Term of office: Member directors</w:t>
      </w:r>
      <w:bookmarkEnd w:id="35"/>
      <w:r>
        <w:t xml:space="preserve"> </w:t>
      </w:r>
    </w:p>
    <w:p>
      <w:pPr>
        <w:pStyle w:val="zySubsection"/>
      </w:pPr>
      <w:r>
        <w:tab/>
        <w:t>(1)</w:t>
      </w:r>
      <w:r>
        <w:tab/>
        <w:t>The term of office for which a Member director is elected is 3 years.</w:t>
      </w:r>
    </w:p>
    <w:p>
      <w:pPr>
        <w:pStyle w:val="zySubsection"/>
      </w:pPr>
      <w:r>
        <w:tab/>
        <w:t>(2)</w:t>
      </w:r>
      <w:r>
        <w:tab/>
        <w:t>A person elected as a Member director is eligible (if otherwise qualified) for re</w:t>
      </w:r>
      <w:r>
        <w:noBreakHyphen/>
        <w:t xml:space="preserve">election. </w:t>
      </w:r>
    </w:p>
    <w:p>
      <w:pPr>
        <w:pStyle w:val="zySubsection"/>
      </w:pPr>
      <w:r>
        <w:tab/>
        <w:t>(3)</w:t>
      </w:r>
      <w:r>
        <w:tab/>
        <w:t xml:space="preserve">The maximum period for which a person is eligible to serve as a Member director is 3 terms. </w:t>
      </w:r>
    </w:p>
    <w:p>
      <w:pPr>
        <w:pStyle w:val="zySubsection"/>
      </w:pPr>
      <w:r>
        <w:tab/>
        <w:t>(4)</w:t>
      </w:r>
      <w:r>
        <w:tab/>
        <w:t>However, a person is eligible to serve a 4</w:t>
      </w:r>
      <w:r>
        <w:rPr>
          <w:vertAlign w:val="superscript"/>
        </w:rPr>
        <w:t>th</w:t>
      </w:r>
      <w:r>
        <w:t> term as a Member director if the Treasurer permits the person to serve a 4</w:t>
      </w:r>
      <w:r>
        <w:rPr>
          <w:vertAlign w:val="superscript"/>
        </w:rPr>
        <w:t>th</w:t>
      </w:r>
      <w:r>
        <w:t> term under subsection (5).</w:t>
      </w:r>
    </w:p>
    <w:p>
      <w:pPr>
        <w:pStyle w:val="zySubsection"/>
      </w:pPr>
      <w:r>
        <w:tab/>
        <w:t>(5)</w:t>
      </w:r>
      <w:r>
        <w:tab/>
        <w:t>The Treasurer may, by instrument in writing made at the request of the Board, permit a specified person to serve a 4</w:t>
      </w:r>
      <w:r>
        <w:rPr>
          <w:vertAlign w:val="superscript"/>
        </w:rPr>
        <w:t>th</w:t>
      </w:r>
      <w:r>
        <w:t> term of office as a Member director.</w:t>
      </w:r>
    </w:p>
    <w:p>
      <w:pPr>
        <w:pStyle w:val="zySubsection"/>
      </w:pPr>
      <w:r>
        <w:tab/>
        <w:t>(6)</w:t>
      </w:r>
      <w:r>
        <w:tab/>
        <w:t>The Treasurer must consult with unions or associations of unions that appear to the Treasurer to be broadly representative of persons who work for Employers before permitting a person to serve a 4</w:t>
      </w:r>
      <w:r>
        <w:rPr>
          <w:vertAlign w:val="superscript"/>
        </w:rPr>
        <w:t>th</w:t>
      </w:r>
      <w:r>
        <w:t> term as a Member director.</w:t>
      </w:r>
    </w:p>
    <w:p>
      <w:pPr>
        <w:pStyle w:val="BlankClose"/>
      </w:pPr>
    </w:p>
    <w:p>
      <w:pPr>
        <w:pStyle w:val="Heading5"/>
      </w:pPr>
      <w:bookmarkStart w:id="36" w:name="_Toc184390320"/>
      <w:r>
        <w:rPr>
          <w:rStyle w:val="CharSectno"/>
        </w:rPr>
        <w:t>23</w:t>
      </w:r>
      <w:r>
        <w:t>.</w:t>
      </w:r>
      <w:r>
        <w:tab/>
        <w:t>Schedule 1 clause 6 amended</w:t>
      </w:r>
      <w:bookmarkEnd w:id="36"/>
    </w:p>
    <w:p>
      <w:pPr>
        <w:pStyle w:val="Subsection"/>
      </w:pPr>
      <w:r>
        <w:tab/>
        <w:t>(1)</w:t>
      </w:r>
      <w:r>
        <w:tab/>
        <w:t>In Schedule 1 clause 6(3) delete “</w:t>
      </w:r>
      <w:r>
        <w:rPr>
          <w:sz w:val="22"/>
        </w:rPr>
        <w:t>director elected under section 8(1)(c), the Treasurer may appoint a Member</w:t>
      </w:r>
      <w:r>
        <w:t>” and insert:</w:t>
      </w:r>
    </w:p>
    <w:p>
      <w:pPr>
        <w:pStyle w:val="BlankOpen"/>
      </w:pPr>
    </w:p>
    <w:p>
      <w:pPr>
        <w:pStyle w:val="Subsection"/>
      </w:pPr>
      <w:r>
        <w:tab/>
      </w:r>
      <w:r>
        <w:tab/>
      </w:r>
      <w:r>
        <w:rPr>
          <w:sz w:val="22"/>
        </w:rPr>
        <w:t>Member director, the Treasurer may appoint a person</w:t>
      </w:r>
    </w:p>
    <w:p>
      <w:pPr>
        <w:pStyle w:val="BlankClose"/>
      </w:pPr>
    </w:p>
    <w:p>
      <w:pPr>
        <w:pStyle w:val="Subsection"/>
        <w:keepNext/>
      </w:pPr>
      <w:r>
        <w:lastRenderedPageBreak/>
        <w:tab/>
        <w:t>(2)</w:t>
      </w:r>
      <w:r>
        <w:tab/>
        <w:t>After Schedule 1 clause 6(4) insert:</w:t>
      </w:r>
    </w:p>
    <w:p>
      <w:pPr>
        <w:pStyle w:val="BlankOpen"/>
      </w:pPr>
    </w:p>
    <w:p>
      <w:pPr>
        <w:pStyle w:val="zySubsection"/>
      </w:pPr>
      <w:r>
        <w:tab/>
        <w:t>(5)</w:t>
      </w:r>
      <w:r>
        <w:tab/>
        <w:t xml:space="preserve">The term of office for which a Member director is appointed under subclause (3) to fill a casual vacancy does not count towards the maximum period for which the person is eligible to serve as a Member director. </w:t>
      </w:r>
    </w:p>
    <w:p>
      <w:pPr>
        <w:pStyle w:val="BlankClose"/>
      </w:pPr>
    </w:p>
    <w:p>
      <w:pPr>
        <w:pStyle w:val="Heading5"/>
      </w:pPr>
      <w:bookmarkStart w:id="37" w:name="_Toc184390321"/>
      <w:r>
        <w:rPr>
          <w:rStyle w:val="CharSectno"/>
        </w:rPr>
        <w:t>24</w:t>
      </w:r>
      <w:r>
        <w:t>.</w:t>
      </w:r>
      <w:r>
        <w:tab/>
        <w:t>Schedule 1 clause 6A inserted</w:t>
      </w:r>
      <w:bookmarkEnd w:id="37"/>
    </w:p>
    <w:p>
      <w:pPr>
        <w:pStyle w:val="Subsection"/>
        <w:keepNext/>
      </w:pPr>
      <w:r>
        <w:tab/>
      </w:r>
      <w:r>
        <w:tab/>
        <w:t>After Schedule 1 clause 6 insert:</w:t>
      </w:r>
    </w:p>
    <w:p>
      <w:pPr>
        <w:pStyle w:val="BlankOpen"/>
      </w:pPr>
    </w:p>
    <w:p>
      <w:pPr>
        <w:pStyle w:val="zyHeading5"/>
      </w:pPr>
      <w:bookmarkStart w:id="38" w:name="_Toc184390322"/>
      <w:r>
        <w:t>6A.</w:t>
      </w:r>
      <w:r>
        <w:tab/>
        <w:t>Acting directors</w:t>
      </w:r>
      <w:bookmarkEnd w:id="38"/>
      <w:r>
        <w:t xml:space="preserve"> </w:t>
      </w:r>
    </w:p>
    <w:p>
      <w:pPr>
        <w:pStyle w:val="zySubsection"/>
      </w:pPr>
      <w:r>
        <w:tab/>
        <w:t>(1)</w:t>
      </w:r>
      <w:r>
        <w:tab/>
        <w:t>The Treasurer may appoint a person to act in the office of an Employer director or Member director during any period, in the director’s term of office, in which the director is absent because of illness or on leave granted by the Board.</w:t>
      </w:r>
    </w:p>
    <w:p>
      <w:pPr>
        <w:pStyle w:val="zySubsection"/>
      </w:pPr>
      <w:r>
        <w:tab/>
        <w:t>(2)</w:t>
      </w:r>
      <w:r>
        <w:tab/>
        <w:t xml:space="preserve">Before appointing a person to act in the office of a Member director, the Treasurer must consult with unions or associations of unions that appear to the Treasurer to be broadly representative of persons who work for Employers. </w:t>
      </w:r>
    </w:p>
    <w:p>
      <w:pPr>
        <w:pStyle w:val="zySubsection"/>
      </w:pPr>
      <w:r>
        <w:tab/>
        <w:t>(3)</w:t>
      </w:r>
      <w:r>
        <w:tab/>
        <w:t>A person who is appointed to act in the office of an Employer director or Member director has all the functions of the director and is taken to be a director.</w:t>
      </w:r>
    </w:p>
    <w:p>
      <w:pPr>
        <w:pStyle w:val="zySubsection"/>
      </w:pPr>
      <w:r>
        <w:tab/>
        <w:t>(4)</w:t>
      </w:r>
      <w:r>
        <w:tab/>
        <w:t xml:space="preserve">An act or omission of a person appointed to act in the office of a director cannot be questioned on the grounds that the occasion for the appointment had not arisen or had ceased. </w:t>
      </w:r>
    </w:p>
    <w:p>
      <w:pPr>
        <w:pStyle w:val="zySubsection"/>
      </w:pPr>
      <w:r>
        <w:tab/>
        <w:t>(5)</w:t>
      </w:r>
      <w:r>
        <w:tab/>
        <w:t>A period in which a person acts in the office of an Employer director or Member director does not count towards the maximum period for which the person is eligible to serve as an Employer director or Member director.</w:t>
      </w:r>
    </w:p>
    <w:p>
      <w:pPr>
        <w:pStyle w:val="BlankClose"/>
      </w:pPr>
    </w:p>
    <w:p>
      <w:pPr>
        <w:pStyle w:val="Heading5"/>
      </w:pPr>
      <w:bookmarkStart w:id="39" w:name="_Toc184390323"/>
      <w:r>
        <w:rPr>
          <w:rStyle w:val="CharSectno"/>
        </w:rPr>
        <w:lastRenderedPageBreak/>
        <w:t>25</w:t>
      </w:r>
      <w:r>
        <w:t>.</w:t>
      </w:r>
      <w:r>
        <w:tab/>
        <w:t>Schedule 1 clause 7 amended</w:t>
      </w:r>
      <w:bookmarkEnd w:id="39"/>
    </w:p>
    <w:p>
      <w:pPr>
        <w:pStyle w:val="Subsection"/>
        <w:keepNext/>
      </w:pPr>
      <w:r>
        <w:tab/>
      </w:r>
      <w:r>
        <w:tab/>
        <w:t>In Schedule 1 clause 7 after “</w:t>
      </w:r>
      <w:r>
        <w:rPr>
          <w:sz w:val="22"/>
        </w:rPr>
        <w:t>allowances</w:t>
      </w:r>
      <w:r>
        <w:t>” insert:</w:t>
      </w:r>
    </w:p>
    <w:p>
      <w:pPr>
        <w:pStyle w:val="BlankOpen"/>
      </w:pPr>
    </w:p>
    <w:p>
      <w:pPr>
        <w:pStyle w:val="Subsection"/>
      </w:pPr>
      <w:r>
        <w:tab/>
      </w:r>
      <w:r>
        <w:tab/>
      </w:r>
      <w:r>
        <w:rPr>
          <w:sz w:val="22"/>
        </w:rPr>
        <w:t>(if any)</w:t>
      </w:r>
    </w:p>
    <w:p>
      <w:pPr>
        <w:pStyle w:val="BlankClose"/>
      </w:pPr>
    </w:p>
    <w:p>
      <w:pPr>
        <w:pStyle w:val="Heading5"/>
      </w:pPr>
      <w:bookmarkStart w:id="40" w:name="_Toc184390324"/>
      <w:r>
        <w:rPr>
          <w:rStyle w:val="CharSectno"/>
        </w:rPr>
        <w:t>26</w:t>
      </w:r>
      <w:r>
        <w:t>.</w:t>
      </w:r>
      <w:r>
        <w:tab/>
        <w:t>Schedule 2 clause 9 amended</w:t>
      </w:r>
      <w:bookmarkEnd w:id="40"/>
    </w:p>
    <w:p>
      <w:pPr>
        <w:pStyle w:val="Subsection"/>
      </w:pPr>
      <w:r>
        <w:tab/>
      </w:r>
      <w:r>
        <w:tab/>
        <w:t>In Schedule 2 clause 9(2):</w:t>
      </w:r>
    </w:p>
    <w:p>
      <w:pPr>
        <w:pStyle w:val="Indenta"/>
      </w:pPr>
      <w:r>
        <w:tab/>
        <w:t>(a)</w:t>
      </w:r>
      <w:r>
        <w:tab/>
        <w:t>in paragraph (b) delete “</w:t>
      </w:r>
      <w:r>
        <w:rPr>
          <w:sz w:val="22"/>
        </w:rPr>
        <w:t>Employer; or</w:t>
      </w:r>
      <w:r>
        <w:t>” and insert:</w:t>
      </w:r>
    </w:p>
    <w:p>
      <w:pPr>
        <w:pStyle w:val="BlankOpen"/>
      </w:pPr>
    </w:p>
    <w:p>
      <w:pPr>
        <w:pStyle w:val="Indenta"/>
      </w:pPr>
      <w:r>
        <w:tab/>
      </w:r>
      <w:r>
        <w:tab/>
      </w:r>
      <w:r>
        <w:rPr>
          <w:sz w:val="22"/>
        </w:rPr>
        <w:t>Employer or a non</w:t>
      </w:r>
      <w:r>
        <w:rPr>
          <w:sz w:val="22"/>
        </w:rPr>
        <w:noBreakHyphen/>
        <w:t>government contributor; or</w:t>
      </w:r>
    </w:p>
    <w:p>
      <w:pPr>
        <w:pStyle w:val="BlankClose"/>
      </w:pPr>
    </w:p>
    <w:p>
      <w:pPr>
        <w:pStyle w:val="Indenta"/>
      </w:pPr>
      <w:r>
        <w:tab/>
        <w:t>(b)</w:t>
      </w:r>
      <w:r>
        <w:tab/>
        <w:t>in paragraph (c) after “</w:t>
      </w:r>
      <w:r>
        <w:rPr>
          <w:sz w:val="22"/>
        </w:rPr>
        <w:t>Employer</w:t>
      </w:r>
      <w:r>
        <w:t>” insert:</w:t>
      </w:r>
    </w:p>
    <w:p>
      <w:pPr>
        <w:pStyle w:val="BlankOpen"/>
      </w:pPr>
    </w:p>
    <w:p>
      <w:pPr>
        <w:pStyle w:val="Indenta"/>
      </w:pPr>
      <w:r>
        <w:tab/>
      </w:r>
      <w:r>
        <w:tab/>
      </w:r>
      <w:r>
        <w:rPr>
          <w:sz w:val="22"/>
        </w:rPr>
        <w:t>or a non</w:t>
      </w:r>
      <w:r>
        <w:rPr>
          <w:sz w:val="22"/>
        </w:rPr>
        <w:noBreakHyphen/>
        <w:t>government contributor</w:t>
      </w:r>
    </w:p>
    <w:p>
      <w:pPr>
        <w:pStyle w:val="BlankClose"/>
      </w:pPr>
    </w:p>
    <w:p>
      <w:pPr>
        <w:pStyle w:val="Indenta"/>
      </w:pPr>
      <w:r>
        <w:tab/>
        <w:t>(c)</w:t>
      </w:r>
      <w:r>
        <w:tab/>
        <w:t>in paragraph (c) delete “</w:t>
      </w:r>
      <w:r>
        <w:rPr>
          <w:sz w:val="22"/>
        </w:rPr>
        <w:t>Employer; or</w:t>
      </w:r>
      <w:r>
        <w:t>” and insert:</w:t>
      </w:r>
    </w:p>
    <w:p>
      <w:pPr>
        <w:pStyle w:val="BlankOpen"/>
      </w:pPr>
    </w:p>
    <w:p>
      <w:pPr>
        <w:pStyle w:val="Indenta"/>
      </w:pPr>
      <w:r>
        <w:tab/>
      </w:r>
      <w:r>
        <w:tab/>
      </w:r>
      <w:r>
        <w:rPr>
          <w:sz w:val="22"/>
        </w:rPr>
        <w:t>Employer or a non</w:t>
      </w:r>
      <w:r>
        <w:rPr>
          <w:sz w:val="22"/>
        </w:rPr>
        <w:noBreakHyphen/>
        <w:t>government contributor; or</w:t>
      </w:r>
    </w:p>
    <w:p>
      <w:pPr>
        <w:pStyle w:val="BlankClose"/>
      </w:pPr>
    </w:p>
    <w:p>
      <w:pPr>
        <w:pStyle w:val="SectAltNote"/>
      </w:pPr>
      <w:r>
        <w:tab/>
        <w:t>Note: The heading to amended Schedule 2 clause 9 is to read:</w:t>
      </w:r>
    </w:p>
    <w:p>
      <w:pPr>
        <w:pStyle w:val="SectAltHeading"/>
      </w:pPr>
      <w:r>
        <w:tab/>
      </w:r>
      <w:r>
        <w:tab/>
        <w:t>Material interest</w:t>
      </w:r>
    </w:p>
    <w:p>
      <w:pPr>
        <w:pStyle w:val="Heading5"/>
      </w:pPr>
      <w:bookmarkStart w:id="41" w:name="_Toc184390325"/>
      <w:r>
        <w:rPr>
          <w:rStyle w:val="CharSectno"/>
        </w:rPr>
        <w:t>27</w:t>
      </w:r>
      <w:r>
        <w:t>.</w:t>
      </w:r>
      <w:r>
        <w:tab/>
        <w:t>Various references to “chairman” amended</w:t>
      </w:r>
      <w:bookmarkEnd w:id="41"/>
    </w:p>
    <w:p>
      <w:pPr>
        <w:pStyle w:val="Subsection"/>
      </w:pPr>
      <w:r>
        <w:tab/>
      </w:r>
      <w:r>
        <w:tab/>
        <w:t>In the provisions listed in the Table:</w:t>
      </w:r>
    </w:p>
    <w:p>
      <w:pPr>
        <w:pStyle w:val="Indenta"/>
        <w:rPr>
          <w:szCs w:val="24"/>
        </w:rPr>
      </w:pPr>
      <w:r>
        <w:rPr>
          <w:szCs w:val="24"/>
        </w:rPr>
        <w:tab/>
        <w:t>(a)</w:t>
      </w:r>
      <w:r>
        <w:rPr>
          <w:szCs w:val="24"/>
        </w:rPr>
        <w:tab/>
        <w:t>delete “chairman” and insert:</w:t>
      </w:r>
    </w:p>
    <w:p>
      <w:pPr>
        <w:pStyle w:val="BlankOpen"/>
      </w:pPr>
    </w:p>
    <w:p>
      <w:pPr>
        <w:pStyle w:val="Indenta"/>
        <w:rPr>
          <w:szCs w:val="24"/>
        </w:rPr>
      </w:pPr>
      <w:r>
        <w:rPr>
          <w:szCs w:val="24"/>
        </w:rPr>
        <w:tab/>
      </w:r>
      <w:r>
        <w:rPr>
          <w:szCs w:val="24"/>
        </w:rPr>
        <w:tab/>
        <w:t>chairperson</w:t>
      </w:r>
    </w:p>
    <w:p>
      <w:pPr>
        <w:pStyle w:val="BlankClose"/>
      </w:pPr>
    </w:p>
    <w:p>
      <w:pPr>
        <w:pStyle w:val="Indenta"/>
        <w:keepNext/>
      </w:pPr>
      <w:r>
        <w:lastRenderedPageBreak/>
        <w:tab/>
        <w:t>(b)</w:t>
      </w:r>
      <w:r>
        <w:tab/>
        <w:t>delete “</w:t>
      </w:r>
      <w:r>
        <w:rPr>
          <w:sz w:val="22"/>
        </w:rPr>
        <w:t>chairman</w:t>
      </w:r>
      <w:r>
        <w:t>” (each occurrence) and insert:</w:t>
      </w:r>
    </w:p>
    <w:p>
      <w:pPr>
        <w:pStyle w:val="BlankOpen"/>
      </w:pPr>
    </w:p>
    <w:p>
      <w:pPr>
        <w:pStyle w:val="Indenta"/>
        <w:keepNext/>
      </w:pPr>
      <w:r>
        <w:tab/>
      </w:r>
      <w:r>
        <w:tab/>
      </w:r>
      <w:r>
        <w:rPr>
          <w:sz w:val="22"/>
        </w:rPr>
        <w:t>chairperson</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8(1)(a)</w:t>
            </w:r>
          </w:p>
        </w:tc>
        <w:tc>
          <w:tcPr>
            <w:tcW w:w="3402" w:type="dxa"/>
          </w:tcPr>
          <w:p>
            <w:pPr>
              <w:pStyle w:val="TableAm"/>
            </w:pPr>
            <w:r>
              <w:t>Sch. 1 cl. 1(2)</w:t>
            </w:r>
          </w:p>
        </w:tc>
      </w:tr>
      <w:tr>
        <w:trPr>
          <w:cantSplit/>
          <w:jc w:val="center"/>
        </w:trPr>
        <w:tc>
          <w:tcPr>
            <w:tcW w:w="3402" w:type="dxa"/>
          </w:tcPr>
          <w:p>
            <w:pPr>
              <w:pStyle w:val="TableAm"/>
            </w:pPr>
            <w:r>
              <w:t>Sch. 1 cl. 2(1), (2), (3) and (4)</w:t>
            </w:r>
          </w:p>
        </w:tc>
        <w:tc>
          <w:tcPr>
            <w:tcW w:w="3402" w:type="dxa"/>
          </w:tcPr>
          <w:p>
            <w:pPr>
              <w:pStyle w:val="TableAm"/>
            </w:pPr>
            <w:r>
              <w:t>Sch. 2 cl. 3(a), (b) and (c)</w:t>
            </w:r>
          </w:p>
        </w:tc>
      </w:tr>
    </w:tbl>
    <w:p>
      <w:pPr>
        <w:pStyle w:val="SectAltNote"/>
      </w:pPr>
      <w:r>
        <w:tab/>
        <w:t>Notes: The heading to amended section 8 is to read:</w:t>
      </w:r>
    </w:p>
    <w:p>
      <w:pPr>
        <w:pStyle w:val="SectAltHeading"/>
      </w:pPr>
      <w:r>
        <w:tab/>
      </w:r>
      <w:r>
        <w:tab/>
        <w:t>Composition of Board</w:t>
      </w:r>
    </w:p>
    <w:p>
      <w:pPr>
        <w:pStyle w:val="SectAltNote"/>
      </w:pPr>
      <w:r>
        <w:tab/>
      </w:r>
      <w:r>
        <w:tab/>
        <w:t>The heading to amended Schedule 1 clause 1 is to read:</w:t>
      </w:r>
    </w:p>
    <w:p>
      <w:pPr>
        <w:pStyle w:val="SectAltHeading"/>
      </w:pPr>
      <w:r>
        <w:tab/>
      </w:r>
      <w:r>
        <w:tab/>
        <w:t>Nomination of chairperson</w:t>
      </w:r>
    </w:p>
    <w:p>
      <w:pPr>
        <w:pStyle w:val="SectAltNote"/>
      </w:pPr>
      <w:r>
        <w:tab/>
      </w:r>
      <w:r>
        <w:tab/>
        <w:t>The heading to amended Schedule 1 clause 2 is to read:</w:t>
      </w:r>
    </w:p>
    <w:p>
      <w:pPr>
        <w:pStyle w:val="SectAltHeading"/>
      </w:pPr>
      <w:r>
        <w:tab/>
      </w:r>
      <w:r>
        <w:tab/>
        <w:t>Appointment of deputy chairperson</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ECD4EC4"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3229B9BC" w14:textId="15A403FD" w:rsidR="00783272" w:rsidRDefault="0078327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05C740E9" w14:textId="77777777" w:rsidR="00783272" w:rsidRDefault="0078327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11D56E" w14:textId="5436C431" w:rsidR="00783272" w:rsidRDefault="0078327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6F35ABEF" w14:textId="77777777" w:rsidR="00783272" w:rsidRDefault="0078327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50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50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50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50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50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50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Amendment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Amendment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Amendment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Amendment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Amendment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Superannuation Amendment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2" w:name="Coversheet"/>
    <w:bookmarkEnd w:id="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20615091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40310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403103322_GUID" w:val="c6be0b40-711c-4ff6-b353-501793f44ed0"/>
    <w:docVar w:name="WAFER_202309141104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14110411_GUID" w:val="b34bdc23-6040-4a75-8668-6f5a796c8cd5"/>
    <w:docVar w:name="WAFER_202310302040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204044_GUID" w:val="d099cb9c-1f68-4ec7-8e64-d8f644f8bb35"/>
    <w:docVar w:name="WAFER_20241206150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06150919_GUID" w:val="9421a8b5-d558-487b-80f2-13485f5737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24E80802-34CF-4EAB-B4D3-4FD484C30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B4C0AF-C7F8-4699-A4BC-D8CD290EB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2747</Words>
  <Characters>13489</Characters>
  <Application>Microsoft Office Word</Application>
  <DocSecurity>0</DocSecurity>
  <Lines>499</Lines>
  <Paragraphs>300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15936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Amendment Act 2024 - 00-00-00</dc:title>
  <dc:subject/>
  <dc:creator/>
  <cp:keywords/>
  <dc:description/>
  <cp:lastModifiedBy>Master Repository Process</cp:lastModifiedBy>
  <cp:revision>4</cp:revision>
  <cp:lastPrinted>2024-12-06T06:44:00Z</cp:lastPrinted>
  <dcterms:created xsi:type="dcterms:W3CDTF">2025-07-04T02:41:00Z</dcterms:created>
  <dcterms:modified xsi:type="dcterms:W3CDTF">2025-07-04T02:41:00Z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2024</vt:lpwstr>
  </property>
  <property fmtid="{D5CDD505-2E9C-101B-9397-08002B2CF9AE}" pid="3" name="DocumentType">
    <vt:lpwstr>Act</vt:lpwstr>
  </property>
  <property fmtid="{D5CDD505-2E9C-101B-9397-08002B2CF9AE}" pid="4" name="AsAtDate">
    <vt:lpwstr>06 Dec 2024</vt:lpwstr>
  </property>
  <property fmtid="{D5CDD505-2E9C-101B-9397-08002B2CF9AE}" pid="5" name="Suffix">
    <vt:lpwstr>00-00-00</vt:lpwstr>
  </property>
  <property fmtid="{D5CDD505-2E9C-101B-9397-08002B2CF9AE}" pid="6" name="Official">
    <vt:lpwstr/>
  </property>
  <property fmtid="{D5CDD505-2E9C-101B-9397-08002B2CF9AE}" pid="7" name="ActNoFooter">
    <vt:lpwstr>No. 50 of 2024</vt:lpwstr>
  </property>
  <property fmtid="{D5CDD505-2E9C-101B-9397-08002B2CF9AE}" pid="8" name="CommencementDate">
    <vt:lpwstr>20241206</vt:lpwstr>
  </property>
  <property fmtid="{D5CDD505-2E9C-101B-9397-08002B2CF9AE}" pid="9" name="CommencementAsAt">
    <vt:filetime>2024-12-05T16:00:00Z</vt:filetime>
  </property>
  <property fmtid="{D5CDD505-2E9C-101B-9397-08002B2CF9AE}" pid="10" name="CommencementYear">
    <vt:lpwstr>2024</vt:lpwstr>
  </property>
</Properties>
</file>