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_Toc184127837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_Toc184127838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_Toc184127839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_Toc184127840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_Toc184127842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_Toc184127843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_Toc184127844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_Toc184127845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_Toc184127846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_Toc184127847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_Toc184127848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_Toc184127849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_Toc184127850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_Toc184127853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_Toc184127854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_Toc184127856 \h </w:instrText>
      </w:r>
      <w:r>
        <w:fldChar w:fldCharType="separate"/>
      </w:r>
      <w:r>
        <w:t>21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_Toc184127857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_Toc184127858 \h </w:instrText>
      </w:r>
      <w:r>
        <w:fldChar w:fldCharType="separate"/>
      </w:r>
      <w:r>
        <w:t>22</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_Toc184127859 \h </w:instrText>
      </w:r>
      <w:r>
        <w:fldChar w:fldCharType="separate"/>
      </w:r>
      <w:r>
        <w:t>23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_Toc184127860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_Toc184127862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_Toc184127863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3B — Reportable conduct scheme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19C.</w:t>
      </w:r>
      <w:r>
        <w:tab/>
        <w:t>Terms used</w:t>
      </w:r>
      <w:r>
        <w:tab/>
      </w:r>
      <w:r>
        <w:fldChar w:fldCharType="begin"/>
      </w:r>
      <w:r>
        <w:instrText xml:space="preserve"> PAGEREF _Toc184127866 \h </w:instrText>
      </w:r>
      <w:r>
        <w:fldChar w:fldCharType="separate"/>
      </w:r>
      <w:r>
        <w:t>27</w:t>
      </w:r>
      <w:r>
        <w:fldChar w:fldCharType="end"/>
      </w:r>
    </w:p>
    <w:p>
      <w:pPr>
        <w:pStyle w:val="TOC8"/>
        <w:rPr>
          <w:rFonts w:asciiTheme="minorHAnsi" w:eastAsiaTheme="minorEastAsia" w:hAnsiTheme="minorHAnsi" w:cstheme="minorBidi"/>
          <w:szCs w:val="22"/>
        </w:rPr>
      </w:pPr>
      <w:r>
        <w:t>19D.</w:t>
      </w:r>
      <w:r>
        <w:tab/>
        <w:t>Employees of relevant entities</w:t>
      </w:r>
      <w:r>
        <w:tab/>
      </w:r>
      <w:r>
        <w:fldChar w:fldCharType="begin"/>
      </w:r>
      <w:r>
        <w:instrText xml:space="preserve"> PAGEREF _Toc184127867 \h </w:instrText>
      </w:r>
      <w:r>
        <w:fldChar w:fldCharType="separate"/>
      </w:r>
      <w:r>
        <w:t>30</w:t>
      </w:r>
      <w:r>
        <w:fldChar w:fldCharType="end"/>
      </w:r>
    </w:p>
    <w:p>
      <w:pPr>
        <w:pStyle w:val="TOC8"/>
        <w:rPr>
          <w:rFonts w:asciiTheme="minorHAnsi" w:eastAsiaTheme="minorEastAsia" w:hAnsiTheme="minorHAnsi" w:cstheme="minorBidi"/>
          <w:szCs w:val="22"/>
        </w:rPr>
      </w:pPr>
      <w:r>
        <w:t>19E.</w:t>
      </w:r>
      <w:r>
        <w:tab/>
        <w:t>Head of a relevant entity</w:t>
      </w:r>
      <w:r>
        <w:tab/>
      </w:r>
      <w:r>
        <w:fldChar w:fldCharType="begin"/>
      </w:r>
      <w:r>
        <w:instrText xml:space="preserve"> PAGEREF _Toc184127868 \h </w:instrText>
      </w:r>
      <w:r>
        <w:fldChar w:fldCharType="separate"/>
      </w:r>
      <w:r>
        <w:t>31</w:t>
      </w:r>
      <w:r>
        <w:fldChar w:fldCharType="end"/>
      </w:r>
    </w:p>
    <w:p>
      <w:pPr>
        <w:pStyle w:val="TOC8"/>
        <w:rPr>
          <w:rFonts w:asciiTheme="minorHAnsi" w:eastAsiaTheme="minorEastAsia" w:hAnsiTheme="minorHAnsi" w:cstheme="minorBidi"/>
          <w:szCs w:val="22"/>
        </w:rPr>
      </w:pPr>
      <w:r>
        <w:t>19F.</w:t>
      </w:r>
      <w:r>
        <w:tab/>
        <w:t>Reportable allegation</w:t>
      </w:r>
      <w:r>
        <w:tab/>
      </w:r>
      <w:r>
        <w:fldChar w:fldCharType="begin"/>
      </w:r>
      <w:r>
        <w:instrText xml:space="preserve"> PAGEREF _Toc184127869 \h </w:instrText>
      </w:r>
      <w:r>
        <w:fldChar w:fldCharType="separate"/>
      </w:r>
      <w:r>
        <w:t>32</w:t>
      </w:r>
      <w:r>
        <w:fldChar w:fldCharType="end"/>
      </w:r>
    </w:p>
    <w:p>
      <w:pPr>
        <w:pStyle w:val="TOC8"/>
        <w:rPr>
          <w:rFonts w:asciiTheme="minorHAnsi" w:eastAsiaTheme="minorEastAsia" w:hAnsiTheme="minorHAnsi" w:cstheme="minorBidi"/>
          <w:szCs w:val="22"/>
        </w:rPr>
      </w:pPr>
      <w:r>
        <w:t>19G.</w:t>
      </w:r>
      <w:r>
        <w:tab/>
        <w:t>Reportable conduct</w:t>
      </w:r>
      <w:r>
        <w:tab/>
      </w:r>
      <w:r>
        <w:fldChar w:fldCharType="begin"/>
      </w:r>
      <w:r>
        <w:instrText xml:space="preserve"> PAGEREF _Toc184127870 \h </w:instrText>
      </w:r>
      <w:r>
        <w:fldChar w:fldCharType="separate"/>
      </w:r>
      <w:r>
        <w:t>32</w:t>
      </w:r>
      <w:r>
        <w:fldChar w:fldCharType="end"/>
      </w:r>
    </w:p>
    <w:p>
      <w:pPr>
        <w:pStyle w:val="TOC8"/>
        <w:rPr>
          <w:rFonts w:asciiTheme="minorHAnsi" w:eastAsiaTheme="minorEastAsia" w:hAnsiTheme="minorHAnsi" w:cstheme="minorBidi"/>
          <w:szCs w:val="22"/>
        </w:rPr>
      </w:pPr>
      <w:r>
        <w:t>19H.</w:t>
      </w:r>
      <w:r>
        <w:tab/>
        <w:t>Reportable conviction</w:t>
      </w:r>
      <w:r>
        <w:tab/>
      </w:r>
      <w:r>
        <w:fldChar w:fldCharType="begin"/>
      </w:r>
      <w:r>
        <w:instrText xml:space="preserve"> PAGEREF _Toc184127871 \h </w:instrText>
      </w:r>
      <w:r>
        <w:fldChar w:fldCharType="separate"/>
      </w:r>
      <w:r>
        <w:t>33</w:t>
      </w:r>
      <w:r>
        <w:fldChar w:fldCharType="end"/>
      </w:r>
    </w:p>
    <w:p>
      <w:pPr>
        <w:pStyle w:val="TOC8"/>
        <w:rPr>
          <w:rFonts w:asciiTheme="minorHAnsi" w:eastAsiaTheme="minorEastAsia" w:hAnsiTheme="minorHAnsi" w:cstheme="minorBidi"/>
          <w:szCs w:val="22"/>
        </w:rPr>
      </w:pPr>
      <w:r>
        <w:t>19I.</w:t>
      </w:r>
      <w:r>
        <w:tab/>
        <w:t>Entities to which reportable conduct scheme applies</w:t>
      </w:r>
      <w:r>
        <w:tab/>
      </w:r>
      <w:r>
        <w:fldChar w:fldCharType="begin"/>
      </w:r>
      <w:r>
        <w:instrText xml:space="preserve"> PAGEREF _Toc184127872 \h </w:instrText>
      </w:r>
      <w:r>
        <w:fldChar w:fldCharType="separate"/>
      </w:r>
      <w:r>
        <w:t>35</w:t>
      </w:r>
      <w:r>
        <w:fldChar w:fldCharType="end"/>
      </w:r>
    </w:p>
    <w:p>
      <w:pPr>
        <w:pStyle w:val="TOC8"/>
        <w:rPr>
          <w:rFonts w:asciiTheme="minorHAnsi" w:eastAsiaTheme="minorEastAsia" w:hAnsiTheme="minorHAnsi" w:cstheme="minorBidi"/>
          <w:szCs w:val="22"/>
        </w:rPr>
      </w:pPr>
      <w:r>
        <w:t>19J.</w:t>
      </w:r>
      <w:r>
        <w:tab/>
        <w:t>Object and principles</w:t>
      </w:r>
      <w:r>
        <w:tab/>
      </w:r>
      <w:r>
        <w:fldChar w:fldCharType="begin"/>
      </w:r>
      <w:r>
        <w:instrText xml:space="preserve"> PAGEREF _Toc184127873 \h </w:instrText>
      </w:r>
      <w:r>
        <w:fldChar w:fldCharType="separate"/>
      </w:r>
      <w:r>
        <w:t>35</w:t>
      </w:r>
      <w:r>
        <w:fldChar w:fldCharType="end"/>
      </w:r>
    </w:p>
    <w:p>
      <w:pPr>
        <w:pStyle w:val="TOC8"/>
        <w:rPr>
          <w:rFonts w:asciiTheme="minorHAnsi" w:eastAsiaTheme="minorEastAsia" w:hAnsiTheme="minorHAnsi" w:cstheme="minorBidi"/>
          <w:szCs w:val="22"/>
        </w:rPr>
      </w:pPr>
      <w:r>
        <w:t>19K.</w:t>
      </w:r>
      <w:r>
        <w:tab/>
        <w:t>Paramount consideration</w:t>
      </w:r>
      <w:r>
        <w:tab/>
      </w:r>
      <w:r>
        <w:fldChar w:fldCharType="begin"/>
      </w:r>
      <w:r>
        <w:instrText xml:space="preserve"> PAGEREF _Toc184127874 \h </w:instrText>
      </w:r>
      <w:r>
        <w:fldChar w:fldCharType="separate"/>
      </w:r>
      <w:r>
        <w:t>36</w:t>
      </w:r>
      <w:r>
        <w:fldChar w:fldCharType="end"/>
      </w:r>
    </w:p>
    <w:p>
      <w:pPr>
        <w:pStyle w:val="TOC8"/>
        <w:rPr>
          <w:rFonts w:asciiTheme="minorHAnsi" w:eastAsiaTheme="minorEastAsia" w:hAnsiTheme="minorHAnsi" w:cstheme="minorBidi"/>
          <w:szCs w:val="22"/>
        </w:rPr>
      </w:pPr>
      <w:r>
        <w:t>19L.</w:t>
      </w:r>
      <w:r>
        <w:tab/>
        <w:t>Certain provisions not applicable if entity is agent of Crown</w:t>
      </w:r>
      <w:r>
        <w:tab/>
      </w:r>
      <w:r>
        <w:fldChar w:fldCharType="begin"/>
      </w:r>
      <w:r>
        <w:instrText xml:space="preserve"> PAGEREF _Toc184127875 \h </w:instrText>
      </w:r>
      <w:r>
        <w:fldChar w:fldCharType="separate"/>
      </w:r>
      <w:r>
        <w:t>36</w:t>
      </w:r>
      <w:r>
        <w:fldChar w:fldCharType="end"/>
      </w:r>
    </w:p>
    <w:p>
      <w:pPr>
        <w:pStyle w:val="TOC6"/>
        <w:tabs>
          <w:tab w:val="right" w:leader="dot" w:pos="7077"/>
        </w:tabs>
        <w:rPr>
          <w:rFonts w:asciiTheme="minorHAnsi" w:eastAsiaTheme="minorEastAsia" w:hAnsiTheme="minorHAnsi" w:cstheme="minorBidi"/>
          <w:b w:val="0"/>
          <w:sz w:val="22"/>
          <w:szCs w:val="22"/>
        </w:rPr>
      </w:pPr>
      <w:r>
        <w:t>Subdivision 2 — Role of Commissioner</w:t>
      </w:r>
    </w:p>
    <w:p>
      <w:pPr>
        <w:pStyle w:val="TOC8"/>
        <w:rPr>
          <w:rFonts w:asciiTheme="minorHAnsi" w:eastAsiaTheme="minorEastAsia" w:hAnsiTheme="minorHAnsi" w:cstheme="minorBidi"/>
          <w:szCs w:val="22"/>
        </w:rPr>
      </w:pPr>
      <w:r>
        <w:t>19M.</w:t>
      </w:r>
      <w:r>
        <w:tab/>
        <w:t>Functions of Commissioner in relation to scheme</w:t>
      </w:r>
      <w:r>
        <w:tab/>
      </w:r>
      <w:r>
        <w:fldChar w:fldCharType="begin"/>
      </w:r>
      <w:r>
        <w:instrText xml:space="preserve"> PAGEREF _Toc184127877 \h </w:instrText>
      </w:r>
      <w:r>
        <w:fldChar w:fldCharType="separate"/>
      </w:r>
      <w:r>
        <w:t>36</w:t>
      </w:r>
      <w:r>
        <w:fldChar w:fldCharType="end"/>
      </w:r>
    </w:p>
    <w:p>
      <w:pPr>
        <w:pStyle w:val="TOC8"/>
        <w:rPr>
          <w:rFonts w:asciiTheme="minorHAnsi" w:eastAsiaTheme="minorEastAsia" w:hAnsiTheme="minorHAnsi" w:cstheme="minorBidi"/>
          <w:szCs w:val="22"/>
        </w:rPr>
      </w:pPr>
      <w:r>
        <w:t>19N.</w:t>
      </w:r>
      <w:r>
        <w:tab/>
        <w:t>Commissioner may exempt conduct</w:t>
      </w:r>
      <w:r>
        <w:tab/>
      </w:r>
      <w:r>
        <w:fldChar w:fldCharType="begin"/>
      </w:r>
      <w:r>
        <w:instrText xml:space="preserve"> PAGEREF _Toc184127878 \h </w:instrText>
      </w:r>
      <w:r>
        <w:fldChar w:fldCharType="separate"/>
      </w:r>
      <w:r>
        <w:t>38</w:t>
      </w:r>
      <w:r>
        <w:fldChar w:fldCharType="end"/>
      </w:r>
    </w:p>
    <w:p>
      <w:pPr>
        <w:pStyle w:val="TOC8"/>
        <w:rPr>
          <w:rFonts w:asciiTheme="minorHAnsi" w:eastAsiaTheme="minorEastAsia" w:hAnsiTheme="minorHAnsi" w:cstheme="minorBidi"/>
          <w:szCs w:val="22"/>
        </w:rPr>
      </w:pPr>
      <w:r>
        <w:t>19O.</w:t>
      </w:r>
      <w:r>
        <w:tab/>
        <w:t>Commissioner may exempt entities</w:t>
      </w:r>
      <w:r>
        <w:tab/>
      </w:r>
      <w:r>
        <w:fldChar w:fldCharType="begin"/>
      </w:r>
      <w:r>
        <w:instrText xml:space="preserve"> PAGEREF _Toc184127879 \h </w:instrText>
      </w:r>
      <w:r>
        <w:fldChar w:fldCharType="separate"/>
      </w:r>
      <w:r>
        <w:t>38</w:t>
      </w:r>
      <w:r>
        <w:fldChar w:fldCharType="end"/>
      </w:r>
    </w:p>
    <w:p>
      <w:pPr>
        <w:pStyle w:val="TOC8"/>
        <w:rPr>
          <w:rFonts w:asciiTheme="minorHAnsi" w:eastAsiaTheme="minorEastAsia" w:hAnsiTheme="minorHAnsi" w:cstheme="minorBidi"/>
          <w:szCs w:val="22"/>
        </w:rPr>
      </w:pPr>
      <w:r>
        <w:t>19P.</w:t>
      </w:r>
      <w:r>
        <w:tab/>
        <w:t>Commissioner may exempt investigations</w:t>
      </w:r>
      <w:r>
        <w:tab/>
      </w:r>
      <w:r>
        <w:fldChar w:fldCharType="begin"/>
      </w:r>
      <w:r>
        <w:instrText xml:space="preserve"> PAGEREF _Toc184127880 \h </w:instrText>
      </w:r>
      <w:r>
        <w:fldChar w:fldCharType="separate"/>
      </w:r>
      <w:r>
        <w:t>38</w:t>
      </w:r>
      <w:r>
        <w:fldChar w:fldCharType="end"/>
      </w:r>
    </w:p>
    <w:p>
      <w:pPr>
        <w:pStyle w:val="TOC8"/>
        <w:rPr>
          <w:rFonts w:asciiTheme="minorHAnsi" w:eastAsiaTheme="minorEastAsia" w:hAnsiTheme="minorHAnsi" w:cstheme="minorBidi"/>
          <w:szCs w:val="22"/>
        </w:rPr>
      </w:pPr>
      <w:r>
        <w:t>19Q.</w:t>
      </w:r>
      <w:r>
        <w:tab/>
        <w:t>Commissioner may approve head of relevant entity in certain circumstances</w:t>
      </w:r>
      <w:r>
        <w:tab/>
      </w:r>
      <w:r>
        <w:fldChar w:fldCharType="begin"/>
      </w:r>
      <w:r>
        <w:instrText xml:space="preserve"> PAGEREF _Toc184127881 \h </w:instrText>
      </w:r>
      <w:r>
        <w:fldChar w:fldCharType="separate"/>
      </w:r>
      <w:r>
        <w:t>39</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Systems to deal with reportable conduct</w:t>
      </w:r>
    </w:p>
    <w:p>
      <w:pPr>
        <w:pStyle w:val="TOC8"/>
        <w:rPr>
          <w:rFonts w:asciiTheme="minorHAnsi" w:eastAsiaTheme="minorEastAsia" w:hAnsiTheme="minorHAnsi" w:cstheme="minorBidi"/>
          <w:szCs w:val="22"/>
        </w:rPr>
      </w:pPr>
      <w:r>
        <w:t>19R.</w:t>
      </w:r>
      <w:r>
        <w:tab/>
        <w:t>Head of relevant entity must ensure systems in place</w:t>
      </w:r>
      <w:r>
        <w:tab/>
      </w:r>
      <w:r>
        <w:fldChar w:fldCharType="begin"/>
      </w:r>
      <w:r>
        <w:instrText xml:space="preserve"> PAGEREF _Toc184127883 \h </w:instrText>
      </w:r>
      <w:r>
        <w:fldChar w:fldCharType="separate"/>
      </w:r>
      <w:r>
        <w:t>40</w:t>
      </w:r>
      <w:r>
        <w:fldChar w:fldCharType="end"/>
      </w:r>
    </w:p>
    <w:p>
      <w:pPr>
        <w:pStyle w:val="TOC8"/>
        <w:rPr>
          <w:rFonts w:asciiTheme="minorHAnsi" w:eastAsiaTheme="minorEastAsia" w:hAnsiTheme="minorHAnsi" w:cstheme="minorBidi"/>
          <w:szCs w:val="22"/>
        </w:rPr>
      </w:pPr>
      <w:r>
        <w:t>19S.</w:t>
      </w:r>
      <w:r>
        <w:tab/>
        <w:t>Commissioner may require information about systems</w:t>
      </w:r>
      <w:r>
        <w:tab/>
      </w:r>
      <w:r>
        <w:fldChar w:fldCharType="begin"/>
      </w:r>
      <w:r>
        <w:instrText xml:space="preserve"> PAGEREF _Toc184127884 \h </w:instrText>
      </w:r>
      <w:r>
        <w:fldChar w:fldCharType="separate"/>
      </w:r>
      <w:r>
        <w:t>41</w:t>
      </w:r>
      <w:r>
        <w:fldChar w:fldCharType="end"/>
      </w:r>
    </w:p>
    <w:p>
      <w:pPr>
        <w:pStyle w:val="TOC6"/>
        <w:tabs>
          <w:tab w:val="right" w:leader="dot" w:pos="7077"/>
        </w:tabs>
        <w:rPr>
          <w:rFonts w:asciiTheme="minorHAnsi" w:eastAsiaTheme="minorEastAsia" w:hAnsiTheme="minorHAnsi" w:cstheme="minorBidi"/>
          <w:b w:val="0"/>
          <w:sz w:val="22"/>
          <w:szCs w:val="22"/>
        </w:rPr>
      </w:pPr>
      <w:r>
        <w:t>Subdivision 4 — Notice, investigation and reporting</w:t>
      </w:r>
    </w:p>
    <w:p>
      <w:pPr>
        <w:pStyle w:val="TOC8"/>
        <w:rPr>
          <w:rFonts w:asciiTheme="minorHAnsi" w:eastAsiaTheme="minorEastAsia" w:hAnsiTheme="minorHAnsi" w:cstheme="minorBidi"/>
          <w:szCs w:val="22"/>
        </w:rPr>
      </w:pPr>
      <w:r>
        <w:t>19T.</w:t>
      </w:r>
      <w:r>
        <w:tab/>
        <w:t>Report of reportable allegation or reportable conviction</w:t>
      </w:r>
      <w:r>
        <w:tab/>
      </w:r>
      <w:r>
        <w:fldChar w:fldCharType="begin"/>
      </w:r>
      <w:r>
        <w:instrText xml:space="preserve"> PAGEREF _Toc184127886 \h </w:instrText>
      </w:r>
      <w:r>
        <w:fldChar w:fldCharType="separate"/>
      </w:r>
      <w:r>
        <w:t>41</w:t>
      </w:r>
      <w:r>
        <w:fldChar w:fldCharType="end"/>
      </w:r>
    </w:p>
    <w:p>
      <w:pPr>
        <w:pStyle w:val="TOC8"/>
        <w:rPr>
          <w:rFonts w:asciiTheme="minorHAnsi" w:eastAsiaTheme="minorEastAsia" w:hAnsiTheme="minorHAnsi" w:cstheme="minorBidi"/>
          <w:szCs w:val="22"/>
        </w:rPr>
      </w:pPr>
      <w:r>
        <w:t>19U.</w:t>
      </w:r>
      <w:r>
        <w:tab/>
        <w:t>Head of relevant entity must notify Commissioner</w:t>
      </w:r>
      <w:r>
        <w:tab/>
      </w:r>
      <w:r>
        <w:fldChar w:fldCharType="begin"/>
      </w:r>
      <w:r>
        <w:instrText xml:space="preserve"> PAGEREF _Toc184127887 \h </w:instrText>
      </w:r>
      <w:r>
        <w:fldChar w:fldCharType="separate"/>
      </w:r>
      <w:r>
        <w:t>42</w:t>
      </w:r>
      <w:r>
        <w:fldChar w:fldCharType="end"/>
      </w:r>
    </w:p>
    <w:p>
      <w:pPr>
        <w:pStyle w:val="TOC8"/>
        <w:rPr>
          <w:rFonts w:asciiTheme="minorHAnsi" w:eastAsiaTheme="minorEastAsia" w:hAnsiTheme="minorHAnsi" w:cstheme="minorBidi"/>
          <w:szCs w:val="22"/>
        </w:rPr>
      </w:pPr>
      <w:r>
        <w:t>19V.</w:t>
      </w:r>
      <w:r>
        <w:tab/>
        <w:t>Information may be disclosed to Commissioner or head of entity</w:t>
      </w:r>
      <w:r>
        <w:tab/>
      </w:r>
      <w:r>
        <w:fldChar w:fldCharType="begin"/>
      </w:r>
      <w:r>
        <w:instrText xml:space="preserve"> PAGEREF _Toc184127888 \h </w:instrText>
      </w:r>
      <w:r>
        <w:fldChar w:fldCharType="separate"/>
      </w:r>
      <w:r>
        <w:t>44</w:t>
      </w:r>
      <w:r>
        <w:fldChar w:fldCharType="end"/>
      </w:r>
    </w:p>
    <w:p>
      <w:pPr>
        <w:pStyle w:val="TOC8"/>
        <w:rPr>
          <w:rFonts w:asciiTheme="minorHAnsi" w:eastAsiaTheme="minorEastAsia" w:hAnsiTheme="minorHAnsi" w:cstheme="minorBidi"/>
          <w:szCs w:val="22"/>
        </w:rPr>
      </w:pPr>
      <w:r>
        <w:t>19W.</w:t>
      </w:r>
      <w:r>
        <w:tab/>
        <w:t>Head of relevant entity must respond to reportable allegation or reportable conviction</w:t>
      </w:r>
      <w:r>
        <w:tab/>
      </w:r>
      <w:r>
        <w:fldChar w:fldCharType="begin"/>
      </w:r>
      <w:r>
        <w:instrText xml:space="preserve"> PAGEREF _Toc184127889 \h </w:instrText>
      </w:r>
      <w:r>
        <w:fldChar w:fldCharType="separate"/>
      </w:r>
      <w:r>
        <w:t>45</w:t>
      </w:r>
      <w:r>
        <w:fldChar w:fldCharType="end"/>
      </w:r>
    </w:p>
    <w:p>
      <w:pPr>
        <w:pStyle w:val="TOC8"/>
        <w:rPr>
          <w:rFonts w:asciiTheme="minorHAnsi" w:eastAsiaTheme="minorEastAsia" w:hAnsiTheme="minorHAnsi" w:cstheme="minorBidi"/>
          <w:szCs w:val="22"/>
        </w:rPr>
      </w:pPr>
      <w:r>
        <w:t>19X.</w:t>
      </w:r>
      <w:r>
        <w:tab/>
        <w:t>Informing employee of certain matters and giving employee opportunity to make submissions</w:t>
      </w:r>
      <w:r>
        <w:tab/>
      </w:r>
      <w:r>
        <w:fldChar w:fldCharType="begin"/>
      </w:r>
      <w:r>
        <w:instrText xml:space="preserve"> PAGEREF _Toc184127890 \h </w:instrText>
      </w:r>
      <w:r>
        <w:fldChar w:fldCharType="separate"/>
      </w:r>
      <w:r>
        <w:t>47</w:t>
      </w:r>
      <w:r>
        <w:fldChar w:fldCharType="end"/>
      </w:r>
    </w:p>
    <w:p>
      <w:pPr>
        <w:pStyle w:val="TOC8"/>
        <w:rPr>
          <w:rFonts w:asciiTheme="minorHAnsi" w:eastAsiaTheme="minorEastAsia" w:hAnsiTheme="minorHAnsi" w:cstheme="minorBidi"/>
          <w:szCs w:val="22"/>
        </w:rPr>
      </w:pPr>
      <w:r>
        <w:t>19Y.</w:t>
      </w:r>
      <w:r>
        <w:tab/>
        <w:t>Commissioner must be notified of matters affecting investigation</w:t>
      </w:r>
      <w:r>
        <w:tab/>
      </w:r>
      <w:r>
        <w:fldChar w:fldCharType="begin"/>
      </w:r>
      <w:r>
        <w:instrText xml:space="preserve"> PAGEREF _Toc184127891 \h </w:instrText>
      </w:r>
      <w:r>
        <w:fldChar w:fldCharType="separate"/>
      </w:r>
      <w:r>
        <w:t>48</w:t>
      </w:r>
      <w:r>
        <w:fldChar w:fldCharType="end"/>
      </w:r>
    </w:p>
    <w:p>
      <w:pPr>
        <w:pStyle w:val="TOC8"/>
        <w:rPr>
          <w:rFonts w:asciiTheme="minorHAnsi" w:eastAsiaTheme="minorEastAsia" w:hAnsiTheme="minorHAnsi" w:cstheme="minorBidi"/>
          <w:szCs w:val="22"/>
        </w:rPr>
      </w:pPr>
      <w:r>
        <w:t>19Z.</w:t>
      </w:r>
      <w:r>
        <w:tab/>
        <w:t>Head of relevant entity must report outcome of investigation to Commissioner</w:t>
      </w:r>
      <w:r>
        <w:tab/>
      </w:r>
      <w:r>
        <w:fldChar w:fldCharType="begin"/>
      </w:r>
      <w:r>
        <w:instrText xml:space="preserve"> PAGEREF _Toc184127892 \h </w:instrText>
      </w:r>
      <w:r>
        <w:fldChar w:fldCharType="separate"/>
      </w:r>
      <w:r>
        <w:t>49</w:t>
      </w:r>
      <w:r>
        <w:fldChar w:fldCharType="end"/>
      </w:r>
    </w:p>
    <w:p>
      <w:pPr>
        <w:pStyle w:val="TOC8"/>
        <w:rPr>
          <w:rFonts w:asciiTheme="minorHAnsi" w:eastAsiaTheme="minorEastAsia" w:hAnsiTheme="minorHAnsi" w:cstheme="minorBidi"/>
          <w:szCs w:val="22"/>
        </w:rPr>
      </w:pPr>
      <w:r>
        <w:t>19ZA.</w:t>
      </w:r>
      <w:r>
        <w:tab/>
        <w:t>Head of relevant entity must report outcome of investigation to employee if employee informed of investigation</w:t>
      </w:r>
      <w:r>
        <w:tab/>
      </w:r>
      <w:r>
        <w:fldChar w:fldCharType="begin"/>
      </w:r>
      <w:r>
        <w:instrText xml:space="preserve"> PAGEREF _Toc184127893 \h </w:instrText>
      </w:r>
      <w:r>
        <w:fldChar w:fldCharType="separate"/>
      </w:r>
      <w:r>
        <w:t>50</w:t>
      </w:r>
      <w:r>
        <w:fldChar w:fldCharType="end"/>
      </w:r>
    </w:p>
    <w:p>
      <w:pPr>
        <w:pStyle w:val="TOC8"/>
        <w:rPr>
          <w:rFonts w:asciiTheme="minorHAnsi" w:eastAsiaTheme="minorEastAsia" w:hAnsiTheme="minorHAnsi" w:cstheme="minorBidi"/>
          <w:szCs w:val="22"/>
        </w:rPr>
      </w:pPr>
      <w:r>
        <w:t>19ZB.</w:t>
      </w:r>
      <w:r>
        <w:tab/>
        <w:t>Commissioner may conduct own investigation</w:t>
      </w:r>
      <w:r>
        <w:tab/>
      </w:r>
      <w:r>
        <w:fldChar w:fldCharType="begin"/>
      </w:r>
      <w:r>
        <w:instrText xml:space="preserve"> PAGEREF _Toc184127894 \h </w:instrText>
      </w:r>
      <w:r>
        <w:fldChar w:fldCharType="separate"/>
      </w:r>
      <w:r>
        <w:t>51</w:t>
      </w:r>
      <w:r>
        <w:fldChar w:fldCharType="end"/>
      </w:r>
    </w:p>
    <w:p>
      <w:pPr>
        <w:pStyle w:val="TOC8"/>
        <w:rPr>
          <w:rFonts w:asciiTheme="minorHAnsi" w:eastAsiaTheme="minorEastAsia" w:hAnsiTheme="minorHAnsi" w:cstheme="minorBidi"/>
          <w:szCs w:val="22"/>
        </w:rPr>
      </w:pPr>
      <w:r>
        <w:t>19ZC.</w:t>
      </w:r>
      <w:r>
        <w:tab/>
        <w:t>Notice to head of relevant entity of Commissioner’s investigation</w:t>
      </w:r>
      <w:r>
        <w:tab/>
      </w:r>
      <w:r>
        <w:fldChar w:fldCharType="begin"/>
      </w:r>
      <w:r>
        <w:instrText xml:space="preserve"> PAGEREF _Toc184127895 \h </w:instrText>
      </w:r>
      <w:r>
        <w:fldChar w:fldCharType="separate"/>
      </w:r>
      <w:r>
        <w:t>53</w:t>
      </w:r>
      <w:r>
        <w:fldChar w:fldCharType="end"/>
      </w:r>
    </w:p>
    <w:p>
      <w:pPr>
        <w:pStyle w:val="TOC8"/>
        <w:rPr>
          <w:rFonts w:asciiTheme="minorHAnsi" w:eastAsiaTheme="minorEastAsia" w:hAnsiTheme="minorHAnsi" w:cstheme="minorBidi"/>
          <w:szCs w:val="22"/>
        </w:rPr>
      </w:pPr>
      <w:r>
        <w:t>19ZD.</w:t>
      </w:r>
      <w:r>
        <w:tab/>
        <w:t>Provisions relating to investigation under section 19ZB(1)(a)</w:t>
      </w:r>
      <w:r>
        <w:tab/>
      </w:r>
      <w:r>
        <w:fldChar w:fldCharType="begin"/>
      </w:r>
      <w:r>
        <w:instrText xml:space="preserve"> PAGEREF _Toc184127896 \h </w:instrText>
      </w:r>
      <w:r>
        <w:fldChar w:fldCharType="separate"/>
      </w:r>
      <w:r>
        <w:t>53</w:t>
      </w:r>
      <w:r>
        <w:fldChar w:fldCharType="end"/>
      </w:r>
    </w:p>
    <w:p>
      <w:pPr>
        <w:pStyle w:val="TOC8"/>
        <w:rPr>
          <w:rFonts w:asciiTheme="minorHAnsi" w:eastAsiaTheme="minorEastAsia" w:hAnsiTheme="minorHAnsi" w:cstheme="minorBidi"/>
          <w:szCs w:val="22"/>
        </w:rPr>
      </w:pPr>
      <w:r>
        <w:t>19ZE.</w:t>
      </w:r>
      <w:r>
        <w:tab/>
        <w:t>Provision relating to investigation under section 19ZB(1)(b) or (c)</w:t>
      </w:r>
      <w:r>
        <w:tab/>
      </w:r>
      <w:r>
        <w:fldChar w:fldCharType="begin"/>
      </w:r>
      <w:r>
        <w:instrText xml:space="preserve"> PAGEREF _Toc184127897 \h </w:instrText>
      </w:r>
      <w:r>
        <w:fldChar w:fldCharType="separate"/>
      </w:r>
      <w:r>
        <w:t>55</w:t>
      </w:r>
      <w:r>
        <w:fldChar w:fldCharType="end"/>
      </w:r>
    </w:p>
    <w:p>
      <w:pPr>
        <w:pStyle w:val="TOC8"/>
        <w:rPr>
          <w:rFonts w:asciiTheme="minorHAnsi" w:eastAsiaTheme="minorEastAsia" w:hAnsiTheme="minorHAnsi" w:cstheme="minorBidi"/>
          <w:szCs w:val="22"/>
        </w:rPr>
      </w:pPr>
      <w:r>
        <w:t>19ZF.</w:t>
      </w:r>
      <w:r>
        <w:tab/>
        <w:t>Application to State Administrative Tribunal for review</w:t>
      </w:r>
      <w:r>
        <w:tab/>
      </w:r>
      <w:r>
        <w:fldChar w:fldCharType="begin"/>
      </w:r>
      <w:r>
        <w:instrText xml:space="preserve"> PAGEREF _Toc184127898 \h </w:instrText>
      </w:r>
      <w:r>
        <w:fldChar w:fldCharType="separate"/>
      </w:r>
      <w:r>
        <w:t>56</w:t>
      </w:r>
      <w:r>
        <w:fldChar w:fldCharType="end"/>
      </w:r>
    </w:p>
    <w:p>
      <w:pPr>
        <w:pStyle w:val="TOC8"/>
        <w:rPr>
          <w:rFonts w:asciiTheme="minorHAnsi" w:eastAsiaTheme="minorEastAsia" w:hAnsiTheme="minorHAnsi" w:cstheme="minorBidi"/>
          <w:szCs w:val="22"/>
        </w:rPr>
      </w:pPr>
      <w:r>
        <w:t>19ZG.</w:t>
      </w:r>
      <w:r>
        <w:tab/>
        <w:t>Concurrent investigations or proceedings</w:t>
      </w:r>
      <w:r>
        <w:tab/>
      </w:r>
      <w:r>
        <w:fldChar w:fldCharType="begin"/>
      </w:r>
      <w:r>
        <w:instrText xml:space="preserve"> PAGEREF _Toc184127899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5 — Disclosure of information</w:t>
      </w:r>
    </w:p>
    <w:p>
      <w:pPr>
        <w:pStyle w:val="TOC8"/>
        <w:rPr>
          <w:rFonts w:asciiTheme="minorHAnsi" w:eastAsiaTheme="minorEastAsia" w:hAnsiTheme="minorHAnsi" w:cstheme="minorBidi"/>
          <w:szCs w:val="22"/>
        </w:rPr>
      </w:pPr>
      <w:r>
        <w:t>19ZH.</w:t>
      </w:r>
      <w:r>
        <w:tab/>
        <w:t>Disclosure of information to child, parent, guardian or other person with parental responsibility</w:t>
      </w:r>
      <w:r>
        <w:tab/>
      </w:r>
      <w:r>
        <w:fldChar w:fldCharType="begin"/>
      </w:r>
      <w:r>
        <w:instrText xml:space="preserve"> PAGEREF _Toc184127901 \h </w:instrText>
      </w:r>
      <w:r>
        <w:fldChar w:fldCharType="separate"/>
      </w:r>
      <w:r>
        <w:t>58</w:t>
      </w:r>
      <w:r>
        <w:fldChar w:fldCharType="end"/>
      </w:r>
    </w:p>
    <w:p>
      <w:pPr>
        <w:pStyle w:val="TOC8"/>
        <w:rPr>
          <w:rFonts w:asciiTheme="minorHAnsi" w:eastAsiaTheme="minorEastAsia" w:hAnsiTheme="minorHAnsi" w:cstheme="minorBidi"/>
          <w:szCs w:val="22"/>
        </w:rPr>
      </w:pPr>
      <w:r>
        <w:t>19ZI.</w:t>
      </w:r>
      <w:r>
        <w:tab/>
        <w:t>Commissioner may request information about reportable convictions</w:t>
      </w:r>
      <w:r>
        <w:tab/>
      </w:r>
      <w:r>
        <w:fldChar w:fldCharType="begin"/>
      </w:r>
      <w:r>
        <w:instrText xml:space="preserve"> PAGEREF _Toc184127902 \h </w:instrText>
      </w:r>
      <w:r>
        <w:fldChar w:fldCharType="separate"/>
      </w:r>
      <w:r>
        <w:t>59</w:t>
      </w:r>
      <w:r>
        <w:fldChar w:fldCharType="end"/>
      </w:r>
    </w:p>
    <w:p>
      <w:pPr>
        <w:pStyle w:val="TOC8"/>
        <w:rPr>
          <w:rFonts w:asciiTheme="minorHAnsi" w:eastAsiaTheme="minorEastAsia" w:hAnsiTheme="minorHAnsi" w:cstheme="minorBidi"/>
          <w:szCs w:val="22"/>
        </w:rPr>
      </w:pPr>
      <w:r>
        <w:t>19ZJ.</w:t>
      </w:r>
      <w:r>
        <w:tab/>
        <w:t>Prohibition on publishing certain information</w:t>
      </w:r>
      <w:r>
        <w:tab/>
      </w:r>
      <w:r>
        <w:fldChar w:fldCharType="begin"/>
      </w:r>
      <w:r>
        <w:instrText xml:space="preserve"> PAGEREF _Toc184127903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 xml:space="preserve">Subdivision 6 — Review of amendments made by </w:t>
      </w:r>
      <w:r>
        <w:rPr>
          <w:i/>
        </w:rPr>
        <w:t>Parliamentary Commissioner Amendment (Reportable Conduct) Act 2022</w:t>
      </w:r>
    </w:p>
    <w:p>
      <w:pPr>
        <w:pStyle w:val="TOC8"/>
        <w:rPr>
          <w:rFonts w:asciiTheme="minorHAnsi" w:eastAsiaTheme="minorEastAsia" w:hAnsiTheme="minorHAnsi" w:cstheme="minorBidi"/>
          <w:szCs w:val="22"/>
        </w:rPr>
      </w:pPr>
      <w:r>
        <w:t>19ZK.</w:t>
      </w:r>
      <w:r>
        <w:tab/>
        <w:t xml:space="preserve">Review of amendments made by </w:t>
      </w:r>
      <w:r>
        <w:rPr>
          <w:i/>
        </w:rPr>
        <w:t>Parliamentary Commissioner Amendment (Reportable Conduct) Act 2022</w:t>
      </w:r>
      <w:r>
        <w:tab/>
      </w:r>
      <w:r>
        <w:fldChar w:fldCharType="begin"/>
      </w:r>
      <w:r>
        <w:instrText xml:space="preserve"> PAGEREF _Toc184127905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_Toc184127907 \h </w:instrText>
      </w:r>
      <w:r>
        <w:fldChar w:fldCharType="separate"/>
      </w:r>
      <w:r>
        <w:t>61</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_Toc184127908 \h </w:instrText>
      </w:r>
      <w:r>
        <w:fldChar w:fldCharType="separate"/>
      </w:r>
      <w:r>
        <w:t>64</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_Toc184127909 \h </w:instrText>
      </w:r>
      <w:r>
        <w:fldChar w:fldCharType="separate"/>
      </w:r>
      <w:r>
        <w:t>65</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_Toc184127910 \h </w:instrText>
      </w:r>
      <w:r>
        <w:fldChar w:fldCharType="separate"/>
      </w:r>
      <w:r>
        <w:t>65</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r>
      <w:r>
        <w:t>Consultation other than in relation to reportable conduct scheme</w:t>
      </w:r>
      <w:r>
        <w:tab/>
      </w:r>
      <w:r>
        <w:fldChar w:fldCharType="begin"/>
      </w:r>
      <w:r>
        <w:instrText xml:space="preserve"> PAGEREF _Toc184127911 \h </w:instrText>
      </w:r>
      <w:r>
        <w:fldChar w:fldCharType="separate"/>
      </w:r>
      <w:r>
        <w:t>66</w:t>
      </w:r>
      <w:r>
        <w:fldChar w:fldCharType="end"/>
      </w:r>
    </w:p>
    <w:p>
      <w:pPr>
        <w:pStyle w:val="TOC8"/>
        <w:rPr>
          <w:rFonts w:asciiTheme="minorHAnsi" w:eastAsiaTheme="minorEastAsia" w:hAnsiTheme="minorHAnsi" w:cstheme="minorBidi"/>
          <w:szCs w:val="22"/>
        </w:rPr>
      </w:pPr>
      <w:r>
        <w:t>22AA</w:t>
      </w:r>
      <w:r>
        <w:rPr>
          <w:snapToGrid w:val="0"/>
        </w:rPr>
        <w:t>.</w:t>
      </w:r>
      <w:r>
        <w:rPr>
          <w:snapToGrid w:val="0"/>
        </w:rPr>
        <w:tab/>
        <w:t>Consultation in relation to reportable conduct scheme</w:t>
      </w:r>
      <w:r>
        <w:tab/>
      </w:r>
      <w:r>
        <w:fldChar w:fldCharType="begin"/>
      </w:r>
      <w:r>
        <w:instrText xml:space="preserve"> PAGEREF _Toc184127912 \h </w:instrText>
      </w:r>
      <w:r>
        <w:fldChar w:fldCharType="separate"/>
      </w:r>
      <w:r>
        <w:t>66</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r>
      <w:r>
        <w:t>Disclosure of certain information other than in relation to reportable conduct scheme</w:t>
      </w:r>
      <w:r>
        <w:tab/>
      </w:r>
      <w:r>
        <w:fldChar w:fldCharType="begin"/>
      </w:r>
      <w:r>
        <w:instrText xml:space="preserve"> PAGEREF _Toc184127913 \h </w:instrText>
      </w:r>
      <w:r>
        <w:fldChar w:fldCharType="separate"/>
      </w:r>
      <w:r>
        <w:t>68</w:t>
      </w:r>
      <w:r>
        <w:fldChar w:fldCharType="end"/>
      </w:r>
    </w:p>
    <w:p>
      <w:pPr>
        <w:pStyle w:val="TOC8"/>
        <w:rPr>
          <w:rFonts w:asciiTheme="minorHAnsi" w:eastAsiaTheme="minorEastAsia" w:hAnsiTheme="minorHAnsi" w:cstheme="minorBidi"/>
          <w:szCs w:val="22"/>
        </w:rPr>
      </w:pPr>
      <w:r>
        <w:t>22C</w:t>
      </w:r>
      <w:r>
        <w:rPr>
          <w:snapToGrid w:val="0"/>
        </w:rPr>
        <w:t>.</w:t>
      </w:r>
      <w:r>
        <w:rPr>
          <w:snapToGrid w:val="0"/>
        </w:rPr>
        <w:tab/>
        <w:t>Disclosure of certain information in relation to reportable conduct scheme</w:t>
      </w:r>
      <w:r>
        <w:tab/>
      </w:r>
      <w:r>
        <w:fldChar w:fldCharType="begin"/>
      </w:r>
      <w:r>
        <w:instrText xml:space="preserve"> PAGEREF _Toc184127914 \h </w:instrText>
      </w:r>
      <w:r>
        <w:fldChar w:fldCharType="separate"/>
      </w:r>
      <w:r>
        <w:t>70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_Toc184127915 \h </w:instrText>
      </w:r>
      <w:r>
        <w:fldChar w:fldCharType="separate"/>
      </w:r>
      <w:r>
        <w:t>72</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r>
      <w:r>
        <w:t>Certain documents sent to or by Commissioner not admissible</w:t>
      </w:r>
      <w:r>
        <w:tab/>
      </w:r>
      <w:r>
        <w:fldChar w:fldCharType="begin"/>
      </w:r>
      <w:r>
        <w:instrText xml:space="preserve"> PAGEREF _Toc184127916 \h </w:instrText>
      </w:r>
      <w:r>
        <w:fldChar w:fldCharType="separate"/>
      </w:r>
      <w:r>
        <w:t>74</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_Toc184127917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_Toc184127919 \h </w:instrText>
      </w:r>
      <w:r>
        <w:fldChar w:fldCharType="separate"/>
      </w:r>
      <w:r>
        <w:t>75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_Toc184127920 \h </w:instrText>
      </w:r>
      <w:r>
        <w:fldChar w:fldCharType="separate"/>
      </w:r>
      <w:r>
        <w:t>77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_Toc184127922 \h </w:instrText>
      </w:r>
      <w:r>
        <w:fldChar w:fldCharType="separate"/>
      </w:r>
      <w:r>
        <w:t>78</w:t>
      </w:r>
      <w:r>
        <w:fldChar w:fldCharType="end"/>
      </w:r>
    </w:p>
    <w:p>
      <w:pPr>
        <w:pStyle w:val="TOC8"/>
        <w:rPr>
          <w:rFonts w:asciiTheme="minorHAnsi" w:eastAsiaTheme="minorEastAsia" w:hAnsiTheme="minorHAnsi" w:cstheme="minorBidi"/>
          <w:szCs w:val="22"/>
        </w:rPr>
      </w:pPr>
      <w:r>
        <w:t>28.</w:t>
      </w:r>
      <w:r>
        <w:tab/>
        <w:t>Annual report to include report on reportable conduct scheme</w:t>
      </w:r>
      <w:r>
        <w:tab/>
      </w:r>
      <w:r>
        <w:fldChar w:fldCharType="begin"/>
      </w:r>
      <w:r>
        <w:instrText xml:space="preserve"> PAGEREF _Toc184127923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_Toc184127925 \h </w:instrText>
      </w:r>
      <w:r>
        <w:fldChar w:fldCharType="separate"/>
      </w:r>
      <w:r>
        <w:t>80</w:t>
      </w:r>
      <w:r>
        <w:fldChar w:fldCharType="end"/>
      </w:r>
    </w:p>
    <w:p>
      <w:pPr>
        <w:pStyle w:val="TOC8"/>
        <w:rPr>
          <w:rFonts w:asciiTheme="minorHAnsi" w:eastAsiaTheme="minorEastAsia" w:hAnsiTheme="minorHAnsi" w:cstheme="minorBidi"/>
          <w:szCs w:val="22"/>
        </w:rPr>
      </w:pPr>
      <w:r>
        <w:t>29A.</w:t>
      </w:r>
      <w:r>
        <w:rPr>
          <w:snapToGrid w:val="0"/>
        </w:rPr>
        <w:tab/>
        <w:t>Delegation by Commissioner of Police</w:t>
      </w:r>
      <w:r>
        <w:tab/>
      </w:r>
      <w:r>
        <w:fldChar w:fldCharType="begin"/>
      </w:r>
      <w:r>
        <w:instrText xml:space="preserve"> PAGEREF _Toc184127926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_Toc184127927 \h </w:instrText>
      </w:r>
      <w:r>
        <w:fldChar w:fldCharType="separate"/>
      </w:r>
      <w:r>
        <w:t>81</w:t>
      </w:r>
      <w:r>
        <w:fldChar w:fldCharType="end"/>
      </w:r>
    </w:p>
    <w:p>
      <w:pPr>
        <w:pStyle w:val="TOC8"/>
        <w:rPr>
          <w:rFonts w:asciiTheme="minorHAnsi" w:eastAsiaTheme="minorEastAsia" w:hAnsiTheme="minorHAnsi" w:cstheme="minorBidi"/>
          <w:szCs w:val="22"/>
        </w:rPr>
      </w:pPr>
      <w:r>
        <w:lastRenderedPageBreak/>
        <w:t>30A</w:t>
      </w:r>
      <w:r>
        <w:rPr>
          <w:snapToGrid w:val="0"/>
        </w:rPr>
        <w:t>.</w:t>
      </w:r>
      <w:r>
        <w:rPr>
          <w:snapToGrid w:val="0"/>
        </w:rPr>
        <w:tab/>
        <w:t>Protection of complainants etc.</w:t>
      </w:r>
      <w:r>
        <w:tab/>
      </w:r>
      <w:r>
        <w:fldChar w:fldCharType="begin"/>
      </w:r>
      <w:r>
        <w:instrText xml:space="preserve"> PAGEREF _Toc184127928 \h </w:instrText>
      </w:r>
      <w:r>
        <w:fldChar w:fldCharType="separate"/>
      </w:r>
      <w:r>
        <w:t>82</w:t>
      </w:r>
      <w:r>
        <w:fldChar w:fldCharType="end"/>
      </w:r>
    </w:p>
    <w:p>
      <w:pPr>
        <w:pStyle w:val="TOC8"/>
        <w:rPr>
          <w:rFonts w:asciiTheme="minorHAnsi" w:eastAsiaTheme="minorEastAsia" w:hAnsiTheme="minorHAnsi" w:cstheme="minorBidi"/>
          <w:szCs w:val="22"/>
        </w:rPr>
      </w:pPr>
      <w:r>
        <w:t>30AA</w:t>
      </w:r>
      <w:r>
        <w:rPr>
          <w:snapToGrid w:val="0"/>
        </w:rPr>
        <w:t>.</w:t>
      </w:r>
      <w:r>
        <w:rPr>
          <w:snapToGrid w:val="0"/>
        </w:rPr>
        <w:tab/>
        <w:t>Protection from liability for giving information</w:t>
      </w:r>
      <w:r>
        <w:t xml:space="preserve">: </w:t>
      </w:r>
      <w:r>
        <w:rPr>
          <w:snapToGrid w:val="0"/>
        </w:rPr>
        <w:t>reportable conduct scheme</w:t>
      </w:r>
      <w:r>
        <w:tab/>
      </w:r>
      <w:r>
        <w:fldChar w:fldCharType="begin"/>
      </w:r>
      <w:r>
        <w:instrText xml:space="preserve"> PAGEREF _Toc184127929 \h </w:instrText>
      </w:r>
      <w:r>
        <w:fldChar w:fldCharType="separate"/>
      </w:r>
      <w:r>
        <w:t>82</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_Toc184127930 \h </w:instrText>
      </w:r>
      <w:r>
        <w:fldChar w:fldCharType="separate"/>
      </w:r>
      <w:r>
        <w:t>83</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_Toc184127931 \h </w:instrText>
      </w:r>
      <w:r>
        <w:fldChar w:fldCharType="separate"/>
      </w:r>
      <w:r>
        <w:t>85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_Toc184127932 \h </w:instrText>
      </w:r>
      <w:r>
        <w:fldChar w:fldCharType="separate"/>
      </w:r>
      <w:r>
        <w:t>85</w:t>
      </w:r>
      <w:r>
        <w:fldChar w:fldCharType="end"/>
      </w:r>
    </w:p>
    <w:p>
      <w:pPr>
        <w:pStyle w:val="TOC8"/>
        <w:rPr>
          <w:rFonts w:asciiTheme="minorHAnsi" w:eastAsiaTheme="minorEastAsia" w:hAnsiTheme="minorHAnsi" w:cstheme="minorBidi"/>
          <w:szCs w:val="22"/>
        </w:rPr>
      </w:pPr>
      <w:r>
        <w:t>33.</w:t>
      </w:r>
      <w:r>
        <w:tab/>
        <w:t>Regulations</w:t>
      </w:r>
      <w:r>
        <w:tab/>
      </w:r>
      <w:r>
        <w:fldChar w:fldCharType="begin"/>
      </w:r>
      <w:r>
        <w:instrText xml:space="preserve"> PAGEREF _Toc184127933 \h </w:instrText>
      </w:r>
      <w:r>
        <w:fldChar w:fldCharType="separate"/>
      </w:r>
      <w:r>
        <w:t>85</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_Toc184127934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Schedule 2 — Relevant entities to which this Act applies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_Toc184127938 \h </w:instrText>
      </w:r>
      <w:r>
        <w:fldChar w:fldCharType="separate"/>
      </w:r>
      <w:r>
        <w:t>93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_Toc184127939 \h </w:instrText>
      </w:r>
      <w:r>
        <w:fldChar w:fldCharType="separate"/>
      </w:r>
      <w:r>
        <w:t>102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_Toc184127940 \h </w:instrText>
      </w:r>
      <w:r>
        <w:fldChar w:fldCharType="separate"/>
      </w:r>
      <w:r>
        <w:t>103</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2" w:name="_Toc184122150"/>
      <w:bookmarkStart w:id="3" w:name="_Toc184122546"/>
      <w:bookmarkStart w:id="4" w:name="_Toc184127836"/>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p>
    <w:p>
      <w:pPr>
        <w:pStyle w:val="Heading5"/>
        <w:rPr>
          <w:snapToGrid w:val="0"/>
        </w:rPr>
      </w:pPr>
      <w:bookmarkStart w:id="5" w:name="_Toc184127837"/>
      <w:r>
        <w:rPr>
          <w:rStyle w:val="CharSectno"/>
        </w:rPr>
        <w:t>1</w:t>
      </w:r>
      <w:r>
        <w:rPr>
          <w:snapToGrid w:val="0"/>
        </w:rPr>
        <w:t>.</w:t>
      </w:r>
      <w:r>
        <w:rPr>
          <w:snapToGrid w:val="0"/>
        </w:rPr>
        <w:tab/>
        <w:t>Short title</w:t>
      </w:r>
      <w:bookmarkEnd w:id="5"/>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6" w:name="_Toc184127838"/>
      <w:r>
        <w:rPr>
          <w:rStyle w:val="CharSectno"/>
        </w:rPr>
        <w:t>2</w:t>
      </w:r>
      <w:r>
        <w:rPr>
          <w:snapToGrid w:val="0"/>
        </w:rPr>
        <w:t>.</w:t>
      </w:r>
      <w:r>
        <w:rPr>
          <w:snapToGrid w:val="0"/>
        </w:rPr>
        <w:tab/>
        <w:t>Commencement</w:t>
      </w:r>
      <w:bookmarkEnd w:id="6"/>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7" w:name="_Toc184127839"/>
      <w:r>
        <w:rPr>
          <w:rStyle w:val="CharSectno"/>
        </w:rPr>
        <w:t>4</w:t>
      </w:r>
      <w:r>
        <w:rPr>
          <w:snapToGrid w:val="0"/>
        </w:rPr>
        <w:t>.</w:t>
      </w:r>
      <w:r>
        <w:rPr>
          <w:snapToGrid w:val="0"/>
        </w:rPr>
        <w:tab/>
        <w:t>Terms used</w:t>
      </w:r>
      <w:bookmarkEnd w:id="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 Impairment) Act 2015</w:t>
      </w:r>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xml:space="preserve">, in relation to a complaint under this Act, means the person who appears from the complaint to be the </w:t>
      </w:r>
      <w:r>
        <w:lastRenderedPageBreak/>
        <w:t>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lastRenderedPageBreak/>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 Impairment)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 No. 10 of 2023 s. 410.]</w:t>
      </w:r>
    </w:p>
    <w:p>
      <w:pPr>
        <w:pStyle w:val="Heading5"/>
        <w:rPr>
          <w:snapToGrid w:val="0"/>
        </w:rPr>
      </w:pPr>
      <w:bookmarkStart w:id="8" w:name="_Toc184127840"/>
      <w:r>
        <w:rPr>
          <w:rStyle w:val="CharSectno"/>
        </w:rPr>
        <w:t>4A</w:t>
      </w:r>
      <w:r>
        <w:rPr>
          <w:snapToGrid w:val="0"/>
        </w:rPr>
        <w:t>.</w:t>
      </w:r>
      <w:r>
        <w:rPr>
          <w:snapToGrid w:val="0"/>
        </w:rPr>
        <w:tab/>
        <w:t>Term used: authority</w:t>
      </w:r>
      <w:bookmarkEnd w:id="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lastRenderedPageBreak/>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9" w:name="_Toc184122155"/>
      <w:bookmarkStart w:id="10" w:name="_Toc184122551"/>
      <w:bookmarkStart w:id="11" w:name="_Toc184127841"/>
      <w:r>
        <w:rPr>
          <w:rStyle w:val="CharPartNo"/>
        </w:rPr>
        <w:lastRenderedPageBreak/>
        <w:t>Part II</w:t>
      </w:r>
      <w:r>
        <w:rPr>
          <w:rStyle w:val="CharDivNo"/>
        </w:rPr>
        <w:t> </w:t>
      </w:r>
      <w:r>
        <w:t>—</w:t>
      </w:r>
      <w:r>
        <w:rPr>
          <w:rStyle w:val="CharDivText"/>
        </w:rPr>
        <w:t> </w:t>
      </w:r>
      <w:r>
        <w:rPr>
          <w:rStyle w:val="CharPartText"/>
        </w:rPr>
        <w:t>The Parliamentary Commissioner for Administrative Investigations</w:t>
      </w:r>
      <w:bookmarkEnd w:id="9"/>
      <w:bookmarkEnd w:id="10"/>
      <w:bookmarkEnd w:id="11"/>
    </w:p>
    <w:p>
      <w:pPr>
        <w:pStyle w:val="Heading5"/>
        <w:rPr>
          <w:snapToGrid w:val="0"/>
        </w:rPr>
      </w:pPr>
      <w:bookmarkStart w:id="12" w:name="_Toc184127842"/>
      <w:r>
        <w:rPr>
          <w:rStyle w:val="CharSectno"/>
        </w:rPr>
        <w:t>5</w:t>
      </w:r>
      <w:r>
        <w:rPr>
          <w:snapToGrid w:val="0"/>
        </w:rPr>
        <w:t>.</w:t>
      </w:r>
      <w:r>
        <w:rPr>
          <w:snapToGrid w:val="0"/>
        </w:rPr>
        <w:tab/>
        <w:t>Commissioner and Deputy Commissioner, appointment of etc.</w:t>
      </w:r>
      <w:bookmarkEnd w:id="12"/>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 xml:space="preserve">The salary payable to the holder of the office of Commissioner or Deputy Commissioner under this section shall be charged to </w:t>
      </w:r>
      <w:r>
        <w:rPr>
          <w:snapToGrid w:val="0"/>
        </w:rPr>
        <w:lastRenderedPageBreak/>
        <w:t>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13" w:name="_Toc184127843"/>
      <w:r>
        <w:rPr>
          <w:rStyle w:val="CharSectno"/>
        </w:rPr>
        <w:t>6</w:t>
      </w:r>
      <w:r>
        <w:rPr>
          <w:snapToGrid w:val="0"/>
        </w:rPr>
        <w:t>.</w:t>
      </w:r>
      <w:r>
        <w:rPr>
          <w:snapToGrid w:val="0"/>
        </w:rPr>
        <w:tab/>
        <w:t>Removal or suspension of Commissioner or Deputy Commissioner</w:t>
      </w:r>
      <w:bookmarkEnd w:id="13"/>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lastRenderedPageBreak/>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14" w:name="_Toc184127844"/>
      <w:r>
        <w:rPr>
          <w:rStyle w:val="CharSectno"/>
        </w:rPr>
        <w:t>6A</w:t>
      </w:r>
      <w:r>
        <w:rPr>
          <w:snapToGrid w:val="0"/>
        </w:rPr>
        <w:t>.</w:t>
      </w:r>
      <w:r>
        <w:rPr>
          <w:snapToGrid w:val="0"/>
        </w:rPr>
        <w:tab/>
        <w:t>Deputy Parliamentary Commissioner, functions of</w:t>
      </w:r>
      <w:bookmarkEnd w:id="14"/>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lastRenderedPageBreak/>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15" w:name="_Toc184127845"/>
      <w:r>
        <w:rPr>
          <w:rStyle w:val="CharSectno"/>
        </w:rPr>
        <w:t>7</w:t>
      </w:r>
      <w:r>
        <w:rPr>
          <w:snapToGrid w:val="0"/>
        </w:rPr>
        <w:t>.</w:t>
      </w:r>
      <w:r>
        <w:rPr>
          <w:snapToGrid w:val="0"/>
        </w:rPr>
        <w:tab/>
        <w:t>Acting Parliamentary Commissioner, appointment of etc.</w:t>
      </w:r>
      <w:bookmarkEnd w:id="1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16" w:name="_Toc184127846"/>
      <w:r>
        <w:rPr>
          <w:rStyle w:val="CharSectno"/>
        </w:rPr>
        <w:t>8</w:t>
      </w:r>
      <w:r>
        <w:rPr>
          <w:snapToGrid w:val="0"/>
        </w:rPr>
        <w:t>.</w:t>
      </w:r>
      <w:r>
        <w:rPr>
          <w:snapToGrid w:val="0"/>
        </w:rPr>
        <w:tab/>
        <w:t>Oath or affirmation of Commissioner, Deputy Commissioner and Acting Commissioner</w:t>
      </w:r>
      <w:bookmarkEnd w:id="16"/>
    </w:p>
    <w:p>
      <w:pPr>
        <w:pStyle w:val="Subsection"/>
        <w:rPr>
          <w:snapToGrid w:val="0"/>
        </w:rPr>
      </w:pPr>
      <w:r>
        <w:rPr>
          <w:snapToGrid w:val="0"/>
        </w:rPr>
        <w:tab/>
        <w:t>(1)</w:t>
      </w:r>
      <w:r>
        <w:rPr>
          <w:snapToGrid w:val="0"/>
        </w:rPr>
        <w:tab/>
        <w:t xml:space="preserve">Before entering upon the exercise of the duties of their respective offices the Commissioner, the Deputy Commissioner </w:t>
      </w:r>
      <w:r>
        <w:rPr>
          <w:snapToGrid w:val="0"/>
        </w:rPr>
        <w:lastRenderedPageBreak/>
        <w:t>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17" w:name="_Toc184127847"/>
      <w:r>
        <w:rPr>
          <w:rStyle w:val="CharSectno"/>
        </w:rPr>
        <w:t>9</w:t>
      </w:r>
      <w:r>
        <w:rPr>
          <w:snapToGrid w:val="0"/>
        </w:rPr>
        <w:t>.</w:t>
      </w:r>
      <w:r>
        <w:rPr>
          <w:snapToGrid w:val="0"/>
        </w:rPr>
        <w:tab/>
        <w:t>Staff of Commissioner</w:t>
      </w:r>
      <w:bookmarkEnd w:id="17"/>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lastRenderedPageBreak/>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18" w:name="_Toc184127848"/>
      <w:r>
        <w:rPr>
          <w:rStyle w:val="CharSectno"/>
        </w:rPr>
        <w:t>10</w:t>
      </w:r>
      <w:r>
        <w:rPr>
          <w:snapToGrid w:val="0"/>
        </w:rPr>
        <w:t>.</w:t>
      </w:r>
      <w:r>
        <w:rPr>
          <w:snapToGrid w:val="0"/>
        </w:rPr>
        <w:tab/>
        <w:t>Other provisions as to Commissioner and other officers</w:t>
      </w:r>
      <w:bookmarkEnd w:id="18"/>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 xml:space="preserve">When a person ceases to hold the office of Commissioner, Deputy Commissioner or Acting Commissioner or to be an officer of the Commissioner and becomes a public service </w:t>
      </w:r>
      <w:r>
        <w:rPr>
          <w:snapToGrid w:val="0"/>
        </w:rPr>
        <w:lastRenderedPageBreak/>
        <w:t>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19" w:name="_Toc184127849"/>
      <w:r>
        <w:rPr>
          <w:rStyle w:val="CharSectno"/>
        </w:rPr>
        <w:t>11</w:t>
      </w:r>
      <w:r>
        <w:rPr>
          <w:snapToGrid w:val="0"/>
        </w:rPr>
        <w:t>.</w:t>
      </w:r>
      <w:r>
        <w:rPr>
          <w:snapToGrid w:val="0"/>
        </w:rPr>
        <w:tab/>
        <w:t>Delegation by Commissioner</w:t>
      </w:r>
      <w:bookmarkEnd w:id="19"/>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lastRenderedPageBreak/>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20" w:name="_Toc184127850"/>
      <w:r>
        <w:rPr>
          <w:rStyle w:val="CharSectno"/>
        </w:rPr>
        <w:t>12</w:t>
      </w:r>
      <w:r>
        <w:rPr>
          <w:snapToGrid w:val="0"/>
        </w:rPr>
        <w:t>.</w:t>
      </w:r>
      <w:r>
        <w:rPr>
          <w:snapToGrid w:val="0"/>
        </w:rPr>
        <w:tab/>
        <w:t>Rules of Parliament</w:t>
      </w:r>
      <w:bookmarkEnd w:id="20"/>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lastRenderedPageBreak/>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21" w:name="_Toc184122165"/>
      <w:bookmarkStart w:id="22" w:name="_Toc184122561"/>
      <w:bookmarkStart w:id="23" w:name="_Toc184127851"/>
      <w:r>
        <w:rPr>
          <w:rStyle w:val="CharPartNo"/>
        </w:rPr>
        <w:lastRenderedPageBreak/>
        <w:t>Part III</w:t>
      </w:r>
      <w:r>
        <w:t> — </w:t>
      </w:r>
      <w:r>
        <w:rPr>
          <w:rStyle w:val="CharPartText"/>
        </w:rPr>
        <w:t>Jurisdiction and functions of the Commissioner</w:t>
      </w:r>
      <w:bookmarkEnd w:id="21"/>
      <w:bookmarkEnd w:id="22"/>
      <w:bookmarkEnd w:id="23"/>
    </w:p>
    <w:p>
      <w:pPr>
        <w:pStyle w:val="Heading3"/>
      </w:pPr>
      <w:bookmarkStart w:id="24" w:name="_Toc184122166"/>
      <w:bookmarkStart w:id="25" w:name="_Toc184122562"/>
      <w:bookmarkStart w:id="26" w:name="_Toc184127852"/>
      <w:r>
        <w:rPr>
          <w:rStyle w:val="CharDivNo"/>
        </w:rPr>
        <w:t>Division 1</w:t>
      </w:r>
      <w:r>
        <w:rPr>
          <w:snapToGrid w:val="0"/>
        </w:rPr>
        <w:t> — </w:t>
      </w:r>
      <w:r>
        <w:rPr>
          <w:rStyle w:val="CharDivText"/>
        </w:rPr>
        <w:t>Extent of jurisdiction</w:t>
      </w:r>
      <w:bookmarkEnd w:id="24"/>
      <w:bookmarkEnd w:id="25"/>
      <w:bookmarkEnd w:id="26"/>
    </w:p>
    <w:p>
      <w:pPr>
        <w:pStyle w:val="Heading5"/>
        <w:rPr>
          <w:snapToGrid w:val="0"/>
        </w:rPr>
      </w:pPr>
      <w:bookmarkStart w:id="27" w:name="_Toc184127853"/>
      <w:r>
        <w:rPr>
          <w:rStyle w:val="CharSectno"/>
        </w:rPr>
        <w:t>13</w:t>
      </w:r>
      <w:r>
        <w:rPr>
          <w:snapToGrid w:val="0"/>
        </w:rPr>
        <w:t>.</w:t>
      </w:r>
      <w:r>
        <w:rPr>
          <w:snapToGrid w:val="0"/>
        </w:rPr>
        <w:tab/>
        <w:t>Departments and authorities subject to investigation</w:t>
      </w:r>
      <w:bookmarkEnd w:id="27"/>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 xml:space="preserve">Magistrates Court </w:t>
      </w:r>
      <w:r>
        <w:rPr>
          <w:i/>
          <w:snapToGrid w:val="0"/>
        </w:rPr>
        <w:lastRenderedPageBreak/>
        <w:t>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lastRenderedPageBreak/>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lastRenderedPageBreak/>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28" w:name="_Toc184127854"/>
      <w:r>
        <w:rPr>
          <w:rStyle w:val="CharSectno"/>
        </w:rPr>
        <w:t>14</w:t>
      </w:r>
      <w:r>
        <w:rPr>
          <w:snapToGrid w:val="0"/>
        </w:rPr>
        <w:t>.</w:t>
      </w:r>
      <w:r>
        <w:rPr>
          <w:snapToGrid w:val="0"/>
        </w:rPr>
        <w:tab/>
        <w:t>Matters subject to investigation</w:t>
      </w:r>
      <w:bookmarkEnd w:id="28"/>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lastRenderedPageBreak/>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29" w:name="_Toc184122169"/>
      <w:bookmarkStart w:id="30" w:name="_Toc184122565"/>
      <w:bookmarkStart w:id="31" w:name="_Toc184127855"/>
      <w:r>
        <w:rPr>
          <w:rStyle w:val="CharDivNo"/>
        </w:rPr>
        <w:lastRenderedPageBreak/>
        <w:t>Division 2</w:t>
      </w:r>
      <w:r>
        <w:rPr>
          <w:snapToGrid w:val="0"/>
        </w:rPr>
        <w:t> — </w:t>
      </w:r>
      <w:r>
        <w:rPr>
          <w:rStyle w:val="CharDivText"/>
        </w:rPr>
        <w:t>Initiation of investigations</w:t>
      </w:r>
      <w:bookmarkEnd w:id="29"/>
      <w:bookmarkEnd w:id="30"/>
      <w:bookmarkEnd w:id="31"/>
    </w:p>
    <w:p>
      <w:pPr>
        <w:pStyle w:val="Heading5"/>
        <w:rPr>
          <w:snapToGrid w:val="0"/>
        </w:rPr>
      </w:pPr>
      <w:bookmarkStart w:id="32" w:name="_Toc184127856"/>
      <w:r>
        <w:rPr>
          <w:rStyle w:val="CharSectno"/>
        </w:rPr>
        <w:t>15</w:t>
      </w:r>
      <w:r>
        <w:rPr>
          <w:snapToGrid w:val="0"/>
        </w:rPr>
        <w:t>.</w:t>
      </w:r>
      <w:r>
        <w:rPr>
          <w:snapToGrid w:val="0"/>
        </w:rPr>
        <w:tab/>
        <w:t>Investigations on reference by Parliament</w:t>
      </w:r>
      <w:bookmarkEnd w:id="32"/>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33" w:name="_Toc184127857"/>
      <w:r>
        <w:rPr>
          <w:rStyle w:val="CharSectno"/>
        </w:rPr>
        <w:t>16</w:t>
      </w:r>
      <w:r>
        <w:rPr>
          <w:snapToGrid w:val="0"/>
        </w:rPr>
        <w:t>.</w:t>
      </w:r>
      <w:r>
        <w:rPr>
          <w:snapToGrid w:val="0"/>
        </w:rPr>
        <w:tab/>
        <w:t>Initiation of investigations</w:t>
      </w:r>
      <w:bookmarkEnd w:id="33"/>
    </w:p>
    <w:p>
      <w:pPr>
        <w:pStyle w:val="Subsection"/>
        <w:rPr>
          <w:snapToGrid w:val="0"/>
        </w:rPr>
      </w:pPr>
      <w:r>
        <w:rPr>
          <w:snapToGrid w:val="0"/>
        </w:rPr>
        <w:tab/>
        <w:t>(1)</w:t>
      </w:r>
      <w:r>
        <w:rPr>
          <w:snapToGrid w:val="0"/>
        </w:rPr>
        <w:tab/>
        <w:t xml:space="preserve">Without prejudice to the provisions of section 15 any investigation that the Commissioner is authorised to conduct </w:t>
      </w:r>
      <w:r>
        <w:rPr>
          <w:snapToGrid w:val="0"/>
        </w:rPr>
        <w:lastRenderedPageBreak/>
        <w:t>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34" w:name="_Toc184127858"/>
      <w:r>
        <w:rPr>
          <w:rStyle w:val="CharSectno"/>
        </w:rPr>
        <w:t>17</w:t>
      </w:r>
      <w:r>
        <w:rPr>
          <w:snapToGrid w:val="0"/>
        </w:rPr>
        <w:t>.</w:t>
      </w:r>
      <w:r>
        <w:rPr>
          <w:snapToGrid w:val="0"/>
        </w:rPr>
        <w:tab/>
        <w:t>Complaints to Commissioner</w:t>
      </w:r>
      <w:bookmarkEnd w:id="34"/>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35" w:name="_Toc184127859"/>
      <w:r>
        <w:rPr>
          <w:rStyle w:val="CharSectno"/>
        </w:rPr>
        <w:lastRenderedPageBreak/>
        <w:t>17A</w:t>
      </w:r>
      <w:r>
        <w:rPr>
          <w:snapToGrid w:val="0"/>
        </w:rPr>
        <w:t>.</w:t>
      </w:r>
      <w:r>
        <w:rPr>
          <w:snapToGrid w:val="0"/>
        </w:rPr>
        <w:tab/>
        <w:t>Complaints by persons in custody</w:t>
      </w:r>
      <w:bookmarkEnd w:id="35"/>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lastRenderedPageBreak/>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 Impairment)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 No. 10 of 2023 s. 410.]</w:t>
      </w:r>
    </w:p>
    <w:p>
      <w:pPr>
        <w:pStyle w:val="Heading5"/>
        <w:rPr>
          <w:snapToGrid w:val="0"/>
        </w:rPr>
      </w:pPr>
      <w:bookmarkStart w:id="36" w:name="_Toc184127860"/>
      <w:r>
        <w:rPr>
          <w:rStyle w:val="CharSectno"/>
        </w:rPr>
        <w:t>18</w:t>
      </w:r>
      <w:r>
        <w:rPr>
          <w:snapToGrid w:val="0"/>
        </w:rPr>
        <w:t>.</w:t>
      </w:r>
      <w:r>
        <w:rPr>
          <w:snapToGrid w:val="0"/>
        </w:rPr>
        <w:tab/>
        <w:t>Refusal to investigate complaints</w:t>
      </w:r>
      <w:bookmarkEnd w:id="36"/>
    </w:p>
    <w:p>
      <w:pPr>
        <w:pStyle w:val="Subsection"/>
        <w:spacing w:before="180"/>
        <w:rPr>
          <w:snapToGrid w:val="0"/>
        </w:rPr>
      </w:pPr>
      <w:r>
        <w:rPr>
          <w:snapToGrid w:val="0"/>
        </w:rPr>
        <w:tab/>
        <w:t>(1)</w:t>
      </w:r>
      <w:r>
        <w:rPr>
          <w:snapToGrid w:val="0"/>
        </w:rPr>
        <w:tab/>
        <w:t xml:space="preserve">The Commissioner may refuse to entertain a complaint, or, having commenced to investigate a matter raised in a complaint, </w:t>
      </w:r>
      <w:r>
        <w:rPr>
          <w:snapToGrid w:val="0"/>
        </w:rPr>
        <w:lastRenderedPageBreak/>
        <w:t>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37" w:name="_Toc184122175"/>
      <w:bookmarkStart w:id="38" w:name="_Toc184122571"/>
      <w:bookmarkStart w:id="39" w:name="_Toc184127861"/>
      <w:r>
        <w:rPr>
          <w:rStyle w:val="CharDivNo"/>
        </w:rPr>
        <w:t>Division 3A</w:t>
      </w:r>
      <w:r>
        <w:t> — </w:t>
      </w:r>
      <w:r>
        <w:rPr>
          <w:rStyle w:val="CharDivText"/>
        </w:rPr>
        <w:t>Deaths of certain children</w:t>
      </w:r>
      <w:bookmarkEnd w:id="37"/>
      <w:bookmarkEnd w:id="38"/>
      <w:bookmarkEnd w:id="39"/>
    </w:p>
    <w:p>
      <w:pPr>
        <w:pStyle w:val="Footnoteheading"/>
      </w:pPr>
      <w:r>
        <w:tab/>
        <w:t>[Heading inserted: No. 10 of 2009 s. 7.]</w:t>
      </w:r>
    </w:p>
    <w:p>
      <w:pPr>
        <w:pStyle w:val="Heading5"/>
      </w:pPr>
      <w:bookmarkStart w:id="40" w:name="_Toc184127862"/>
      <w:r>
        <w:rPr>
          <w:rStyle w:val="CharSectno"/>
        </w:rPr>
        <w:t>19A</w:t>
      </w:r>
      <w:r>
        <w:t>.</w:t>
      </w:r>
      <w:r>
        <w:tab/>
        <w:t>Terms used</w:t>
      </w:r>
      <w:bookmarkEnd w:id="40"/>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lastRenderedPageBreak/>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41" w:name="_Toc184127863"/>
      <w:r>
        <w:rPr>
          <w:rStyle w:val="CharSectno"/>
        </w:rPr>
        <w:t>19B</w:t>
      </w:r>
      <w:r>
        <w:t>.</w:t>
      </w:r>
      <w:r>
        <w:tab/>
        <w:t>Functions as to investigable deaths</w:t>
      </w:r>
      <w:bookmarkEnd w:id="41"/>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lastRenderedPageBreak/>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42" w:name="_Toc184122178"/>
      <w:bookmarkStart w:id="43" w:name="_Toc184122574"/>
      <w:bookmarkStart w:id="44" w:name="_Toc184127864"/>
      <w:r>
        <w:rPr>
          <w:rStyle w:val="CharDivNo"/>
        </w:rPr>
        <w:t>Division 3B</w:t>
      </w:r>
      <w:r>
        <w:t> — </w:t>
      </w:r>
      <w:r>
        <w:rPr>
          <w:rStyle w:val="CharDivText"/>
        </w:rPr>
        <w:t>Reportable conduct scheme</w:t>
      </w:r>
      <w:bookmarkEnd w:id="42"/>
      <w:bookmarkEnd w:id="43"/>
      <w:bookmarkEnd w:id="44"/>
    </w:p>
    <w:p>
      <w:pPr>
        <w:pStyle w:val="Footnoteheading"/>
      </w:pPr>
      <w:r>
        <w:tab/>
        <w:t>[Heading inserted: No. 25 of 2022 s. 7.]</w:t>
      </w:r>
    </w:p>
    <w:p>
      <w:pPr>
        <w:pStyle w:val="Heading4"/>
      </w:pPr>
      <w:bookmarkStart w:id="45" w:name="_Toc184122179"/>
      <w:bookmarkStart w:id="46" w:name="_Toc184122575"/>
      <w:bookmarkStart w:id="47" w:name="_Toc184127865"/>
      <w:r>
        <w:t>Subdivision 1 — Preliminary</w:t>
      </w:r>
      <w:bookmarkEnd w:id="45"/>
      <w:bookmarkEnd w:id="46"/>
      <w:bookmarkEnd w:id="47"/>
    </w:p>
    <w:p>
      <w:pPr>
        <w:pStyle w:val="Footnoteheading"/>
      </w:pPr>
      <w:r>
        <w:tab/>
        <w:t>[Heading inserted: No. 25 of 2022 s. 7.]</w:t>
      </w:r>
    </w:p>
    <w:p>
      <w:pPr>
        <w:pStyle w:val="Heading5"/>
      </w:pPr>
      <w:bookmarkStart w:id="48" w:name="_Toc184127866"/>
      <w:r>
        <w:rPr>
          <w:rStyle w:val="CharSectno"/>
        </w:rPr>
        <w:t>19C</w:t>
      </w:r>
      <w:r>
        <w:t>.</w:t>
      </w:r>
      <w:r>
        <w:tab/>
        <w:t>Terms used</w:t>
      </w:r>
      <w:bookmarkEnd w:id="48"/>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lastRenderedPageBreak/>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keepNext/>
      </w:pPr>
      <w:r>
        <w:lastRenderedPageBreak/>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49" w:name="_Toc184127867"/>
      <w:r>
        <w:rPr>
          <w:rStyle w:val="CharSectno"/>
        </w:rPr>
        <w:lastRenderedPageBreak/>
        <w:t>19D</w:t>
      </w:r>
      <w:r>
        <w:t>.</w:t>
      </w:r>
      <w:r>
        <w:tab/>
        <w:t>Employees of relevant entities</w:t>
      </w:r>
      <w:bookmarkEnd w:id="49"/>
    </w:p>
    <w:p>
      <w:pPr>
        <w:pStyle w:val="Subsection"/>
        <w:keepNext/>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lastRenderedPageBreak/>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50" w:name="_Toc184127868"/>
      <w:r>
        <w:rPr>
          <w:rStyle w:val="CharSectno"/>
        </w:rPr>
        <w:t>19E</w:t>
      </w:r>
      <w:r>
        <w:t>.</w:t>
      </w:r>
      <w:r>
        <w:tab/>
        <w:t>Head of a relevant entity</w:t>
      </w:r>
      <w:bookmarkEnd w:id="50"/>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 xml:space="preserve">if there is no chief executive officer or principal officer of the relevant entity — a person, or the holder of a </w:t>
      </w:r>
      <w:r>
        <w:lastRenderedPageBreak/>
        <w:t>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51" w:name="_Toc184127869"/>
      <w:r>
        <w:rPr>
          <w:rStyle w:val="CharSectno"/>
        </w:rPr>
        <w:t>19F</w:t>
      </w:r>
      <w:r>
        <w:t>.</w:t>
      </w:r>
      <w:r>
        <w:tab/>
        <w:t>Reportable allegation</w:t>
      </w:r>
      <w:bookmarkEnd w:id="51"/>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52" w:name="_Toc184127870"/>
      <w:r>
        <w:rPr>
          <w:rStyle w:val="CharSectno"/>
        </w:rPr>
        <w:t>19G</w:t>
      </w:r>
      <w:r>
        <w:t>.</w:t>
      </w:r>
      <w:r>
        <w:tab/>
        <w:t>Reportable conduct</w:t>
      </w:r>
      <w:bookmarkEnd w:id="52"/>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lastRenderedPageBreak/>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53" w:name="_Toc184127871"/>
      <w:r>
        <w:rPr>
          <w:rStyle w:val="CharSectno"/>
        </w:rPr>
        <w:t>19H</w:t>
      </w:r>
      <w:r>
        <w:t>.</w:t>
      </w:r>
      <w:r>
        <w:tab/>
        <w:t>Reportable conviction</w:t>
      </w:r>
      <w:bookmarkEnd w:id="53"/>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lastRenderedPageBreak/>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mental impairment or an acquittal following an equivalent finding under a law of another State, a Territory or the Commonwealth;</w:t>
      </w:r>
    </w:p>
    <w:p>
      <w:pPr>
        <w:pStyle w:val="Indenta"/>
      </w:pPr>
      <w:r>
        <w:tab/>
        <w:t>(e)</w:t>
      </w:r>
      <w:r>
        <w:tab/>
        <w:t xml:space="preserve">a finding under the </w:t>
      </w:r>
      <w:r>
        <w:rPr>
          <w:i/>
        </w:rPr>
        <w:t>Criminal Law (Mental Impairment) Act 2023</w:t>
      </w:r>
      <w:r>
        <w:t xml:space="preserve"> section 41(2)(c) or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 amended: No. 10 of 2023 s. 392 and 412.]</w:t>
      </w:r>
    </w:p>
    <w:p>
      <w:pPr>
        <w:pStyle w:val="Heading5"/>
      </w:pPr>
      <w:bookmarkStart w:id="54" w:name="_Toc184127872"/>
      <w:r>
        <w:rPr>
          <w:rStyle w:val="CharSectno"/>
        </w:rPr>
        <w:lastRenderedPageBreak/>
        <w:t>19I</w:t>
      </w:r>
      <w:r>
        <w:t>.</w:t>
      </w:r>
      <w:r>
        <w:tab/>
        <w:t>Entities to which reportable conduct scheme applies</w:t>
      </w:r>
      <w:bookmarkEnd w:id="54"/>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55" w:name="_Toc184127873"/>
      <w:r>
        <w:rPr>
          <w:rStyle w:val="CharSectno"/>
        </w:rPr>
        <w:t>19J</w:t>
      </w:r>
      <w:r>
        <w:t>.</w:t>
      </w:r>
      <w:r>
        <w:tab/>
        <w:t>Object and principles</w:t>
      </w:r>
      <w:bookmarkEnd w:id="55"/>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lastRenderedPageBreak/>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56" w:name="_Toc184127874"/>
      <w:r>
        <w:rPr>
          <w:rStyle w:val="CharSectno"/>
        </w:rPr>
        <w:t>19K</w:t>
      </w:r>
      <w:r>
        <w:t>.</w:t>
      </w:r>
      <w:r>
        <w:tab/>
        <w:t>Paramount consideration</w:t>
      </w:r>
      <w:bookmarkEnd w:id="56"/>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57" w:name="_Toc184127875"/>
      <w:r>
        <w:rPr>
          <w:rStyle w:val="CharSectno"/>
        </w:rPr>
        <w:t>19L</w:t>
      </w:r>
      <w:r>
        <w:t>.</w:t>
      </w:r>
      <w:r>
        <w:tab/>
        <w:t>Certain provisions not applicable if entity is agent of Crown</w:t>
      </w:r>
      <w:bookmarkEnd w:id="57"/>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58" w:name="_Toc184122190"/>
      <w:bookmarkStart w:id="59" w:name="_Toc184122586"/>
      <w:bookmarkStart w:id="60" w:name="_Toc184127876"/>
      <w:r>
        <w:t>Subdivision 2 — Role of Commissioner</w:t>
      </w:r>
      <w:bookmarkEnd w:id="58"/>
      <w:bookmarkEnd w:id="59"/>
      <w:bookmarkEnd w:id="60"/>
    </w:p>
    <w:p>
      <w:pPr>
        <w:pStyle w:val="Footnoteheading"/>
      </w:pPr>
      <w:r>
        <w:tab/>
        <w:t>[Heading inserted: No. 25 of 2022 s. 7.]</w:t>
      </w:r>
    </w:p>
    <w:p>
      <w:pPr>
        <w:pStyle w:val="Heading5"/>
      </w:pPr>
      <w:bookmarkStart w:id="61" w:name="_Toc184127877"/>
      <w:r>
        <w:rPr>
          <w:rStyle w:val="CharSectno"/>
        </w:rPr>
        <w:t>19M</w:t>
      </w:r>
      <w:r>
        <w:t>.</w:t>
      </w:r>
      <w:r>
        <w:tab/>
        <w:t>Functions of Commissioner in relation to scheme</w:t>
      </w:r>
      <w:bookmarkEnd w:id="61"/>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 xml:space="preserve">to support relevant entities to make continuous improvement in the identification and prevention of </w:t>
      </w:r>
      <w:r>
        <w:lastRenderedPageBreak/>
        <w:t>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62" w:name="_Toc184127878"/>
      <w:r>
        <w:rPr>
          <w:rStyle w:val="CharSectno"/>
        </w:rPr>
        <w:lastRenderedPageBreak/>
        <w:t>19N</w:t>
      </w:r>
      <w:r>
        <w:t>.</w:t>
      </w:r>
      <w:r>
        <w:tab/>
        <w:t>Commissioner may exempt conduct</w:t>
      </w:r>
      <w:bookmarkEnd w:id="62"/>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63" w:name="_Toc184127879"/>
      <w:r>
        <w:rPr>
          <w:rStyle w:val="CharSectno"/>
        </w:rPr>
        <w:t>19O</w:t>
      </w:r>
      <w:r>
        <w:t>.</w:t>
      </w:r>
      <w:r>
        <w:tab/>
        <w:t>Commissioner may exempt entities</w:t>
      </w:r>
      <w:bookmarkEnd w:id="63"/>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64" w:name="_Toc184127880"/>
      <w:r>
        <w:rPr>
          <w:rStyle w:val="CharSectno"/>
        </w:rPr>
        <w:t>19P</w:t>
      </w:r>
      <w:r>
        <w:t>.</w:t>
      </w:r>
      <w:r>
        <w:tab/>
        <w:t>Commissioner may exempt investigations</w:t>
      </w:r>
      <w:bookmarkEnd w:id="64"/>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lastRenderedPageBreak/>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65" w:name="_Toc184127881"/>
      <w:r>
        <w:rPr>
          <w:rStyle w:val="CharSectno"/>
        </w:rPr>
        <w:t>19Q</w:t>
      </w:r>
      <w:r>
        <w:t>.</w:t>
      </w:r>
      <w:r>
        <w:tab/>
        <w:t>Commissioner may approve head of relevant entity in certain circumstances</w:t>
      </w:r>
      <w:bookmarkEnd w:id="65"/>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lastRenderedPageBreak/>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66" w:name="_Toc184122196"/>
      <w:bookmarkStart w:id="67" w:name="_Toc184122592"/>
      <w:bookmarkStart w:id="68" w:name="_Toc184127882"/>
      <w:r>
        <w:t>Subdivision 3 — Systems to deal with reportable conduct</w:t>
      </w:r>
      <w:bookmarkEnd w:id="66"/>
      <w:bookmarkEnd w:id="67"/>
      <w:bookmarkEnd w:id="68"/>
    </w:p>
    <w:p>
      <w:pPr>
        <w:pStyle w:val="Footnoteheading"/>
      </w:pPr>
      <w:r>
        <w:tab/>
        <w:t>[Heading inserted: No. 25 of 2022 s. 7.]</w:t>
      </w:r>
    </w:p>
    <w:p>
      <w:pPr>
        <w:pStyle w:val="Heading5"/>
      </w:pPr>
      <w:bookmarkStart w:id="69" w:name="_Toc184127883"/>
      <w:r>
        <w:rPr>
          <w:rStyle w:val="CharSectno"/>
        </w:rPr>
        <w:t>19R</w:t>
      </w:r>
      <w:r>
        <w:t>.</w:t>
      </w:r>
      <w:r>
        <w:tab/>
        <w:t>Head of relevant entity must ensure systems in place</w:t>
      </w:r>
      <w:bookmarkEnd w:id="69"/>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 xml:space="preserve">a system for investigating a reportable allegation or reportable conviction relating to an employee of the </w:t>
      </w:r>
      <w:r>
        <w:lastRenderedPageBreak/>
        <w:t>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70" w:name="_Toc184127884"/>
      <w:r>
        <w:rPr>
          <w:rStyle w:val="CharSectno"/>
        </w:rPr>
        <w:t>19S</w:t>
      </w:r>
      <w:r>
        <w:t>.</w:t>
      </w:r>
      <w:r>
        <w:tab/>
        <w:t>Commissioner may require information about systems</w:t>
      </w:r>
      <w:bookmarkEnd w:id="70"/>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71" w:name="_Toc184122199"/>
      <w:bookmarkStart w:id="72" w:name="_Toc184122595"/>
      <w:bookmarkStart w:id="73" w:name="_Toc184127885"/>
      <w:r>
        <w:t>Subdivision 4 — Notice, investigation and reporting</w:t>
      </w:r>
      <w:bookmarkEnd w:id="71"/>
      <w:bookmarkEnd w:id="72"/>
      <w:bookmarkEnd w:id="73"/>
    </w:p>
    <w:p>
      <w:pPr>
        <w:pStyle w:val="Footnoteheading"/>
      </w:pPr>
      <w:r>
        <w:tab/>
        <w:t>[Heading inserted: No. 25 of 2022 s. 7.]</w:t>
      </w:r>
    </w:p>
    <w:p>
      <w:pPr>
        <w:pStyle w:val="Heading5"/>
      </w:pPr>
      <w:bookmarkStart w:id="74" w:name="_Toc184127886"/>
      <w:r>
        <w:rPr>
          <w:rStyle w:val="CharSectno"/>
        </w:rPr>
        <w:t>19T</w:t>
      </w:r>
      <w:r>
        <w:t>.</w:t>
      </w:r>
      <w:r>
        <w:tab/>
        <w:t>Report of reportable allegation or reportable conviction</w:t>
      </w:r>
      <w:bookmarkEnd w:id="74"/>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lastRenderedPageBreak/>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75" w:name="_Toc184127887"/>
      <w:r>
        <w:rPr>
          <w:rStyle w:val="CharSectno"/>
        </w:rPr>
        <w:t>19U</w:t>
      </w:r>
      <w:r>
        <w:t>.</w:t>
      </w:r>
      <w:r>
        <w:tab/>
        <w:t>Head of relevant entity must notify Commissioner</w:t>
      </w:r>
      <w:bookmarkEnd w:id="75"/>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lastRenderedPageBreak/>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pPr>
      <w:r>
        <w:tab/>
        <w:t>(6)</w:t>
      </w:r>
      <w:r>
        <w:tab/>
        <w:t>It is an offence for the head of a relevant entity to fail, without reasonable excuse, to comply with subsection (2).</w:t>
      </w:r>
    </w:p>
    <w:p>
      <w:pPr>
        <w:pStyle w:val="Penstart"/>
        <w:rPr>
          <w:snapToGrid w:val="0"/>
        </w:rPr>
      </w:pPr>
      <w:r>
        <w:lastRenderedPageBreak/>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76" w:name="_Toc184127888"/>
      <w:r>
        <w:rPr>
          <w:rStyle w:val="CharSectno"/>
        </w:rPr>
        <w:t>19V</w:t>
      </w:r>
      <w:r>
        <w:t>.</w:t>
      </w:r>
      <w:r>
        <w:tab/>
        <w:t>Information may be disclosed to Commissioner or head of entity</w:t>
      </w:r>
      <w:bookmarkEnd w:id="76"/>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keepNext/>
      </w:pPr>
      <w:r>
        <w:lastRenderedPageBreak/>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77" w:name="_Toc184127889"/>
      <w:r>
        <w:rPr>
          <w:rStyle w:val="CharSectno"/>
        </w:rPr>
        <w:t>19W</w:t>
      </w:r>
      <w:r>
        <w:t>.</w:t>
      </w:r>
      <w:r>
        <w:tab/>
        <w:t>Head of relevant entity must respond to reportable allegation or reportable conviction</w:t>
      </w:r>
      <w:bookmarkEnd w:id="77"/>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must inform the Commissioner of the name and contact details of the person or body, or position or unit in the relevant entity, responsible for conducting the investigation on behalf of the relevant entity.</w:t>
      </w:r>
    </w:p>
    <w:p>
      <w:pPr>
        <w:pStyle w:val="Subsection"/>
      </w:pPr>
      <w:r>
        <w:lastRenderedPageBreak/>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lastRenderedPageBreak/>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78" w:name="_Toc184127890"/>
      <w:r>
        <w:rPr>
          <w:rStyle w:val="CharSectno"/>
        </w:rPr>
        <w:t>19X</w:t>
      </w:r>
      <w:r>
        <w:t>.</w:t>
      </w:r>
      <w:r>
        <w:tab/>
        <w:t>Informing employee of certain matters and giving employee opportunity to make submissions</w:t>
      </w:r>
      <w:bookmarkEnd w:id="78"/>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lastRenderedPageBreak/>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79" w:name="_Toc184127891"/>
      <w:r>
        <w:rPr>
          <w:rStyle w:val="CharSectno"/>
        </w:rPr>
        <w:t>19Y</w:t>
      </w:r>
      <w:r>
        <w:t>.</w:t>
      </w:r>
      <w:r>
        <w:tab/>
        <w:t>Commissioner must be notified of matters affecting investigation</w:t>
      </w:r>
      <w:bookmarkEnd w:id="79"/>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lastRenderedPageBreak/>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80" w:name="_Toc184127892"/>
      <w:r>
        <w:rPr>
          <w:rStyle w:val="CharSectno"/>
        </w:rPr>
        <w:t>19Z</w:t>
      </w:r>
      <w:r>
        <w:t>.</w:t>
      </w:r>
      <w:r>
        <w:tab/>
        <w:t>Head of relevant entity must report outcome of investigation to Commissioner</w:t>
      </w:r>
      <w:bookmarkEnd w:id="80"/>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 xml:space="preserve">any action taken, or proposed to be taken, as a result of the findings of the investigation, to improve the identification or prevention of reportable conduct, or the reporting, notification or investigation of reportable allegations and </w:t>
      </w:r>
      <w:r>
        <w:lastRenderedPageBreak/>
        <w:t>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81" w:name="_Toc184127893"/>
      <w:r>
        <w:rPr>
          <w:rStyle w:val="CharSectno"/>
        </w:rPr>
        <w:t>19ZA</w:t>
      </w:r>
      <w:r>
        <w:t>.</w:t>
      </w:r>
      <w:r>
        <w:tab/>
        <w:t>Head of relevant entity must report outcome of investigation to employee if employee informed of investigation</w:t>
      </w:r>
      <w:bookmarkEnd w:id="81"/>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lastRenderedPageBreak/>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82" w:name="_Toc184127894"/>
      <w:r>
        <w:rPr>
          <w:rStyle w:val="CharSectno"/>
        </w:rPr>
        <w:t>19ZB</w:t>
      </w:r>
      <w:r>
        <w:t>.</w:t>
      </w:r>
      <w:r>
        <w:tab/>
        <w:t>Commissioner may conduct own investigation</w:t>
      </w:r>
      <w:bookmarkEnd w:id="82"/>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lastRenderedPageBreak/>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pPr>
      <w:r>
        <w:tab/>
        <w:t>(ii)</w:t>
      </w:r>
      <w:r>
        <w:tab/>
        <w:t>that the employee does not have a reportable conviction.</w:t>
      </w:r>
    </w:p>
    <w:p>
      <w:pPr>
        <w:pStyle w:val="Footnotesection"/>
      </w:pPr>
      <w:r>
        <w:lastRenderedPageBreak/>
        <w:tab/>
        <w:t>[Section 19ZB inserted: No. 25 of 2022 s. 7.]</w:t>
      </w:r>
    </w:p>
    <w:p>
      <w:pPr>
        <w:pStyle w:val="Heading5"/>
      </w:pPr>
      <w:bookmarkStart w:id="83" w:name="_Toc184127895"/>
      <w:r>
        <w:rPr>
          <w:rStyle w:val="CharSectno"/>
        </w:rPr>
        <w:t>19ZC</w:t>
      </w:r>
      <w:r>
        <w:t>.</w:t>
      </w:r>
      <w:r>
        <w:tab/>
        <w:t>Notice to head of relevant entity of Commissioner’s investigation</w:t>
      </w:r>
      <w:bookmarkEnd w:id="83"/>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84" w:name="_Toc184127896"/>
      <w:r>
        <w:rPr>
          <w:rStyle w:val="CharSectno"/>
        </w:rPr>
        <w:t>19ZD</w:t>
      </w:r>
      <w:r>
        <w:t>.</w:t>
      </w:r>
      <w:r>
        <w:tab/>
        <w:t>Provisions relating to investigation under section 19ZB(1)(a)</w:t>
      </w:r>
      <w:bookmarkEnd w:id="84"/>
    </w:p>
    <w:p>
      <w:pPr>
        <w:pStyle w:val="Subsection"/>
      </w:pPr>
      <w:r>
        <w:tab/>
        <w:t>(1)</w:t>
      </w:r>
      <w:r>
        <w:tab/>
        <w:t>This section applies if the Commissioner decides to conduct an investigation under section 19ZB(1)(a).</w:t>
      </w:r>
    </w:p>
    <w:p>
      <w:pPr>
        <w:pStyle w:val="Subsection"/>
        <w:keepNext/>
      </w:pPr>
      <w:r>
        <w:lastRenderedPageBreak/>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lastRenderedPageBreak/>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85" w:name="_Toc184127897"/>
      <w:r>
        <w:rPr>
          <w:rStyle w:val="CharSectno"/>
        </w:rPr>
        <w:t>19ZE</w:t>
      </w:r>
      <w:r>
        <w:t>.</w:t>
      </w:r>
      <w:r>
        <w:tab/>
        <w:t>Provision relating to investigation under section 19ZB(1)(b) or (c)</w:t>
      </w:r>
      <w:bookmarkEnd w:id="85"/>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86" w:name="_Toc184127898"/>
      <w:r>
        <w:rPr>
          <w:rStyle w:val="CharSectno"/>
        </w:rPr>
        <w:lastRenderedPageBreak/>
        <w:t>19ZF</w:t>
      </w:r>
      <w:r>
        <w:t>.</w:t>
      </w:r>
      <w:r>
        <w:tab/>
        <w:t>Application to State Administrative Tribunal for review</w:t>
      </w:r>
      <w:bookmarkEnd w:id="86"/>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87" w:name="_Toc184127899"/>
      <w:r>
        <w:rPr>
          <w:rStyle w:val="CharSectno"/>
        </w:rPr>
        <w:t>19ZG</w:t>
      </w:r>
      <w:r>
        <w:t>.</w:t>
      </w:r>
      <w:r>
        <w:tab/>
        <w:t>Concurrent investigations or proceedings</w:t>
      </w:r>
      <w:bookmarkEnd w:id="87"/>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lastRenderedPageBreak/>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88" w:name="_Toc184122214"/>
      <w:bookmarkStart w:id="89" w:name="_Toc184122610"/>
      <w:bookmarkStart w:id="90" w:name="_Toc184127900"/>
      <w:r>
        <w:lastRenderedPageBreak/>
        <w:t>Subdivision 5 — Disclosure of information</w:t>
      </w:r>
      <w:bookmarkEnd w:id="88"/>
      <w:bookmarkEnd w:id="89"/>
      <w:bookmarkEnd w:id="90"/>
    </w:p>
    <w:p>
      <w:pPr>
        <w:pStyle w:val="Footnoteheading"/>
        <w:keepNext/>
      </w:pPr>
      <w:r>
        <w:tab/>
        <w:t>[Heading inserted: No. 25 of 2022 s. 7.]</w:t>
      </w:r>
    </w:p>
    <w:p>
      <w:pPr>
        <w:pStyle w:val="Heading5"/>
      </w:pPr>
      <w:bookmarkStart w:id="91" w:name="_Toc184127901"/>
      <w:r>
        <w:rPr>
          <w:rStyle w:val="CharSectno"/>
        </w:rPr>
        <w:t>19ZH</w:t>
      </w:r>
      <w:r>
        <w:t>.</w:t>
      </w:r>
      <w:r>
        <w:tab/>
        <w:t>Disclosure of information to child, parent, guardian or other person with parental responsibility</w:t>
      </w:r>
      <w:bookmarkEnd w:id="91"/>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 xml:space="preserve">if the disclosure would be to a parent, guardian or other person referred to in subsection (1)(b) and the </w:t>
      </w:r>
      <w:r>
        <w:lastRenderedPageBreak/>
        <w:t>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92" w:name="_Toc184127902"/>
      <w:r>
        <w:rPr>
          <w:rStyle w:val="CharSectno"/>
        </w:rPr>
        <w:t>19ZI</w:t>
      </w:r>
      <w:r>
        <w:t>.</w:t>
      </w:r>
      <w:r>
        <w:tab/>
        <w:t>Commissioner may request information about reportable convictions</w:t>
      </w:r>
      <w:bookmarkEnd w:id="92"/>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 xml:space="preserve">A Registrar of a relevant court to whom a request for information is made under subsection (2) is authorised to </w:t>
      </w:r>
      <w:r>
        <w:lastRenderedPageBreak/>
        <w:t>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93" w:name="_Toc184127903"/>
      <w:r>
        <w:rPr>
          <w:rStyle w:val="CharSectno"/>
        </w:rPr>
        <w:t>19ZJ</w:t>
      </w:r>
      <w:r>
        <w:t>.</w:t>
      </w:r>
      <w:r>
        <w:tab/>
        <w:t>Prohibition on publishing certain information</w:t>
      </w:r>
      <w:bookmarkEnd w:id="93"/>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lastRenderedPageBreak/>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94" w:name="_Toc184122218"/>
      <w:bookmarkStart w:id="95" w:name="_Toc184122614"/>
      <w:bookmarkStart w:id="96" w:name="_Toc184127904"/>
      <w:r>
        <w:t xml:space="preserve">Subdivision 6 — Review of amendments made by </w:t>
      </w:r>
      <w:r>
        <w:rPr>
          <w:i/>
        </w:rPr>
        <w:t>Parliamentary Commissioner Amendment (Reportable Conduct) Act 2022</w:t>
      </w:r>
      <w:bookmarkEnd w:id="94"/>
      <w:bookmarkEnd w:id="95"/>
      <w:bookmarkEnd w:id="96"/>
    </w:p>
    <w:p>
      <w:pPr>
        <w:pStyle w:val="Footnoteheading"/>
      </w:pPr>
      <w:r>
        <w:tab/>
        <w:t>[Heading inserted: No. 25 of 2022 s. 7.]</w:t>
      </w:r>
    </w:p>
    <w:p>
      <w:pPr>
        <w:pStyle w:val="Heading5"/>
      </w:pPr>
      <w:bookmarkStart w:id="97" w:name="_Toc184127905"/>
      <w:r>
        <w:rPr>
          <w:rStyle w:val="CharSectno"/>
        </w:rPr>
        <w:t>19ZK</w:t>
      </w:r>
      <w:r>
        <w:t>.</w:t>
      </w:r>
      <w:r>
        <w:tab/>
        <w:t xml:space="preserve">Review of amendments made by </w:t>
      </w:r>
      <w:r>
        <w:rPr>
          <w:i/>
        </w:rPr>
        <w:t>Parliamentary Commissioner Amendment (Reportable Conduct) Act 2022</w:t>
      </w:r>
      <w:bookmarkEnd w:id="97"/>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98" w:name="_Toc184122220"/>
      <w:bookmarkStart w:id="99" w:name="_Toc184122616"/>
      <w:bookmarkStart w:id="100" w:name="_Toc184127906"/>
      <w:r>
        <w:rPr>
          <w:rStyle w:val="CharDivNo"/>
        </w:rPr>
        <w:t>Division 3</w:t>
      </w:r>
      <w:r>
        <w:rPr>
          <w:snapToGrid w:val="0"/>
        </w:rPr>
        <w:t> — </w:t>
      </w:r>
      <w:r>
        <w:rPr>
          <w:rStyle w:val="CharDivText"/>
        </w:rPr>
        <w:t>Conduct of investigations</w:t>
      </w:r>
      <w:bookmarkEnd w:id="98"/>
      <w:bookmarkEnd w:id="99"/>
      <w:bookmarkEnd w:id="100"/>
    </w:p>
    <w:p>
      <w:pPr>
        <w:pStyle w:val="Heading5"/>
        <w:spacing w:before="240"/>
        <w:rPr>
          <w:snapToGrid w:val="0"/>
        </w:rPr>
      </w:pPr>
      <w:bookmarkStart w:id="101" w:name="_Toc184127907"/>
      <w:r>
        <w:rPr>
          <w:rStyle w:val="CharSectno"/>
        </w:rPr>
        <w:t>19</w:t>
      </w:r>
      <w:r>
        <w:rPr>
          <w:snapToGrid w:val="0"/>
        </w:rPr>
        <w:t>.</w:t>
      </w:r>
      <w:r>
        <w:rPr>
          <w:snapToGrid w:val="0"/>
        </w:rPr>
        <w:tab/>
        <w:t>Proceedings on investigations</w:t>
      </w:r>
      <w:bookmarkEnd w:id="101"/>
    </w:p>
    <w:p>
      <w:pPr>
        <w:pStyle w:val="Subsection"/>
        <w:spacing w:before="180"/>
        <w:rPr>
          <w:snapToGrid w:val="0"/>
        </w:rPr>
      </w:pPr>
      <w:r>
        <w:rPr>
          <w:snapToGrid w:val="0"/>
        </w:rPr>
        <w:tab/>
        <w:t>(1)</w:t>
      </w:r>
      <w:r>
        <w:rPr>
          <w:snapToGrid w:val="0"/>
        </w:rPr>
        <w:tab/>
        <w:t xml:space="preserve">Subject to subsection (1a), before investigating under this Act any action taken by or on behalf of a department or authority the Commissioner shall notify the principal officer thereof and the responsible Minister in writing of his intention so to do, </w:t>
      </w:r>
      <w:r>
        <w:rPr>
          <w:snapToGrid w:val="0"/>
        </w:rPr>
        <w:lastRenderedPageBreak/>
        <w:t>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 xml:space="preserve">In relation to any investigation, if a Minister of the Crown so requests or the investigation relates to any recommendation made to such a Minister, the Commissioner shall consult that </w:t>
      </w:r>
      <w:r>
        <w:rPr>
          <w:snapToGrid w:val="0"/>
        </w:rPr>
        <w:lastRenderedPageBreak/>
        <w:t>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 No. 10 of 2023 s. 410.]</w:t>
      </w:r>
    </w:p>
    <w:p>
      <w:pPr>
        <w:pStyle w:val="Heading5"/>
        <w:rPr>
          <w:snapToGrid w:val="0"/>
        </w:rPr>
      </w:pPr>
      <w:bookmarkStart w:id="102" w:name="_Toc184127908"/>
      <w:r>
        <w:rPr>
          <w:rStyle w:val="CharSectno"/>
        </w:rPr>
        <w:lastRenderedPageBreak/>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02"/>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(2AA) and (2B), a person is not compelled for the purposes of an investigation by the </w:t>
      </w:r>
      <w:r>
        <w:lastRenderedPageBreak/>
        <w:t>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103" w:name="_Toc184127909"/>
      <w:r>
        <w:rPr>
          <w:rStyle w:val="CharSectno"/>
        </w:rPr>
        <w:t>21</w:t>
      </w:r>
      <w:r>
        <w:rPr>
          <w:snapToGrid w:val="0"/>
        </w:rPr>
        <w:t>.</w:t>
      </w:r>
      <w:r>
        <w:rPr>
          <w:snapToGrid w:val="0"/>
        </w:rPr>
        <w:tab/>
        <w:t>Power to enter premises</w:t>
      </w:r>
      <w:bookmarkEnd w:id="103"/>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104" w:name="_Toc184127910"/>
      <w:r>
        <w:rPr>
          <w:rStyle w:val="CharSectno"/>
        </w:rPr>
        <w:t>22</w:t>
      </w:r>
      <w:r>
        <w:rPr>
          <w:snapToGrid w:val="0"/>
        </w:rPr>
        <w:t>.</w:t>
      </w:r>
      <w:r>
        <w:rPr>
          <w:snapToGrid w:val="0"/>
        </w:rPr>
        <w:tab/>
        <w:t>Protection for proceedings in Cabinet</w:t>
      </w:r>
      <w:bookmarkEnd w:id="104"/>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05" w:name="_Toc184127911"/>
      <w:r>
        <w:rPr>
          <w:rStyle w:val="CharSectno"/>
        </w:rPr>
        <w:lastRenderedPageBreak/>
        <w:t>22A</w:t>
      </w:r>
      <w:r>
        <w:rPr>
          <w:snapToGrid w:val="0"/>
        </w:rPr>
        <w:t>.</w:t>
      </w:r>
      <w:r>
        <w:rPr>
          <w:snapToGrid w:val="0"/>
        </w:rPr>
        <w:tab/>
      </w:r>
      <w:r>
        <w:t>Consultation other than in relation to reportable conduct scheme</w:t>
      </w:r>
      <w:bookmarkEnd w:id="105"/>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106" w:name="_Toc184127912"/>
      <w:r>
        <w:rPr>
          <w:rStyle w:val="CharSectno"/>
        </w:rPr>
        <w:t>22AA</w:t>
      </w:r>
      <w:r>
        <w:rPr>
          <w:snapToGrid w:val="0"/>
        </w:rPr>
        <w:t>.</w:t>
      </w:r>
      <w:r>
        <w:rPr>
          <w:snapToGrid w:val="0"/>
        </w:rPr>
        <w:tab/>
        <w:t>Consultation in relation to reportable conduct scheme</w:t>
      </w:r>
      <w:bookmarkEnd w:id="106"/>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lastRenderedPageBreak/>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107" w:name="_Toc184127913"/>
      <w:r>
        <w:rPr>
          <w:rStyle w:val="CharSectno"/>
        </w:rPr>
        <w:lastRenderedPageBreak/>
        <w:t>22B</w:t>
      </w:r>
      <w:r>
        <w:rPr>
          <w:snapToGrid w:val="0"/>
        </w:rPr>
        <w:t>.</w:t>
      </w:r>
      <w:r>
        <w:rPr>
          <w:snapToGrid w:val="0"/>
        </w:rPr>
        <w:tab/>
      </w:r>
      <w:r>
        <w:t>Disclosure of certain information other than in relation to reportable conduct scheme</w:t>
      </w:r>
      <w:bookmarkEnd w:id="107"/>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lastRenderedPageBreak/>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lastRenderedPageBreak/>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108" w:name="_Toc184127914"/>
      <w:r>
        <w:rPr>
          <w:rStyle w:val="CharSectno"/>
        </w:rPr>
        <w:t>22C</w:t>
      </w:r>
      <w:r>
        <w:rPr>
          <w:snapToGrid w:val="0"/>
        </w:rPr>
        <w:t>.</w:t>
      </w:r>
      <w:r>
        <w:rPr>
          <w:snapToGrid w:val="0"/>
        </w:rPr>
        <w:tab/>
        <w:t>Disclosure of certain information in relation to reportable conduct scheme</w:t>
      </w:r>
      <w:bookmarkEnd w:id="108"/>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lastRenderedPageBreak/>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109" w:name="_Toc184127915"/>
      <w:r>
        <w:rPr>
          <w:rStyle w:val="CharSectno"/>
        </w:rPr>
        <w:lastRenderedPageBreak/>
        <w:t>23</w:t>
      </w:r>
      <w:r>
        <w:rPr>
          <w:snapToGrid w:val="0"/>
        </w:rPr>
        <w:t>.</w:t>
      </w:r>
      <w:r>
        <w:rPr>
          <w:snapToGrid w:val="0"/>
        </w:rPr>
        <w:tab/>
        <w:t>Secrecy</w:t>
      </w:r>
      <w:bookmarkEnd w:id="109"/>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 xml:space="preserve">The Commissioner shall not disclose information or make a statement under subsection (1b) with respect to a particular investigation where the disclosure of that information, or the making of that statement, is likely to interfere with the carrying </w:t>
      </w:r>
      <w:r>
        <w:rPr>
          <w:snapToGrid w:val="0"/>
        </w:rPr>
        <w:lastRenderedPageBreak/>
        <w:t>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lastRenderedPageBreak/>
        <w:tab/>
        <w:t>[Section 23 amended: No. 68 of 1976 s. 7; No. 124 of 1984 s. 8; No. 14 of 1994 s. 19(2); No. 29 of 1996 s. 26; No. 78 of 1996 s. 15 and 21; No. 74 of 2003 s. 91(15); No. 25 of 2022 s. 15.]</w:t>
      </w:r>
    </w:p>
    <w:p>
      <w:pPr>
        <w:pStyle w:val="Heading5"/>
        <w:rPr>
          <w:snapToGrid w:val="0"/>
        </w:rPr>
      </w:pPr>
      <w:bookmarkStart w:id="110" w:name="_Toc184127916"/>
      <w:r>
        <w:rPr>
          <w:rStyle w:val="CharSectno"/>
        </w:rPr>
        <w:t>23A</w:t>
      </w:r>
      <w:r>
        <w:rPr>
          <w:snapToGrid w:val="0"/>
        </w:rPr>
        <w:t>.</w:t>
      </w:r>
      <w:r>
        <w:rPr>
          <w:snapToGrid w:val="0"/>
        </w:rPr>
        <w:tab/>
      </w:r>
      <w:r>
        <w:t>Certain documents sent to or by Commissioner not admissible</w:t>
      </w:r>
      <w:bookmarkEnd w:id="110"/>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111" w:name="_Toc184127917"/>
      <w:r>
        <w:rPr>
          <w:rStyle w:val="CharSectno"/>
        </w:rPr>
        <w:t>24</w:t>
      </w:r>
      <w:r>
        <w:rPr>
          <w:snapToGrid w:val="0"/>
        </w:rPr>
        <w:t>.</w:t>
      </w:r>
      <w:r>
        <w:rPr>
          <w:snapToGrid w:val="0"/>
        </w:rPr>
        <w:tab/>
        <w:t>Obstruction</w:t>
      </w:r>
      <w:bookmarkEnd w:id="111"/>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lastRenderedPageBreak/>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12" w:name="_Toc184122232"/>
      <w:bookmarkStart w:id="113" w:name="_Toc184122628"/>
      <w:bookmarkStart w:id="114" w:name="_Toc184127918"/>
      <w:r>
        <w:rPr>
          <w:rStyle w:val="CharDivNo"/>
        </w:rPr>
        <w:t>Division 4</w:t>
      </w:r>
      <w:r>
        <w:rPr>
          <w:snapToGrid w:val="0"/>
        </w:rPr>
        <w:t> — </w:t>
      </w:r>
      <w:r>
        <w:rPr>
          <w:rStyle w:val="CharDivText"/>
        </w:rPr>
        <w:t>Action on investigations</w:t>
      </w:r>
      <w:bookmarkEnd w:id="112"/>
      <w:bookmarkEnd w:id="113"/>
      <w:bookmarkEnd w:id="114"/>
    </w:p>
    <w:p>
      <w:pPr>
        <w:pStyle w:val="Heading5"/>
        <w:spacing w:before="180"/>
        <w:rPr>
          <w:snapToGrid w:val="0"/>
        </w:rPr>
      </w:pPr>
      <w:bookmarkStart w:id="115" w:name="_Toc184127919"/>
      <w:r>
        <w:rPr>
          <w:rStyle w:val="CharSectno"/>
        </w:rPr>
        <w:t>25</w:t>
      </w:r>
      <w:r>
        <w:rPr>
          <w:snapToGrid w:val="0"/>
        </w:rPr>
        <w:t>.</w:t>
      </w:r>
      <w:r>
        <w:rPr>
          <w:snapToGrid w:val="0"/>
        </w:rPr>
        <w:tab/>
        <w:t>Procedure on completion of investigation</w:t>
      </w:r>
      <w:bookmarkEnd w:id="115"/>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lastRenderedPageBreak/>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 xml:space="preserve">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w:t>
      </w:r>
      <w:r>
        <w:rPr>
          <w:snapToGrid w:val="0"/>
        </w:rPr>
        <w:lastRenderedPageBreak/>
        <w:t>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a reference in subsections (3) to (5) to a recommendation under subsection (2) is taken to 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116" w:name="_Toc184127920"/>
      <w:r>
        <w:rPr>
          <w:rStyle w:val="CharSectno"/>
        </w:rPr>
        <w:t>26</w:t>
      </w:r>
      <w:r>
        <w:rPr>
          <w:snapToGrid w:val="0"/>
        </w:rPr>
        <w:t>.</w:t>
      </w:r>
      <w:r>
        <w:rPr>
          <w:snapToGrid w:val="0"/>
        </w:rPr>
        <w:tab/>
        <w:t>Information to complainant on investigation</w:t>
      </w:r>
      <w:bookmarkEnd w:id="116"/>
    </w:p>
    <w:p>
      <w:pPr>
        <w:pStyle w:val="Subsection"/>
        <w:spacing w:before="120"/>
        <w:rPr>
          <w:snapToGrid w:val="0"/>
        </w:rPr>
      </w:pPr>
      <w:r>
        <w:rPr>
          <w:snapToGrid w:val="0"/>
        </w:rPr>
        <w:tab/>
      </w:r>
      <w:r>
        <w:rPr>
          <w:snapToGrid w:val="0"/>
        </w:rPr>
        <w:tab/>
        <w:t xml:space="preserve">Where the Commissioner conducts an investigation on a complaint made under this Act he shall inform the complainant, in such manner and at such time as he thinks proper, of the </w:t>
      </w:r>
      <w:r>
        <w:rPr>
          <w:snapToGrid w:val="0"/>
        </w:rPr>
        <w:lastRenderedPageBreak/>
        <w:t>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117" w:name="_Toc184122235"/>
      <w:bookmarkStart w:id="118" w:name="_Toc184122631"/>
      <w:bookmarkStart w:id="119" w:name="_Toc184127921"/>
      <w:r>
        <w:rPr>
          <w:rStyle w:val="CharDivNo"/>
        </w:rPr>
        <w:t>Division 5</w:t>
      </w:r>
      <w:r>
        <w:rPr>
          <w:snapToGrid w:val="0"/>
        </w:rPr>
        <w:t> — </w:t>
      </w:r>
      <w:r>
        <w:rPr>
          <w:rStyle w:val="CharDivText"/>
        </w:rPr>
        <w:t>Annual and other reports of the Commissioner</w:t>
      </w:r>
      <w:bookmarkEnd w:id="117"/>
      <w:bookmarkEnd w:id="118"/>
      <w:bookmarkEnd w:id="119"/>
    </w:p>
    <w:p>
      <w:pPr>
        <w:pStyle w:val="Heading5"/>
        <w:rPr>
          <w:snapToGrid w:val="0"/>
        </w:rPr>
      </w:pPr>
      <w:bookmarkStart w:id="120" w:name="_Toc184127922"/>
      <w:r>
        <w:rPr>
          <w:rStyle w:val="CharSectno"/>
        </w:rPr>
        <w:t>27</w:t>
      </w:r>
      <w:r>
        <w:rPr>
          <w:snapToGrid w:val="0"/>
        </w:rPr>
        <w:t>.</w:t>
      </w:r>
      <w:r>
        <w:rPr>
          <w:snapToGrid w:val="0"/>
        </w:rPr>
        <w:tab/>
        <w:t>Commissioner may report to Parliament</w:t>
      </w:r>
      <w:bookmarkEnd w:id="120"/>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121" w:name="_Toc184127923"/>
      <w:r>
        <w:rPr>
          <w:rStyle w:val="CharSectno"/>
        </w:rPr>
        <w:t>28</w:t>
      </w:r>
      <w:r>
        <w:t>.</w:t>
      </w:r>
      <w:r>
        <w:tab/>
        <w:t>Annual report to include report on reportable conduct scheme</w:t>
      </w:r>
      <w:bookmarkEnd w:id="121"/>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lastRenderedPageBreak/>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122" w:name="_Toc184122238"/>
      <w:bookmarkStart w:id="123" w:name="_Toc184122634"/>
      <w:bookmarkStart w:id="124" w:name="_Toc184127924"/>
      <w:r>
        <w:rPr>
          <w:rStyle w:val="CharPartNo"/>
        </w:rPr>
        <w:lastRenderedPageBreak/>
        <w:t>Part IV</w:t>
      </w:r>
      <w:r>
        <w:rPr>
          <w:rStyle w:val="CharDivNo"/>
        </w:rPr>
        <w:t> </w:t>
      </w:r>
      <w:r>
        <w:t>—</w:t>
      </w:r>
      <w:r>
        <w:rPr>
          <w:rStyle w:val="CharDivText"/>
        </w:rPr>
        <w:t> </w:t>
      </w:r>
      <w:r>
        <w:rPr>
          <w:rStyle w:val="CharPartText"/>
        </w:rPr>
        <w:t>Miscellaneous</w:t>
      </w:r>
      <w:bookmarkEnd w:id="122"/>
      <w:bookmarkEnd w:id="123"/>
      <w:bookmarkEnd w:id="124"/>
    </w:p>
    <w:p>
      <w:pPr>
        <w:pStyle w:val="Heading5"/>
        <w:rPr>
          <w:snapToGrid w:val="0"/>
        </w:rPr>
      </w:pPr>
      <w:bookmarkStart w:id="125" w:name="_Toc184127925"/>
      <w:r>
        <w:rPr>
          <w:rStyle w:val="CharSectno"/>
        </w:rPr>
        <w:t>29</w:t>
      </w:r>
      <w:r>
        <w:rPr>
          <w:snapToGrid w:val="0"/>
        </w:rPr>
        <w:t>.</w:t>
      </w:r>
      <w:r>
        <w:rPr>
          <w:snapToGrid w:val="0"/>
        </w:rPr>
        <w:tab/>
        <w:t>Supreme Court may determine jurisdictional questions</w:t>
      </w:r>
      <w:bookmarkEnd w:id="125"/>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126" w:name="_Toc184127926"/>
      <w:r>
        <w:rPr>
          <w:rStyle w:val="CharSectno"/>
        </w:rPr>
        <w:t>29A</w:t>
      </w:r>
      <w:r>
        <w:t>.</w:t>
      </w:r>
      <w:r>
        <w:rPr>
          <w:snapToGrid w:val="0"/>
        </w:rPr>
        <w:tab/>
        <w:t>Delegation by Commissioner of Police</w:t>
      </w:r>
      <w:bookmarkEnd w:id="126"/>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lastRenderedPageBreak/>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127" w:name="_Toc184127927"/>
      <w:r>
        <w:rPr>
          <w:rStyle w:val="CharSectno"/>
        </w:rPr>
        <w:t>30</w:t>
      </w:r>
      <w:r>
        <w:rPr>
          <w:snapToGrid w:val="0"/>
        </w:rPr>
        <w:t>.</w:t>
      </w:r>
      <w:r>
        <w:rPr>
          <w:snapToGrid w:val="0"/>
        </w:rPr>
        <w:tab/>
        <w:t>Protection of Commissioner and officers</w:t>
      </w:r>
      <w:bookmarkEnd w:id="127"/>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w:t>
      </w:r>
      <w:r>
        <w:rPr>
          <w:snapToGrid w:val="0"/>
        </w:rPr>
        <w:lastRenderedPageBreak/>
        <w:t>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128" w:name="_Toc184127928"/>
      <w:r>
        <w:rPr>
          <w:rStyle w:val="CharSectno"/>
        </w:rPr>
        <w:t>30A</w:t>
      </w:r>
      <w:r>
        <w:rPr>
          <w:snapToGrid w:val="0"/>
        </w:rPr>
        <w:t>.</w:t>
      </w:r>
      <w:r>
        <w:rPr>
          <w:snapToGrid w:val="0"/>
        </w:rPr>
        <w:tab/>
        <w:t>Protection of complainants etc.</w:t>
      </w:r>
      <w:bookmarkEnd w:id="12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129" w:name="_Toc184127929"/>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129"/>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lastRenderedPageBreak/>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130" w:name="_Toc184127930"/>
      <w:r>
        <w:rPr>
          <w:rStyle w:val="CharSectno"/>
        </w:rPr>
        <w:t>30B</w:t>
      </w:r>
      <w:r>
        <w:rPr>
          <w:snapToGrid w:val="0"/>
        </w:rPr>
        <w:t>.</w:t>
      </w:r>
      <w:r>
        <w:rPr>
          <w:snapToGrid w:val="0"/>
        </w:rPr>
        <w:tab/>
        <w:t>Victimisation</w:t>
      </w:r>
      <w:bookmarkEnd w:id="13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lastRenderedPageBreak/>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131" w:name="_Toc184127931"/>
      <w:r>
        <w:rPr>
          <w:rStyle w:val="CharSectno"/>
        </w:rPr>
        <w:lastRenderedPageBreak/>
        <w:t>31</w:t>
      </w:r>
      <w:r>
        <w:rPr>
          <w:snapToGrid w:val="0"/>
        </w:rPr>
        <w:t>.</w:t>
      </w:r>
      <w:r>
        <w:rPr>
          <w:snapToGrid w:val="0"/>
        </w:rPr>
        <w:tab/>
        <w:t>General penalty</w:t>
      </w:r>
      <w:bookmarkEnd w:id="13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32" w:name="_Toc184127932"/>
      <w:r>
        <w:rPr>
          <w:rStyle w:val="CharSectno"/>
        </w:rPr>
        <w:t>32</w:t>
      </w:r>
      <w:r>
        <w:rPr>
          <w:snapToGrid w:val="0"/>
        </w:rPr>
        <w:t>.</w:t>
      </w:r>
      <w:r>
        <w:rPr>
          <w:snapToGrid w:val="0"/>
        </w:rPr>
        <w:tab/>
        <w:t>Expenses of Act</w:t>
      </w:r>
      <w:bookmarkEnd w:id="13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133" w:name="_Toc184127933"/>
      <w:r>
        <w:rPr>
          <w:rStyle w:val="CharSectno"/>
        </w:rPr>
        <w:t>33</w:t>
      </w:r>
      <w:r>
        <w:t>.</w:t>
      </w:r>
      <w:r>
        <w:tab/>
        <w:t>Regulations</w:t>
      </w:r>
      <w:bookmarkEnd w:id="133"/>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Heading5"/>
      </w:pPr>
      <w:bookmarkStart w:id="134" w:name="_Toc184127934"/>
      <w:r>
        <w:rPr>
          <w:rStyle w:val="CharSectno"/>
        </w:rPr>
        <w:t>34</w:t>
      </w:r>
      <w:r>
        <w:t>.</w:t>
      </w:r>
      <w:r>
        <w:tab/>
        <w:t>Energy and water ombudsman schemes</w:t>
      </w:r>
      <w:bookmarkEnd w:id="13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lastRenderedPageBreak/>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1"/>
          <w:headerReference w:type="default" r:id="rId22"/>
          <w:headerReference w:type="first" r:id="rId23"/>
          <w:pgSz w:w="11907" w:h="16840" w:code="9"/>
          <w:pgMar w:top="2381" w:right="2409" w:bottom="3543" w:left="2409" w:header="720" w:footer="3544" w:gutter="0"/>
          <w:pgNumType w:start="1"/>
          <w:cols w:space="720"/>
          <w:noEndnote/>
          <w:titlePg/>
          <w:docGrid w:linePitch="326"/>
        </w:sectPr>
      </w:pPr>
    </w:p>
    <w:p>
      <w:pPr>
        <w:pStyle w:val="yScheduleHeading"/>
      </w:pPr>
      <w:bookmarkStart w:id="135" w:name="_Toc184122249"/>
      <w:bookmarkStart w:id="136" w:name="_Toc184122645"/>
      <w:bookmarkStart w:id="137" w:name="_Toc184127935"/>
      <w:r>
        <w:rPr>
          <w:rStyle w:val="CharSchNo"/>
        </w:rPr>
        <w:lastRenderedPageBreak/>
        <w:t>Schedule 1</w:t>
      </w:r>
      <w:r>
        <w:t> — </w:t>
      </w:r>
      <w:r>
        <w:rPr>
          <w:rStyle w:val="CharSchText"/>
        </w:rPr>
        <w:t>Departments and authorities, and extent, to which this Act does not apply</w:t>
      </w:r>
      <w:bookmarkEnd w:id="135"/>
      <w:bookmarkEnd w:id="136"/>
      <w:bookmarkEnd w:id="137"/>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lastRenderedPageBreak/>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w:t>
      </w:r>
    </w:p>
    <w:p>
      <w:pPr>
        <w:pStyle w:val="yScheduleHeading"/>
      </w:pPr>
      <w:bookmarkStart w:id="138" w:name="_Toc184122250"/>
      <w:bookmarkStart w:id="139" w:name="_Toc184122646"/>
      <w:bookmarkStart w:id="140" w:name="_Toc184127936"/>
      <w:r>
        <w:rPr>
          <w:rStyle w:val="CharSchNo"/>
        </w:rPr>
        <w:lastRenderedPageBreak/>
        <w:t>Schedule 2</w:t>
      </w:r>
      <w:r>
        <w:t> — </w:t>
      </w:r>
      <w:r>
        <w:rPr>
          <w:rStyle w:val="CharSchText"/>
        </w:rPr>
        <w:t>Relevant entities to which this Act applies</w:t>
      </w:r>
      <w:bookmarkEnd w:id="138"/>
      <w:bookmarkEnd w:id="139"/>
      <w:bookmarkEnd w:id="140"/>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pPr>
            <w:r>
              <w:t>A provider of a drug and alcohol treatment service that has inpatient beds for children.</w:t>
            </w:r>
          </w:p>
          <w:p>
            <w:pPr>
              <w:pStyle w:val="yTableNAm"/>
            </w:pPr>
            <w:r>
              <w:lastRenderedPageBreak/>
              <w:t>An ambulance service.</w:t>
            </w:r>
          </w:p>
        </w:tc>
      </w:tr>
      <w:tr>
        <w:tc>
          <w:tcPr>
            <w:tcW w:w="2280" w:type="dxa"/>
            <w:noWrap/>
          </w:tcPr>
          <w:p>
            <w:pPr>
              <w:pStyle w:val="yTableNAm"/>
            </w:pPr>
            <w:r>
              <w:lastRenderedPageBreak/>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t>(g)</w:t>
            </w:r>
            <w:r>
              <w:tab/>
              <w:t>faith</w:t>
            </w:r>
            <w:r>
              <w:noBreakHyphen/>
              <w:t>based children’s and youth groups;</w:t>
            </w:r>
          </w:p>
          <w:p>
            <w:pPr>
              <w:pStyle w:val="yTableNAm"/>
            </w:pPr>
            <w:r>
              <w:t>(h)</w:t>
            </w:r>
            <w:r>
              <w:tab/>
              <w:t>multi</w:t>
            </w:r>
            <w:r>
              <w:noBreakHyphen/>
              <w:t>faith networks;</w:t>
            </w:r>
          </w:p>
          <w:p>
            <w:pPr>
              <w:pStyle w:val="yTableNAm"/>
            </w:pPr>
            <w:r>
              <w:lastRenderedPageBreak/>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lastRenderedPageBreak/>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t>A provider of any other accommodation or respite services for children.</w:t>
            </w:r>
          </w:p>
        </w:tc>
      </w:tr>
    </w:tbl>
    <w:p>
      <w:pPr>
        <w:pStyle w:val="yFootnotesection"/>
      </w:pPr>
      <w:r>
        <w:lastRenderedPageBreak/>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5"/>
          <w:headerReference w:type="default" r:id="rId26"/>
          <w:headerReference w:type="first" r:id="rId27"/>
          <w:pgSz w:w="11907" w:h="16840" w:code="9"/>
          <w:pgMar w:top="2381" w:right="2409" w:bottom="3543" w:left="2409" w:header="720" w:footer="3544" w:gutter="0"/>
          <w:cols w:space="720"/>
          <w:noEndnote/>
          <w:docGrid w:linePitch="326"/>
        </w:sectPr>
      </w:pPr>
    </w:p>
    <w:p>
      <w:pPr>
        <w:pStyle w:val="nHeading2"/>
      </w:pPr>
      <w:bookmarkStart w:id="142" w:name="_Toc184122251"/>
      <w:bookmarkStart w:id="143" w:name="_Toc184122647"/>
      <w:bookmarkStart w:id="144" w:name="_Toc184127937"/>
      <w:r>
        <w:lastRenderedPageBreak/>
        <w:t>Notes</w:t>
      </w:r>
      <w:bookmarkEnd w:id="142"/>
      <w:bookmarkEnd w:id="143"/>
      <w:bookmarkEnd w:id="144"/>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145" w:name="_Toc184127938"/>
      <w:r>
        <w:t>Compilation table</w:t>
      </w:r>
      <w:bookmarkEnd w:id="145"/>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lastRenderedPageBreak/>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lastRenderedPageBreak/>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lastRenderedPageBreak/>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lastRenderedPageBreak/>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lastRenderedPageBreak/>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lastRenderedPageBreak/>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lastRenderedPageBreak/>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lastRenderedPageBreak/>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lastRenderedPageBreak/>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shd w:val="clear" w:color="auto" w:fill="auto"/>
          </w:tcPr>
          <w:p>
            <w:pPr>
              <w:pStyle w:val="nTable"/>
              <w:spacing w:after="40"/>
              <w:rPr>
                <w:i/>
                <w:snapToGrid w:val="0"/>
              </w:rPr>
            </w:pPr>
            <w:r>
              <w:rPr>
                <w:i/>
              </w:rPr>
              <w:t>Parliamentary Commissioner Amendment (Reportable Conduct) Act 2022</w:t>
            </w:r>
          </w:p>
        </w:tc>
        <w:tc>
          <w:tcPr>
            <w:tcW w:w="1134" w:type="dxa"/>
            <w:shd w:val="clear" w:color="auto" w:fill="auto"/>
          </w:tcPr>
          <w:p>
            <w:pPr>
              <w:pStyle w:val="nTable"/>
              <w:spacing w:after="40"/>
            </w:pPr>
            <w:r>
              <w:t>25 of 2022</w:t>
            </w:r>
          </w:p>
        </w:tc>
        <w:tc>
          <w:tcPr>
            <w:tcW w:w="1276" w:type="dxa"/>
            <w:shd w:val="clear" w:color="auto" w:fill="auto"/>
          </w:tcPr>
          <w:p>
            <w:pPr>
              <w:pStyle w:val="nTable"/>
              <w:spacing w:after="40"/>
            </w:pPr>
            <w:r>
              <w:t>19 Aug 2022</w:t>
            </w:r>
          </w:p>
        </w:tc>
        <w:tc>
          <w:tcPr>
            <w:tcW w:w="2558" w:type="dxa"/>
            <w:gridSpan w:val="2"/>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trPr>
          <w:gridBefore w:val="1"/>
          <w:wBefore w:w="13" w:type="dxa"/>
          <w:cantSplit/>
        </w:trPr>
        <w:tc>
          <w:tcPr>
            <w:tcW w:w="2212" w:type="dxa"/>
            <w:tcBorders>
              <w:bottom w:val="single" w:sz="4" w:space="0" w:color="auto"/>
            </w:tcBorders>
            <w:shd w:val="clear" w:color="auto" w:fill="auto"/>
          </w:tcPr>
          <w:p>
            <w:pPr>
              <w:pStyle w:val="nTable"/>
              <w:spacing w:after="40"/>
              <w:rPr>
                <w:i/>
              </w:rPr>
            </w:pPr>
            <w:r>
              <w:rPr>
                <w:i/>
              </w:rPr>
              <w:t>Criminal Law (Mental Impairment) Act 2023</w:t>
            </w:r>
            <w:r>
              <w:t xml:space="preserve"> Pt. 15 Div. 22 and s. 410 and 412</w:t>
            </w:r>
          </w:p>
        </w:tc>
        <w:tc>
          <w:tcPr>
            <w:tcW w:w="1134" w:type="dxa"/>
            <w:tcBorders>
              <w:bottom w:val="single" w:sz="4" w:space="0" w:color="auto"/>
            </w:tcBorders>
            <w:shd w:val="clear" w:color="auto" w:fill="auto"/>
          </w:tcPr>
          <w:p>
            <w:pPr>
              <w:pStyle w:val="nTable"/>
              <w:spacing w:after="40"/>
            </w:pPr>
            <w:r>
              <w:t>10 of 2023</w:t>
            </w:r>
          </w:p>
        </w:tc>
        <w:tc>
          <w:tcPr>
            <w:tcW w:w="1276" w:type="dxa"/>
            <w:tcBorders>
              <w:bottom w:val="single" w:sz="4" w:space="0" w:color="auto"/>
            </w:tcBorders>
            <w:shd w:val="clear" w:color="auto" w:fill="auto"/>
          </w:tcPr>
          <w:p>
            <w:pPr>
              <w:pStyle w:val="nTable"/>
              <w:spacing w:after="40"/>
            </w:pPr>
            <w:r>
              <w:t>13 Apr 2023</w:t>
            </w:r>
          </w:p>
        </w:tc>
        <w:tc>
          <w:tcPr>
            <w:tcW w:w="2558" w:type="dxa"/>
            <w:gridSpan w:val="2"/>
            <w:tcBorders>
              <w:bottom w:val="single" w:sz="4" w:space="0" w:color="auto"/>
            </w:tcBorders>
            <w:shd w:val="clear" w:color="auto" w:fill="auto"/>
          </w:tcPr>
          <w:p>
            <w:pPr>
              <w:pStyle w:val="nTable"/>
              <w:spacing w:after="40"/>
              <w:rPr>
                <w:snapToGrid w:val="0"/>
              </w:rPr>
            </w:pPr>
            <w:r>
              <w:t>1 Sep 2024 (see s. 2(b) and SL 2024/175 cl. 2)</w:t>
            </w:r>
          </w:p>
        </w:tc>
      </w:tr>
    </w:tbl>
    <w:p>
      <w:pPr>
        <w:pStyle w:val="nHeading3"/>
      </w:pPr>
      <w:bookmarkStart w:id="146" w:name="_Toc184127939"/>
      <w:r>
        <w:t>Uncommenced provisions table</w:t>
      </w:r>
      <w:bookmarkEnd w:id="14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lastRenderedPageBreak/>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trPr>
        <w:tc>
          <w:tcPr>
            <w:tcW w:w="2268" w:type="dxa"/>
            <w:tcBorders>
              <w:bottom w:val="single" w:sz="4" w:space="0" w:color="auto"/>
            </w:tcBorders>
            <w:shd w:val="clear" w:color="auto" w:fill="auto"/>
          </w:tcPr>
          <w:p>
            <w:pPr>
              <w:pStyle w:val="nTable"/>
              <w:spacing w:after="40"/>
              <w:ind w:right="113"/>
              <w:rPr>
                <w:iCs/>
              </w:rPr>
            </w:pPr>
            <w:r>
              <w:rPr>
                <w:i/>
              </w:rPr>
              <w:t>Information Commissioner Act 2024</w:t>
            </w:r>
            <w:r>
              <w:rPr>
                <w:iCs/>
              </w:rPr>
              <w:t xml:space="preserve"> Pt. 7 Div. 5</w:t>
            </w:r>
          </w:p>
        </w:tc>
        <w:tc>
          <w:tcPr>
            <w:tcW w:w="1134" w:type="dxa"/>
            <w:tcBorders>
              <w:bottom w:val="single" w:sz="4" w:space="0" w:color="auto"/>
            </w:tcBorders>
            <w:shd w:val="clear" w:color="auto" w:fill="auto"/>
          </w:tcPr>
          <w:p>
            <w:pPr>
              <w:pStyle w:val="nTable"/>
              <w:spacing w:after="40"/>
            </w:pPr>
            <w:r>
              <w:t>52 of 2024</w:t>
            </w:r>
          </w:p>
        </w:tc>
        <w:tc>
          <w:tcPr>
            <w:tcW w:w="1134" w:type="dxa"/>
            <w:tcBorders>
              <w:bottom w:val="single" w:sz="4" w:space="0" w:color="auto"/>
            </w:tcBorders>
            <w:shd w:val="clear" w:color="auto" w:fill="auto"/>
          </w:tcPr>
          <w:p>
            <w:pPr>
              <w:pStyle w:val="nTable"/>
              <w:spacing w:after="40"/>
            </w:pPr>
            <w:r>
              <w:t>6 Dec 2024</w:t>
            </w:r>
          </w:p>
        </w:tc>
        <w:tc>
          <w:tcPr>
            <w:tcW w:w="2552" w:type="dxa"/>
            <w:tcBorders>
              <w:bottom w:val="single" w:sz="4" w:space="0" w:color="auto"/>
            </w:tcBorders>
            <w:shd w:val="clear" w:color="auto" w:fill="auto"/>
          </w:tcPr>
          <w:p>
            <w:pPr>
              <w:pStyle w:val="nTable"/>
              <w:spacing w:after="40"/>
            </w:pPr>
            <w:r>
              <w:t xml:space="preserve">Operative on commencement of the </w:t>
            </w:r>
            <w:r>
              <w:rPr>
                <w:i/>
                <w:iCs/>
              </w:rPr>
              <w:t>Privacy and Responsible Information Sharing Act 2024</w:t>
            </w:r>
            <w:r>
              <w:t xml:space="preserve"> Pt. 2 Div. 12 (see s. 2(1)(d))</w:t>
            </w:r>
          </w:p>
        </w:tc>
      </w:tr>
    </w:tbl>
    <w:p>
      <w:pPr>
        <w:pStyle w:val="nHeading3"/>
      </w:pPr>
      <w:bookmarkStart w:id="147" w:name="_Toc184127940"/>
      <w:r>
        <w:t>Other notes</w:t>
      </w:r>
      <w:bookmarkEnd w:id="147"/>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lastRenderedPageBreak/>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sectPr>
          <w:headerReference w:type="even" r:id="rId28"/>
          <w:headerReference w:type="default" r:id="rId29"/>
          <w:pgSz w:w="11907" w:h="16840" w:code="9"/>
          <w:pgMar w:top="2376" w:right="2405" w:bottom="3542" w:left="2405" w:header="706" w:footer="3544" w:gutter="0"/>
          <w:cols w:space="720"/>
          <w:noEndnote/>
          <w:docGrid w:linePitch="326"/>
        </w:sectPr>
      </w:pPr>
    </w:p>
    <w:p>
      <w:pPr>
        <w:pStyle w:val="nHeading2"/>
        <w:rPr>
          <w:sz w:val="28"/>
        </w:rPr>
      </w:pPr>
      <w:bookmarkStart w:id="149" w:name="_Toc184122255"/>
      <w:bookmarkStart w:id="150" w:name="_Toc184122651"/>
      <w:bookmarkStart w:id="151" w:name="_Toc184127941"/>
      <w:r>
        <w:rPr>
          <w:sz w:val="28"/>
        </w:rPr>
        <w:lastRenderedPageBreak/>
        <w:t>Defined terms</w:t>
      </w:r>
      <w:bookmarkEnd w:id="149"/>
      <w:bookmarkEnd w:id="150"/>
      <w:bookmarkEnd w:id="15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4</w:t>
      </w:r>
    </w:p>
    <w:p>
      <w:pPr>
        <w:pStyle w:val="DefinedTerms"/>
      </w:pPr>
      <w:r>
        <w:t>child</w:t>
      </w:r>
      <w:r>
        <w:tab/>
        <w:t>19C</w:t>
      </w:r>
    </w:p>
    <w:p>
      <w:pPr>
        <w:pStyle w:val="DefinedTerms"/>
      </w:pPr>
      <w:r>
        <w:t>commencement day</w:t>
      </w:r>
      <w:r>
        <w:tab/>
        <w:t>19C</w:t>
      </w:r>
    </w:p>
    <w:p>
      <w:pPr>
        <w:pStyle w:val="DefinedTerms"/>
      </w:pPr>
      <w:r>
        <w:t>Commissioner</w:t>
      </w:r>
      <w:r>
        <w:tab/>
        <w:t>4</w:t>
      </w:r>
    </w:p>
    <w:p>
      <w:pPr>
        <w:pStyle w:val="DefinedTerms"/>
      </w:pPr>
      <w:r>
        <w:t>Commissioner of Police</w:t>
      </w:r>
      <w:r>
        <w:tab/>
        <w:t>4</w:t>
      </w:r>
    </w:p>
    <w:p>
      <w:pPr>
        <w:pStyle w:val="DefinedTerms"/>
      </w:pPr>
      <w:r>
        <w:t>conduct</w:t>
      </w:r>
      <w:r>
        <w:tab/>
        <w:t>19G(3)</w:t>
      </w:r>
    </w:p>
    <w:p>
      <w:pPr>
        <w:pStyle w:val="DefinedTerms"/>
      </w:pPr>
      <w:r>
        <w:t>contractor</w:t>
      </w:r>
      <w:r>
        <w:tab/>
        <w:t>4</w:t>
      </w:r>
    </w:p>
    <w:p>
      <w:pPr>
        <w:pStyle w:val="DefinedTerms"/>
      </w:pPr>
      <w:r>
        <w:t>conviction</w:t>
      </w:r>
      <w:r>
        <w:tab/>
        <w:t>19H(2), (3) and (5)</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employee</w:t>
      </w:r>
      <w:r>
        <w:tab/>
        <w:t>19C, 19D(1)</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head</w:t>
      </w:r>
      <w:r>
        <w:tab/>
        <w:t>4, 19E(1), (2) and (3)</w:t>
      </w:r>
    </w:p>
    <w:p>
      <w:pPr>
        <w:pStyle w:val="DefinedTerms"/>
      </w:pPr>
      <w:r>
        <w:t>Inspector of Custodial Services</w:t>
      </w:r>
      <w:r>
        <w:tab/>
        <w:t>4</w:t>
      </w:r>
    </w:p>
    <w:p>
      <w:pPr>
        <w:pStyle w:val="DefinedTerms"/>
      </w:pPr>
      <w:r>
        <w:t>investigable death</w:t>
      </w:r>
      <w:r>
        <w:tab/>
        <w:t>19A(1)</w:t>
      </w:r>
    </w:p>
    <w:p>
      <w:pPr>
        <w:pStyle w:val="DefinedTerms"/>
      </w:pPr>
      <w:r>
        <w:t>investigation</w:t>
      </w:r>
      <w:r>
        <w:tab/>
        <w:t>19C</w:t>
      </w:r>
    </w:p>
    <w:p>
      <w:pPr>
        <w:pStyle w:val="DefinedTerms"/>
      </w:pPr>
      <w:r>
        <w:t>investigation information</w:t>
      </w:r>
      <w:r>
        <w:tab/>
        <w:t>19B(5), 19C</w:t>
      </w:r>
    </w:p>
    <w:p>
      <w:pPr>
        <w:pStyle w:val="DefinedTerms"/>
      </w:pPr>
      <w:r>
        <w:t>investigator</w:t>
      </w:r>
      <w:r>
        <w:tab/>
        <w:t>4</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physical assault</w:t>
      </w:r>
      <w:r>
        <w:tab/>
        <w:t>19C</w:t>
      </w:r>
    </w:p>
    <w:p>
      <w:pPr>
        <w:pStyle w:val="DefinedTerms"/>
      </w:pPr>
      <w:r>
        <w:t>principal officer</w:t>
      </w:r>
      <w:r>
        <w:tab/>
        <w:t>4</w:t>
      </w:r>
    </w:p>
    <w:p>
      <w:pPr>
        <w:pStyle w:val="DefinedTerms"/>
      </w:pPr>
      <w:r>
        <w:t>public service officer</w:t>
      </w:r>
      <w:r>
        <w:tab/>
        <w:t>4</w:t>
      </w:r>
    </w:p>
    <w:p>
      <w:pPr>
        <w:pStyle w:val="DefinedTerms"/>
      </w:pPr>
      <w:r>
        <w:t>publish</w:t>
      </w:r>
      <w:r>
        <w:tab/>
        <w:t>19ZJ(1)</w:t>
      </w:r>
    </w:p>
    <w:p>
      <w:pPr>
        <w:pStyle w:val="DefinedTerms"/>
      </w:pPr>
      <w:r>
        <w:t>Registrar</w:t>
      </w:r>
      <w:r>
        <w:tab/>
        <w:t>19ZI(1)</w:t>
      </w:r>
    </w:p>
    <w:p>
      <w:pPr>
        <w:pStyle w:val="DefinedTerms"/>
      </w:pPr>
      <w:r>
        <w:t>relevant authorities</w:t>
      </w:r>
      <w:r>
        <w:tab/>
        <w:t>17A(4)</w:t>
      </w:r>
    </w:p>
    <w:p>
      <w:pPr>
        <w:pStyle w:val="DefinedTerms"/>
      </w:pPr>
      <w:r>
        <w:lastRenderedPageBreak/>
        <w:t>relevant court</w:t>
      </w:r>
      <w:r>
        <w:tab/>
        <w:t>19ZI(1)</w:t>
      </w:r>
    </w:p>
    <w:p>
      <w:pPr>
        <w:pStyle w:val="DefinedTerms"/>
      </w:pPr>
      <w:r>
        <w:t>relevant employee</w:t>
      </w:r>
      <w:r>
        <w:tab/>
        <w:t>19T(4)</w:t>
      </w:r>
    </w:p>
    <w:p>
      <w:pPr>
        <w:pStyle w:val="DefinedTerms"/>
      </w:pPr>
      <w:r>
        <w:t>relevant entity</w:t>
      </w:r>
      <w:r>
        <w:tab/>
        <w:t>4</w:t>
      </w:r>
    </w:p>
    <w:p>
      <w:pPr>
        <w:pStyle w:val="DefinedTerms"/>
      </w:pPr>
      <w:r>
        <w:t>relevant investigation</w:t>
      </w:r>
      <w:r>
        <w:tab/>
        <w:t>19ZG(1)</w:t>
      </w:r>
    </w:p>
    <w:p>
      <w:pPr>
        <w:pStyle w:val="DefinedTerms"/>
      </w:pPr>
      <w:r>
        <w:t>religious body</w:t>
      </w:r>
      <w:r>
        <w:tab/>
        <w:t>4</w:t>
      </w:r>
    </w:p>
    <w:p>
      <w:pPr>
        <w:pStyle w:val="DefinedTerms"/>
      </w:pPr>
      <w:r>
        <w:t>reportable allegation</w:t>
      </w:r>
      <w:r>
        <w:tab/>
        <w:t>4, 19F(1) and (2)</w:t>
      </w:r>
    </w:p>
    <w:p>
      <w:pPr>
        <w:pStyle w:val="DefinedTerms"/>
      </w:pPr>
      <w:r>
        <w:t>reportable conduct</w:t>
      </w:r>
      <w:r>
        <w:tab/>
        <w:t>4, 19G(2)</w:t>
      </w:r>
    </w:p>
    <w:p>
      <w:pPr>
        <w:pStyle w:val="DefinedTerms"/>
      </w:pPr>
      <w:r>
        <w:t>Reportable conduct</w:t>
      </w:r>
      <w:r>
        <w:tab/>
        <w:t>19G(1)</w:t>
      </w:r>
    </w:p>
    <w:p>
      <w:pPr>
        <w:pStyle w:val="DefinedTerms"/>
      </w:pPr>
      <w:r>
        <w:t>reportable conduct information</w:t>
      </w:r>
      <w:r>
        <w:tab/>
        <w:t>22C(1)</w:t>
      </w:r>
    </w:p>
    <w:p>
      <w:pPr>
        <w:pStyle w:val="DefinedTerms"/>
      </w:pPr>
      <w:r>
        <w:t>reportable conduct scheme</w:t>
      </w:r>
      <w:r>
        <w:tab/>
        <w:t>4</w:t>
      </w:r>
    </w:p>
    <w:p>
      <w:pPr>
        <w:pStyle w:val="DefinedTerms"/>
      </w:pPr>
      <w:r>
        <w:t>reportable conviction</w:t>
      </w:r>
      <w:r>
        <w:tab/>
        <w:t>4, 19H(1)</w:t>
      </w:r>
    </w:p>
    <w:p>
      <w:pPr>
        <w:pStyle w:val="DefinedTerms"/>
      </w:pPr>
      <w:r>
        <w:t>responsible Minister</w:t>
      </w:r>
      <w:r>
        <w:tab/>
        <w:t>4</w:t>
      </w:r>
    </w:p>
    <w:p>
      <w:pPr>
        <w:pStyle w:val="DefinedTerms"/>
      </w:pPr>
      <w:r>
        <w:t>sexual misconduct</w:t>
      </w:r>
      <w:r>
        <w:tab/>
        <w:t>19C</w:t>
      </w:r>
    </w:p>
    <w:p>
      <w:pPr>
        <w:pStyle w:val="DefinedTerms"/>
      </w:pPr>
      <w:r>
        <w:t>sexual offence</w:t>
      </w:r>
      <w:r>
        <w:tab/>
        <w:t>19C</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6DD52B1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6C0737D3" w14:textId="37FD331D" w:rsidR="005A0874" w:rsidRDefault="00497931">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0C0519">
                        <w:rPr>
                          <w:sz w:val="16"/>
                        </w:rPr>
                        <w:t>2024</w:t>
                      </w:r>
                      <w:r>
                        <w:rPr>
                          <w:sz w:val="16"/>
                        </w:rPr>
                        <w:fldChar w:fldCharType="end"/>
                      </w:r>
                      <w:r>
                        <w:rPr>
                          <w:sz w:val="16"/>
                        </w:rPr>
                        <w:t>.</w:t>
                      </w:r>
                    </w:p>
                    <w:p w14:paraId="6BF58B64" w14:textId="77777777" w:rsidR="005A0874" w:rsidRDefault="00497931">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5F17157" w14:textId="6D7FBD76" w:rsidR="005A0874" w:rsidRDefault="00497931">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0C0519">
                        <w:rPr>
                          <w:sz w:val="16"/>
                        </w:rPr>
                        <w:t>2024</w:t>
                      </w:r>
                      <w:r>
                        <w:rPr>
                          <w:sz w:val="16"/>
                        </w:rPr>
                        <w:fldChar w:fldCharType="end"/>
                      </w:r>
                      <w:r>
                        <w:rPr>
                          <w:sz w:val="16"/>
                        </w:rPr>
                        <w:t>.</w:t>
                      </w:r>
                    </w:p>
                    <w:p w14:paraId="5A95F3BD" w14:textId="77777777" w:rsidR="005A0874" w:rsidRDefault="00497931">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Dec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10-j0-00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Dec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10-j0-00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Dec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10-j0-00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06 Dec 2024</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10-j0-00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Dec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10-j0-00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06 Dec 2024</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10-j0-00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41" w:name="Schedule"/>
    <w:bookmarkEnd w:id="14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48" w:name="Compilation"/>
    <w:bookmarkEnd w:id="148"/>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52" w:name="DefinedTerms"/>
    <w:bookmarkEnd w:id="152"/>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53" w:name="Coversheet"/>
    <w:bookmarkEnd w:id="15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1203123826"/>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 w:name="WAFER_202412031238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UpdateStyles.ProcessFixes,RemoveIncorrectStyles.ProcessStyles,RemoveIncorrectStyles.ProcessStyles"/>
    <w:docVar w:name="WAFER_20241203123826_GUID" w:val="b877d393-60eb-4507-ae7d-e7a29a5c1e2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27361</Words>
  <Characters>132705</Characters>
  <Application>Microsoft Office Word</Application>
  <DocSecurity>0</DocSecurity>
  <Lines>4021</Lines>
  <Paragraphs>2192</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157874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1971 - 10-j0-00</dc:title>
  <dc:subject/>
  <dc:creator/>
  <cp:keywords/>
  <dc:description/>
  <cp:lastModifiedBy>Master Repository Process</cp:lastModifiedBy>
  <cp:revision>4</cp:revision>
  <cp:lastPrinted>2016-03-16T01:33:00Z</cp:lastPrinted>
  <dcterms:created xsi:type="dcterms:W3CDTF">2025-06-26T02:40:00Z</dcterms:created>
  <dcterms:modified xsi:type="dcterms:W3CDTF">2025-06-26T02:40:00Z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AsAtDate">
    <vt:lpwstr>06 Dec 2024</vt:lpwstr>
  </property>
  <property fmtid="{D5CDD505-2E9C-101B-9397-08002B2CF9AE}" pid="8" name="Suffix">
    <vt:lpwstr>10-j0-00</vt:lpwstr>
  </property>
  <property fmtid="{D5CDD505-2E9C-101B-9397-08002B2CF9AE}" pid="9" name="Official">
    <vt:lpwstr/>
  </property>
  <property fmtid="{D5CDD505-2E9C-101B-9397-08002B2CF9AE}" pid="10" name="CommencementDate">
    <vt:lpwstr>20241206</vt:lpwstr>
  </property>
  <property fmtid="{D5CDD505-2E9C-101B-9397-08002B2CF9AE}" pid="11" name="CommencementAsAt">
    <vt:filetime>2024-12-05T16:00:00Z</vt:filetime>
  </property>
  <property fmtid="{D5CDD505-2E9C-101B-9397-08002B2CF9AE}" pid="12" name="CommencementYear">
    <vt:lpwstr>2024</vt:lpwstr>
  </property>
</Properties>
</file>