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_Toc184393520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_Toc184393521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_Toc184393522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_Toc184393523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_Toc184393524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_Toc184393525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_Toc184393526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_Toc184393527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_Toc184393528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_Toc184393529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_Toc184393530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_Toc184393531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_Toc184393532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_Toc184393534 \h </w:instrText>
      </w:r>
      <w:r>
        <w:fldChar w:fldCharType="separate"/>
      </w:r>
      <w:r>
        <w:t>23</w:t>
      </w:r>
      <w:r>
        <w:fldChar w:fldCharType="end"/>
      </w:r>
    </w:p>
    <w:p>
      <w:pPr>
        <w:pStyle w:val="TOC8"/>
        <w:rPr>
          <w:rFonts w:asciiTheme="minorHAnsi" w:eastAsiaTheme="minorEastAsia" w:hAnsiTheme="minorHAnsi" w:cstheme="minorBidi"/>
          <w:szCs w:val="22"/>
        </w:rPr>
      </w:pPr>
      <w:r>
        <w:t>247.</w:t>
      </w:r>
      <w:r>
        <w:tab/>
        <w:t>Section 4 amended</w:t>
      </w:r>
      <w:r>
        <w:tab/>
      </w:r>
      <w:r>
        <w:fldChar w:fldCharType="begin"/>
      </w:r>
      <w:r>
        <w:instrText xml:space="preserve"> PAGEREF _Toc184393535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_Toc184393537 \h </w:instrText>
      </w:r>
      <w:r>
        <w:fldChar w:fldCharType="separate"/>
      </w:r>
      <w:r>
        <w:t>24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_Toc184393538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4390277"/>
      <w:bookmarkStart w:id="4" w:name="_Toc184390609"/>
      <w:bookmarkStart w:id="5" w:name="_Toc184390941"/>
      <w:bookmarkStart w:id="6" w:name="_Toc184392715"/>
      <w:bookmarkStart w:id="7" w:name="_Toc184393086"/>
      <w:bookmarkStart w:id="8" w:name="_Toc184393519"/>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84393520"/>
      <w:r>
        <w:rPr>
          <w:rStyle w:val="CharSectno"/>
        </w:rPr>
        <w:t>1</w:t>
      </w:r>
      <w:r>
        <w:t>.</w:t>
      </w:r>
      <w:r>
        <w:tab/>
        <w:t>Short title</w:t>
      </w:r>
      <w:bookmarkEnd w:id="9"/>
    </w:p>
    <w:p>
      <w:pPr>
        <w:pStyle w:val="Subsection"/>
      </w:pPr>
      <w:r>
        <w:tab/>
      </w:r>
      <w:r>
        <w:tab/>
        <w:t>This is the</w:t>
      </w:r>
      <w:r>
        <w:rPr>
          <w:i/>
        </w:rPr>
        <w:t xml:space="preserve"> Privacy and Responsible Information Sharing Act 2024</w:t>
      </w:r>
      <w:r>
        <w:t>.</w:t>
      </w:r>
    </w:p>
    <w:p>
      <w:pPr>
        <w:pStyle w:val="Heading5"/>
      </w:pPr>
      <w:bookmarkStart w:id="10" w:name="_Toc184393521"/>
      <w:r>
        <w:rPr>
          <w:rStyle w:val="CharSectno"/>
        </w:rPr>
        <w:t>2</w:t>
      </w:r>
      <w:r>
        <w:t>.</w:t>
      </w:r>
      <w:r>
        <w:tab/>
        <w:t>Commencement</w:t>
      </w:r>
      <w:bookmarkEnd w:id="1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1" w:name="_Toc184393522"/>
      <w:r>
        <w:rPr>
          <w:rStyle w:val="CharSectno"/>
        </w:rPr>
        <w:t>3</w:t>
      </w:r>
      <w:r>
        <w:t>.</w:t>
      </w:r>
      <w:r>
        <w:tab/>
        <w:t>Objects</w:t>
      </w:r>
      <w:bookmarkEnd w:id="11"/>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2" w:name="_Toc184393523"/>
      <w:r>
        <w:rPr>
          <w:rStyle w:val="CharSectno"/>
        </w:rPr>
        <w:t>4</w:t>
      </w:r>
      <w:r>
        <w:t>.</w:t>
      </w:r>
      <w:r>
        <w:tab/>
        <w:t>Terms used</w:t>
      </w:r>
      <w:bookmarkEnd w:id="12"/>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3" w:name="_Toc184393524"/>
      <w:r>
        <w:rPr>
          <w:rStyle w:val="CharSectno"/>
        </w:rPr>
        <w:t>5</w:t>
      </w:r>
      <w:r>
        <w:t>.</w:t>
      </w:r>
      <w:r>
        <w:tab/>
        <w:t>References to information privacy principles</w:t>
      </w:r>
      <w:bookmarkEnd w:id="13"/>
    </w:p>
    <w:p>
      <w:pPr>
        <w:pStyle w:val="Subsection"/>
      </w:pPr>
      <w:r>
        <w:tab/>
      </w:r>
      <w:r>
        <w:tab/>
        <w:t>A reference in this Act to an IPP followed by a designation is a reference to the provision with that designation in Schedule 1.</w:t>
      </w:r>
    </w:p>
    <w:p>
      <w:pPr>
        <w:pStyle w:val="Heading5"/>
      </w:pPr>
      <w:bookmarkStart w:id="14" w:name="_Toc184393525"/>
      <w:r>
        <w:rPr>
          <w:rStyle w:val="CharSectno"/>
        </w:rPr>
        <w:t>6</w:t>
      </w:r>
      <w:r>
        <w:t>.</w:t>
      </w:r>
      <w:r>
        <w:tab/>
        <w:t>Public entities</w:t>
      </w:r>
      <w:bookmarkEnd w:id="14"/>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15" w:name="_Toc184393526"/>
      <w:r>
        <w:rPr>
          <w:rStyle w:val="CharSectno"/>
        </w:rPr>
        <w:t>7</w:t>
      </w:r>
      <w:r>
        <w:t>.</w:t>
      </w:r>
      <w:r>
        <w:tab/>
        <w:t>Judicial bodies</w:t>
      </w:r>
      <w:bookmarkEnd w:id="15"/>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16" w:name="_Toc184393527"/>
      <w:r>
        <w:rPr>
          <w:rStyle w:val="CharSectno"/>
        </w:rPr>
        <w:t>8</w:t>
      </w:r>
      <w:r>
        <w:t>.</w:t>
      </w:r>
      <w:r>
        <w:tab/>
        <w:t>State services contracts and contracted service providers</w:t>
      </w:r>
      <w:bookmarkEnd w:id="16"/>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17" w:name="_Toc184393528"/>
      <w:r>
        <w:rPr>
          <w:rStyle w:val="CharSectno"/>
        </w:rPr>
        <w:t>9</w:t>
      </w:r>
      <w:r>
        <w:t>.</w:t>
      </w:r>
      <w:r>
        <w:tab/>
        <w:t>Principal officers</w:t>
      </w:r>
      <w:bookmarkEnd w:id="17"/>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18" w:name="_Toc184393529"/>
      <w:r>
        <w:rPr>
          <w:rStyle w:val="CharSectno"/>
        </w:rPr>
        <w:t>10</w:t>
      </w:r>
      <w:r>
        <w:t>.</w:t>
      </w:r>
      <w:r>
        <w:tab/>
        <w:t>Disclosure by public entities and other IPP entities</w:t>
      </w:r>
      <w:bookmarkEnd w:id="18"/>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19" w:name="_Toc184393530"/>
      <w:r>
        <w:rPr>
          <w:rStyle w:val="CharSectno"/>
        </w:rPr>
        <w:t>11</w:t>
      </w:r>
      <w:r>
        <w:t>.</w:t>
      </w:r>
      <w:r>
        <w:tab/>
        <w:t>De</w:t>
      </w:r>
      <w:r>
        <w:noBreakHyphen/>
        <w:t>identification and re</w:t>
      </w:r>
      <w:r>
        <w:noBreakHyphen/>
        <w:t>identification of information</w:t>
      </w:r>
      <w:bookmarkEnd w:id="19"/>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20" w:name="_Toc184393531"/>
      <w:r>
        <w:rPr>
          <w:rStyle w:val="CharSectno"/>
        </w:rPr>
        <w:t>12</w:t>
      </w:r>
      <w:r>
        <w:t>.</w:t>
      </w:r>
      <w:r>
        <w:tab/>
        <w:t>Data sets, data analytics work, data linkage and data integration</w:t>
      </w:r>
      <w:bookmarkEnd w:id="20"/>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21" w:name="_Toc184393532"/>
      <w:r>
        <w:rPr>
          <w:rStyle w:val="CharSectno"/>
        </w:rPr>
        <w:t>13</w:t>
      </w:r>
      <w:r>
        <w:t>.</w:t>
      </w:r>
      <w:r>
        <w:tab/>
        <w:t>Act binds Crown</w:t>
      </w:r>
      <w:bookmarkEnd w:id="21"/>
    </w:p>
    <w:p>
      <w:pPr>
        <w:pStyle w:val="Subsection"/>
      </w:pPr>
      <w:r>
        <w:tab/>
      </w:r>
      <w:r>
        <w:tab/>
        <w:t>This Act binds the Crown in right of Western Australia and, so far as the legislative power of the Parliament permits, the Crown in all its other capacities.</w:t>
      </w:r>
    </w:p>
    <w:p>
      <w:pPr>
        <w:pStyle w:val="Ednotepart"/>
      </w:pPr>
      <w:r>
        <w:t>[Parts 2-6 have not come into operation.]</w:t>
      </w:r>
    </w:p>
    <w:p>
      <w:pPr>
        <w:pStyle w:val="Heading2"/>
      </w:pPr>
      <w:bookmarkStart w:id="22" w:name="_Toc184390587"/>
      <w:bookmarkStart w:id="23" w:name="_Toc184390919"/>
      <w:bookmarkStart w:id="24" w:name="_Toc184391251"/>
      <w:bookmarkStart w:id="25" w:name="_Toc184392729"/>
      <w:bookmarkStart w:id="26" w:name="_Toc184393100"/>
      <w:bookmarkStart w:id="27" w:name="_Toc184393533"/>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22"/>
      <w:bookmarkEnd w:id="23"/>
      <w:bookmarkEnd w:id="24"/>
      <w:bookmarkEnd w:id="25"/>
      <w:bookmarkEnd w:id="26"/>
      <w:bookmarkEnd w:id="27"/>
    </w:p>
    <w:p>
      <w:pPr>
        <w:pStyle w:val="Heading5"/>
      </w:pPr>
      <w:bookmarkStart w:id="28" w:name="_Toc184393534"/>
      <w:r>
        <w:rPr>
          <w:rStyle w:val="CharSectno"/>
        </w:rPr>
        <w:t>246</w:t>
      </w:r>
      <w:r>
        <w:t>.</w:t>
      </w:r>
      <w:r>
        <w:tab/>
        <w:t>Act amended</w:t>
      </w:r>
      <w:bookmarkEnd w:id="28"/>
    </w:p>
    <w:p>
      <w:pPr>
        <w:pStyle w:val="Subsection"/>
      </w:pPr>
      <w:r>
        <w:tab/>
      </w:r>
      <w:r>
        <w:tab/>
        <w:t>This Part amends this Act.</w:t>
      </w:r>
    </w:p>
    <w:p>
      <w:pPr>
        <w:pStyle w:val="Heading5"/>
      </w:pPr>
      <w:bookmarkStart w:id="29" w:name="_Toc184393535"/>
      <w:r>
        <w:rPr>
          <w:rStyle w:val="CharSectno"/>
        </w:rPr>
        <w:t>247</w:t>
      </w:r>
      <w:r>
        <w:t>.</w:t>
      </w:r>
      <w:r>
        <w:tab/>
        <w:t>Section 4 amended</w:t>
      </w:r>
      <w:bookmarkEnd w:id="29"/>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ection"/>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pPr>
        <w:pStyle w:val="nHeading2"/>
      </w:pPr>
      <w:bookmarkStart w:id="30" w:name="_Toc184392732"/>
      <w:bookmarkStart w:id="31" w:name="_Toc184393103"/>
      <w:bookmarkStart w:id="32" w:name="_Toc184393536"/>
      <w:bookmarkStart w:id="33" w:name="_Toc184390608"/>
      <w:bookmarkStart w:id="34" w:name="_Toc184390940"/>
      <w:bookmarkStart w:id="35" w:name="_Toc184391272"/>
      <w:r>
        <w:lastRenderedPageBreak/>
        <w:t>Notes</w:t>
      </w:r>
      <w:bookmarkEnd w:id="30"/>
      <w:bookmarkEnd w:id="31"/>
      <w:bookmarkEnd w:id="32"/>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36" w:name="_Toc184393537"/>
      <w:r>
        <w:t>Compilation table</w:t>
      </w:r>
      <w:bookmarkEnd w:id="3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Privacy and Responsible Information Sharing Act 2024 </w:t>
            </w:r>
            <w:r>
              <w:rPr>
                <w:iCs/>
                <w:noProof/>
              </w:rPr>
              <w:t>Pt. 1 and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p>
        </w:tc>
      </w:tr>
    </w:tbl>
    <w:p>
      <w:pPr>
        <w:pStyle w:val="nHeading3"/>
      </w:pPr>
      <w:bookmarkStart w:id="37" w:name="_Toc184393538"/>
      <w:r>
        <w:t>Uncommenced provisions table</w:t>
      </w:r>
      <w:bookmarkEnd w:id="3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Privacy and Responsible Information Sharing Act 2024 </w:t>
            </w:r>
            <w:r>
              <w:rPr>
                <w:iCs/>
                <w:noProof/>
              </w:rPr>
              <w:t>(other than Pt. 1 and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To be proclaimed (see s. 2(c))</w:t>
            </w:r>
          </w:p>
        </w:tc>
      </w:tr>
    </w:tbl>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39" w:name="_Toc184393539"/>
      <w:bookmarkEnd w:id="33"/>
      <w:bookmarkEnd w:id="34"/>
      <w:bookmarkEnd w:id="35"/>
      <w:r>
        <w:rPr>
          <w:sz w:val="28"/>
        </w:rPr>
        <w:lastRenderedPageBreak/>
        <w:t>Defined terms</w:t>
      </w:r>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w:t>
      </w:r>
    </w:p>
    <w:p>
      <w:pPr>
        <w:pStyle w:val="DefinedTerms"/>
      </w:pPr>
      <w:r>
        <w:t>Aboriginal information use plan</w:t>
      </w:r>
      <w:r>
        <w:tab/>
        <w:t>4</w:t>
      </w:r>
    </w:p>
    <w:p>
      <w:pPr>
        <w:pStyle w:val="DefinedTerms"/>
      </w:pPr>
      <w:r>
        <w:t>act</w:t>
      </w:r>
      <w:r>
        <w:tab/>
        <w:t>4</w:t>
      </w:r>
    </w:p>
    <w:p>
      <w:pPr>
        <w:pStyle w:val="DefinedTerms"/>
      </w:pPr>
      <w:r>
        <w:t>affected individual</w:t>
      </w:r>
      <w:r>
        <w:tab/>
        <w:t>4</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w:t>
      </w:r>
    </w:p>
    <w:p>
      <w:pPr>
        <w:pStyle w:val="DefinedTerms"/>
      </w:pPr>
      <w:r>
        <w:t>assessed shared information breach</w:t>
      </w:r>
      <w:r>
        <w:tab/>
        <w:t>4</w:t>
      </w:r>
    </w:p>
    <w:p>
      <w:pPr>
        <w:pStyle w:val="DefinedTerms"/>
      </w:pPr>
      <w:r>
        <w:t>Australian Information Commissioner</w:t>
      </w:r>
      <w:r>
        <w:tab/>
        <w:t>4</w:t>
      </w:r>
    </w:p>
    <w:p>
      <w:pPr>
        <w:pStyle w:val="DefinedTerms"/>
      </w:pPr>
      <w:r>
        <w:t>authorised officer</w:t>
      </w:r>
      <w:r>
        <w:tab/>
        <w:t>4</w:t>
      </w:r>
    </w:p>
    <w:p>
      <w:pPr>
        <w:pStyle w:val="DefinedTerms"/>
      </w:pPr>
      <w:r>
        <w:t>automated decision-making process</w:t>
      </w:r>
      <w:r>
        <w:tab/>
        <w:t>4</w:t>
      </w:r>
    </w:p>
    <w:p>
      <w:pPr>
        <w:pStyle w:val="DefinedTerms"/>
      </w:pPr>
      <w:r>
        <w:t>automated system</w:t>
      </w:r>
      <w:r>
        <w:tab/>
        <w:t>4</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community policing functions</w:t>
      </w:r>
      <w:r>
        <w:tab/>
        <w:t>4</w:t>
      </w:r>
    </w:p>
    <w:p>
      <w:pPr>
        <w:pStyle w:val="DefinedTerms"/>
      </w:pPr>
      <w:r>
        <w:t>compliance notice</w:t>
      </w:r>
      <w:r>
        <w:tab/>
        <w:t>4</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w:t>
      </w:r>
    </w:p>
    <w:p>
      <w:pPr>
        <w:pStyle w:val="DefinedTerms"/>
      </w:pPr>
      <w:r>
        <w:t>disability</w:t>
      </w:r>
      <w:r>
        <w:tab/>
        <w:t>4</w:t>
      </w:r>
    </w:p>
    <w:p>
      <w:pPr>
        <w:pStyle w:val="DefinedTerms"/>
      </w:pPr>
      <w:r>
        <w:t>disclose</w:t>
      </w:r>
      <w:r>
        <w:tab/>
        <w:t>4</w:t>
      </w:r>
    </w:p>
    <w:p>
      <w:pPr>
        <w:pStyle w:val="DefinedTerms"/>
      </w:pPr>
      <w:r>
        <w:t>disclosing</w:t>
      </w:r>
      <w:r>
        <w:tab/>
        <w:t>10</w:t>
      </w:r>
    </w:p>
    <w:p>
      <w:pPr>
        <w:pStyle w:val="DefinedTerms"/>
      </w:pPr>
      <w:r>
        <w:lastRenderedPageBreak/>
        <w:t>electronic means</w:t>
      </w:r>
      <w:r>
        <w:tab/>
        <w:t>4</w:t>
      </w:r>
    </w:p>
    <w:p>
      <w:pPr>
        <w:pStyle w:val="DefinedTerms"/>
      </w:pPr>
      <w:r>
        <w:t>emergency response functions</w:t>
      </w:r>
      <w:r>
        <w:tab/>
        <w:t>4</w:t>
      </w:r>
    </w:p>
    <w:p>
      <w:pPr>
        <w:pStyle w:val="DefinedTerms"/>
      </w:pPr>
      <w:r>
        <w:t>exempt information</w:t>
      </w:r>
      <w:r>
        <w:tab/>
        <w:t>4</w:t>
      </w:r>
    </w:p>
    <w:p>
      <w:pPr>
        <w:pStyle w:val="DefinedTerms"/>
      </w:pPr>
      <w:r>
        <w:t>external entity</w:t>
      </w:r>
      <w:r>
        <w:tab/>
        <w:t>4</w:t>
      </w:r>
    </w:p>
    <w:p>
      <w:pPr>
        <w:pStyle w:val="DefinedTerms"/>
      </w:pPr>
      <w:r>
        <w:t>family violence</w:t>
      </w:r>
      <w:r>
        <w:tab/>
        <w:t>4</w:t>
      </w:r>
    </w:p>
    <w:p>
      <w:pPr>
        <w:pStyle w:val="DefinedTerms"/>
      </w:pPr>
      <w:r>
        <w:t>government information</w:t>
      </w:r>
      <w:r>
        <w:tab/>
        <w:t>4</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w:t>
      </w:r>
    </w:p>
    <w:p>
      <w:pPr>
        <w:pStyle w:val="DefinedTerms"/>
      </w:pPr>
      <w:r>
        <w:t>hold</w:t>
      </w:r>
      <w:r>
        <w:tab/>
        <w:t>4</w:t>
      </w:r>
    </w:p>
    <w:p>
      <w:pPr>
        <w:pStyle w:val="DefinedTerms"/>
      </w:pPr>
      <w:r>
        <w:t>holding entity</w:t>
      </w:r>
      <w:r>
        <w:tab/>
        <w:t>4</w:t>
      </w:r>
    </w:p>
    <w:p>
      <w:pPr>
        <w:pStyle w:val="DefinedTerms"/>
      </w:pPr>
      <w:r>
        <w:t>information breach</w:t>
      </w:r>
      <w:r>
        <w:tab/>
        <w:t>4</w:t>
      </w:r>
    </w:p>
    <w:p>
      <w:pPr>
        <w:pStyle w:val="DefinedTerms"/>
      </w:pPr>
      <w:r>
        <w:t>Information Commissioner</w:t>
      </w:r>
      <w:r>
        <w:tab/>
        <w:t>4</w:t>
      </w:r>
    </w:p>
    <w:p>
      <w:pPr>
        <w:pStyle w:val="DefinedTerms"/>
      </w:pPr>
      <w:r>
        <w:t>information holdings request</w:t>
      </w:r>
      <w:r>
        <w:tab/>
        <w:t>4</w:t>
      </w:r>
    </w:p>
    <w:p>
      <w:pPr>
        <w:pStyle w:val="DefinedTerms"/>
      </w:pPr>
      <w:r>
        <w:t>information privacy principle</w:t>
      </w:r>
      <w:r>
        <w:tab/>
        <w:t>4</w:t>
      </w:r>
    </w:p>
    <w:p>
      <w:pPr>
        <w:pStyle w:val="DefinedTerms"/>
      </w:pPr>
      <w:r>
        <w:t>information sharing agreement</w:t>
      </w:r>
      <w:r>
        <w:tab/>
        <w:t>4</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w:t>
      </w:r>
    </w:p>
    <w:p>
      <w:pPr>
        <w:pStyle w:val="DefinedTerms"/>
      </w:pPr>
      <w:r>
        <w:t>Information Sharing Minister</w:t>
      </w:r>
      <w:r>
        <w:tab/>
        <w:t>4</w:t>
      </w:r>
    </w:p>
    <w:p>
      <w:pPr>
        <w:pStyle w:val="DefinedTerms"/>
      </w:pPr>
      <w:r>
        <w:t>information sharing request</w:t>
      </w:r>
      <w:r>
        <w:tab/>
        <w:t>4</w:t>
      </w:r>
    </w:p>
    <w:p>
      <w:pPr>
        <w:pStyle w:val="DefinedTerms"/>
      </w:pPr>
      <w:r>
        <w:t>interference with the privacy</w:t>
      </w:r>
      <w:r>
        <w:tab/>
        <w:t>4</w:t>
      </w:r>
    </w:p>
    <w:p>
      <w:pPr>
        <w:pStyle w:val="DefinedTerms"/>
      </w:pPr>
      <w:r>
        <w:t>IPP</w:t>
      </w:r>
      <w:r>
        <w:tab/>
        <w:t>4</w:t>
      </w:r>
    </w:p>
    <w:p>
      <w:pPr>
        <w:pStyle w:val="DefinedTerms"/>
      </w:pPr>
      <w:r>
        <w:t>IPP entity</w:t>
      </w:r>
      <w:r>
        <w:tab/>
        <w:t>4</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t>materially assisted</w:t>
      </w:r>
      <w:r>
        <w:tab/>
        <w:t>4</w:t>
      </w:r>
    </w:p>
    <w:p>
      <w:pPr>
        <w:pStyle w:val="DefinedTerms"/>
      </w:pPr>
      <w:r>
        <w:t>member of Commissioner staff</w:t>
      </w:r>
      <w:r>
        <w:tab/>
        <w:t>4</w:t>
      </w:r>
    </w:p>
    <w:p>
      <w:pPr>
        <w:pStyle w:val="DefinedTerms"/>
      </w:pPr>
      <w:r>
        <w:t>notice to produce or attend</w:t>
      </w:r>
      <w:r>
        <w:tab/>
        <w:t>4</w:t>
      </w:r>
    </w:p>
    <w:p>
      <w:pPr>
        <w:pStyle w:val="DefinedTerms"/>
      </w:pPr>
      <w:r>
        <w:t>notifiable information breach</w:t>
      </w:r>
      <w:r>
        <w:tab/>
        <w:t>4</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w:t>
      </w:r>
    </w:p>
    <w:p>
      <w:pPr>
        <w:pStyle w:val="DefinedTerms"/>
      </w:pPr>
      <w:r>
        <w:t>personal information</w:t>
      </w:r>
      <w:r>
        <w:tab/>
        <w:t>4</w:t>
      </w:r>
    </w:p>
    <w:p>
      <w:pPr>
        <w:pStyle w:val="DefinedTerms"/>
      </w:pPr>
      <w:r>
        <w:t>Police Force of Western Australia</w:t>
      </w:r>
      <w:r>
        <w:tab/>
        <w:t>4</w:t>
      </w:r>
    </w:p>
    <w:p>
      <w:pPr>
        <w:pStyle w:val="DefinedTerms"/>
      </w:pPr>
      <w:r>
        <w:t>principal officer</w:t>
      </w:r>
      <w:r>
        <w:tab/>
        <w:t>4, 9(1), (2) and (3)</w:t>
      </w:r>
    </w:p>
    <w:p>
      <w:pPr>
        <w:pStyle w:val="DefinedTerms"/>
      </w:pPr>
      <w:r>
        <w:t>privacy code of practice</w:t>
      </w:r>
      <w:r>
        <w:tab/>
        <w:t>4</w:t>
      </w:r>
    </w:p>
    <w:p>
      <w:pPr>
        <w:pStyle w:val="DefinedTerms"/>
      </w:pPr>
      <w:r>
        <w:t>privacy complaint</w:t>
      </w:r>
      <w:r>
        <w:tab/>
        <w:t>4</w:t>
      </w:r>
    </w:p>
    <w:p>
      <w:pPr>
        <w:pStyle w:val="DefinedTerms"/>
      </w:pPr>
      <w:r>
        <w:t>Privacy Deputy Commissioner</w:t>
      </w:r>
      <w:r>
        <w:tab/>
        <w:t>4</w:t>
      </w:r>
    </w:p>
    <w:p>
      <w:pPr>
        <w:pStyle w:val="DefinedTerms"/>
      </w:pPr>
      <w:r>
        <w:lastRenderedPageBreak/>
        <w:t>privacy functions</w:t>
      </w:r>
      <w:r>
        <w:tab/>
        <w:t>4</w:t>
      </w:r>
    </w:p>
    <w:p>
      <w:pPr>
        <w:pStyle w:val="DefinedTerms"/>
      </w:pPr>
      <w:r>
        <w:t>privacy guidelines</w:t>
      </w:r>
      <w:r>
        <w:tab/>
        <w:t>4</w:t>
      </w:r>
    </w:p>
    <w:p>
      <w:pPr>
        <w:pStyle w:val="DefinedTerms"/>
      </w:pPr>
      <w:r>
        <w:t>privacy impact assessment</w:t>
      </w:r>
      <w:r>
        <w:tab/>
        <w:t>4</w:t>
      </w:r>
    </w:p>
    <w:p>
      <w:pPr>
        <w:pStyle w:val="DefinedTerms"/>
      </w:pPr>
      <w:r>
        <w:t>Privacy Minister</w:t>
      </w:r>
      <w:r>
        <w:tab/>
        <w:t>4</w:t>
      </w:r>
    </w:p>
    <w:p>
      <w:pPr>
        <w:pStyle w:val="DefinedTerms"/>
      </w:pPr>
      <w:r>
        <w:t>proposed provider</w:t>
      </w:r>
      <w:r>
        <w:tab/>
        <w:t>4</w:t>
      </w:r>
    </w:p>
    <w:p>
      <w:pPr>
        <w:pStyle w:val="DefinedTerms"/>
      </w:pPr>
      <w:r>
        <w:t>proposed recipient</w:t>
      </w:r>
      <w:r>
        <w:tab/>
        <w:t>4</w:t>
      </w:r>
    </w:p>
    <w:p>
      <w:pPr>
        <w:pStyle w:val="DefinedTerms"/>
      </w:pPr>
      <w:r>
        <w:t>provider</w:t>
      </w:r>
      <w:r>
        <w:tab/>
        <w:t>4</w:t>
      </w:r>
    </w:p>
    <w:p>
      <w:pPr>
        <w:pStyle w:val="DefinedTerms"/>
      </w:pPr>
      <w:r>
        <w:t>public entity</w:t>
      </w:r>
      <w:r>
        <w:tab/>
        <w:t>4, 6(1), 6(2)</w:t>
      </w:r>
    </w:p>
    <w:p>
      <w:pPr>
        <w:pStyle w:val="DefinedTerms"/>
      </w:pPr>
      <w:r>
        <w:t>public interest determination</w:t>
      </w:r>
      <w:r>
        <w:tab/>
        <w:t>4</w:t>
      </w:r>
    </w:p>
    <w:p>
      <w:pPr>
        <w:pStyle w:val="DefinedTerms"/>
      </w:pPr>
      <w:r>
        <w:t>public register</w:t>
      </w:r>
      <w:r>
        <w:tab/>
        <w:t>4</w:t>
      </w:r>
    </w:p>
    <w:p>
      <w:pPr>
        <w:pStyle w:val="DefinedTerms"/>
      </w:pPr>
      <w:r>
        <w:t>recipient</w:t>
      </w:r>
      <w:r>
        <w:tab/>
        <w:t>4</w:t>
      </w:r>
    </w:p>
    <w:p>
      <w:pPr>
        <w:pStyle w:val="DefinedTerms"/>
      </w:pPr>
      <w:r>
        <w:t>re-identify</w:t>
      </w:r>
      <w:r>
        <w:tab/>
        <w:t>4, 11(3)</w:t>
      </w:r>
    </w:p>
    <w:p>
      <w:pPr>
        <w:pStyle w:val="DefinedTerms"/>
      </w:pPr>
      <w:r>
        <w:t>relevant activity</w:t>
      </w:r>
      <w:r>
        <w:tab/>
        <w:t>4</w:t>
      </w:r>
    </w:p>
    <w:p>
      <w:pPr>
        <w:pStyle w:val="DefinedTerms"/>
      </w:pPr>
      <w:r>
        <w:t>requesting entity</w:t>
      </w:r>
      <w:r>
        <w:tab/>
        <w:t>4</w:t>
      </w:r>
    </w:p>
    <w:p>
      <w:pPr>
        <w:pStyle w:val="DefinedTerms"/>
      </w:pPr>
      <w:r>
        <w:t>respondent</w:t>
      </w:r>
      <w:r>
        <w:tab/>
        <w:t>4</w:t>
      </w:r>
    </w:p>
    <w:p>
      <w:pPr>
        <w:pStyle w:val="DefinedTerms"/>
      </w:pPr>
      <w:r>
        <w:t>responsible Minister</w:t>
      </w:r>
      <w:r>
        <w:tab/>
        <w:t>4</w:t>
      </w:r>
    </w:p>
    <w:p>
      <w:pPr>
        <w:pStyle w:val="DefinedTerms"/>
      </w:pPr>
      <w:r>
        <w:t>responsible sharing principle</w:t>
      </w:r>
      <w:r>
        <w:tab/>
        <w:t>4</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w:t>
      </w:r>
    </w:p>
    <w:p>
      <w:pPr>
        <w:pStyle w:val="DefinedTerms"/>
      </w:pPr>
      <w:r>
        <w:t>shared information breach</w:t>
      </w:r>
      <w:r>
        <w:tab/>
        <w:t>4</w:t>
      </w:r>
    </w:p>
    <w:p>
      <w:pPr>
        <w:pStyle w:val="DefinedTerms"/>
      </w:pPr>
      <w:r>
        <w:t>significant decision</w:t>
      </w:r>
      <w:r>
        <w:tab/>
        <w:t>4</w:t>
      </w:r>
    </w:p>
    <w:p>
      <w:pPr>
        <w:pStyle w:val="DefinedTerms"/>
      </w:pPr>
      <w:r>
        <w:t>special information sharing entity</w:t>
      </w:r>
      <w:r>
        <w:tab/>
        <w:t>4</w:t>
      </w:r>
    </w:p>
    <w:p>
      <w:pPr>
        <w:pStyle w:val="DefinedTerms"/>
      </w:pPr>
      <w:r>
        <w:t>State services contract</w:t>
      </w:r>
      <w:r>
        <w:tab/>
        <w:t>4, 8(1)</w:t>
      </w:r>
    </w:p>
    <w:p>
      <w:pPr>
        <w:pStyle w:val="DefinedTerms"/>
      </w:pPr>
      <w:r>
        <w:t>temporary public interest determination</w:t>
      </w:r>
      <w:r>
        <w:tab/>
        <w:t>4</w:t>
      </w:r>
    </w:p>
    <w:p>
      <w:pPr>
        <w:pStyle w:val="DefinedTerms"/>
      </w:pPr>
      <w:r>
        <w:t>unique identifier</w:t>
      </w:r>
      <w:r>
        <w:tab/>
        <w:t>4</w:t>
      </w:r>
    </w:p>
    <w:p>
      <w:pPr>
        <w:pStyle w:val="DefinedTerms"/>
      </w:pPr>
      <w:r>
        <w:t>variation agreement</w:t>
      </w:r>
      <w:r>
        <w:tab/>
        <w:t>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 w:name="Coversheet"/>
    <w:bookmarkEnd w:id="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6588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615091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5687</Words>
  <Characters>30317</Characters>
  <Application>Microsoft Office Word</Application>
  <DocSecurity>0</DocSecurity>
  <Lines>918</Lines>
  <Paragraphs>620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35384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2024 - 00-a0-01</dc:title>
  <dc:subject/>
  <dc:creator/>
  <cp:keywords/>
  <dc:description/>
  <cp:lastModifiedBy>Master Repository Process</cp:lastModifiedBy>
  <cp:revision>4</cp:revision>
  <cp:lastPrinted>2024-12-06T06:50:00Z</cp:lastPrinted>
  <dcterms:created xsi:type="dcterms:W3CDTF">2025-06-23T05:23:00Z</dcterms:created>
  <dcterms:modified xsi:type="dcterms:W3CDTF">2025-06-23T05:24:00Z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06 Dec 2024</vt:lpwstr>
  </property>
  <property fmtid="{D5CDD505-2E9C-101B-9397-08002B2CF9AE}" pid="5" name="Suffix">
    <vt:lpwstr>00-a0-01</vt:lpwstr>
  </property>
  <property fmtid="{D5CDD505-2E9C-101B-9397-08002B2CF9AE}" pid="6" name="Official">
    <vt:lpwstr/>
  </property>
  <property fmtid="{D5CDD505-2E9C-101B-9397-08002B2CF9AE}" pid="7" name="CommencementDate">
    <vt:lpwstr>20241206</vt:lpwstr>
  </property>
  <property fmtid="{D5CDD505-2E9C-101B-9397-08002B2CF9AE}" pid="8" name="CommencementAsAt">
    <vt:filetime>2024-12-05T16:00:00Z</vt:filetime>
  </property>
  <property fmtid="{D5CDD505-2E9C-101B-9397-08002B2CF9AE}" pid="9" name="CommencementYear">
    <vt:lpwstr>2024</vt:lpwstr>
  </property>
</Properties>
</file>