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Information Commissioner Act 2024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Information Commissioner Act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_Toc184395183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_Toc184395184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_Toc184395185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Act binds Crown</w:t>
      </w:r>
      <w:r>
        <w:tab/>
      </w:r>
      <w:r>
        <w:fldChar w:fldCharType="begin"/>
      </w:r>
      <w:r>
        <w:instrText xml:space="preserve"> PAGEREF _Toc184395186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_Toc184395188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_Toc184395189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_Toc184395190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Information Commissioner Act 2024</w:t>
      </w:r>
    </w:p>
    <w:p>
      <w:pPr>
        <w:pStyle w:val="LongTitle"/>
      </w:pPr>
      <w:bookmarkStart w:id="2" w:name="BillCited"/>
      <w:bookmarkEnd w:id="2"/>
      <w:r>
        <w:t xml:space="preserve">An Act — </w:t>
      </w:r>
    </w:p>
    <w:p>
      <w:pPr>
        <w:pStyle w:val="LongTitle"/>
        <w:numPr>
          <w:ilvl w:val="0"/>
          <w:numId w:val="8"/>
        </w:numPr>
      </w:pPr>
      <w:r>
        <w:t>to establish and make provision for the offices of Information Commissioner, Information Access Deputy Commissioner and Privacy Deputy Commissioner; and</w:t>
      </w:r>
    </w:p>
    <w:p>
      <w:pPr>
        <w:pStyle w:val="LongTitle"/>
        <w:numPr>
          <w:ilvl w:val="0"/>
          <w:numId w:val="8"/>
        </w:numPr>
      </w:pPr>
      <w:r>
        <w:t xml:space="preserve">to make related and consequential amendments to the </w:t>
      </w:r>
      <w:r>
        <w:rPr>
          <w:i/>
          <w:iCs/>
        </w:rPr>
        <w:t>Freedom of Information Act 1992</w:t>
      </w:r>
      <w:r>
        <w:t xml:space="preserve"> and other Acts; and</w:t>
      </w:r>
    </w:p>
    <w:p>
      <w:pPr>
        <w:pStyle w:val="LongTitle"/>
        <w:numPr>
          <w:ilvl w:val="0"/>
          <w:numId w:val="8"/>
        </w:numPr>
      </w:pPr>
      <w:r>
        <w:t>for related purposes.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  <w:pageBreakBefore w:val="0"/>
        <w:spacing w:before="120"/>
      </w:pPr>
      <w:bookmarkStart w:id="3" w:name="_Toc184390437"/>
      <w:bookmarkStart w:id="4" w:name="_Toc184390535"/>
      <w:bookmarkStart w:id="5" w:name="_Toc184390633"/>
      <w:bookmarkStart w:id="6" w:name="_Toc184393620"/>
      <w:bookmarkStart w:id="7" w:name="_Toc184393675"/>
      <w:bookmarkStart w:id="8" w:name="_Toc184393843"/>
      <w:bookmarkStart w:id="9" w:name="_Toc184395182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Heading5"/>
      </w:pPr>
      <w:bookmarkStart w:id="10" w:name="_Toc184395183"/>
      <w:r>
        <w:rPr>
          <w:rStyle w:val="CharSectno"/>
        </w:rPr>
        <w:t>1</w:t>
      </w:r>
      <w:r>
        <w:t>.</w:t>
      </w:r>
      <w:r>
        <w:tab/>
        <w:t>Short title</w:t>
      </w:r>
      <w:bookmarkEnd w:id="10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Information Commissioner Act 2024</w:t>
      </w:r>
      <w:r>
        <w:t>.</w:t>
      </w:r>
    </w:p>
    <w:p>
      <w:pPr>
        <w:pStyle w:val="Heading5"/>
      </w:pPr>
      <w:bookmarkStart w:id="11" w:name="_Toc184395184"/>
      <w:r>
        <w:rPr>
          <w:rStyle w:val="CharSectno"/>
        </w:rPr>
        <w:t>2</w:t>
      </w:r>
      <w:r>
        <w:t>.</w:t>
      </w:r>
      <w:r>
        <w:tab/>
        <w:t>Commencement</w:t>
      </w:r>
      <w:bookmarkEnd w:id="11"/>
    </w:p>
    <w:p>
      <w:pPr>
        <w:pStyle w:val="Subsection"/>
      </w:pPr>
      <w:r>
        <w:tab/>
        <w:t>(1)</w:t>
      </w:r>
      <w:r>
        <w:tab/>
        <w:t>This Act comes into operation as follows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 (</w:t>
      </w:r>
      <w:r>
        <w:rPr>
          <w:rStyle w:val="CharDefText"/>
        </w:rPr>
        <w:t>assent day</w:t>
      </w:r>
      <w:r>
        <w:t>);</w:t>
      </w:r>
    </w:p>
    <w:p>
      <w:pPr>
        <w:pStyle w:val="Indenta"/>
      </w:pPr>
      <w:r>
        <w:tab/>
        <w:t>(b)</w:t>
      </w:r>
      <w:r>
        <w:tab/>
        <w:t>Part 5 (but only section 35) and Part 6 — on the day after assent day;</w:t>
      </w:r>
    </w:p>
    <w:p>
      <w:pPr>
        <w:pStyle w:val="Indenta"/>
      </w:pPr>
      <w:r>
        <w:tab/>
        <w:t>(c)</w:t>
      </w:r>
      <w:r>
        <w:tab/>
        <w:t xml:space="preserve">Part 7 Division 4 Subdivision 2 — </w:t>
      </w:r>
    </w:p>
    <w:p>
      <w:pPr>
        <w:pStyle w:val="Indenti"/>
      </w:pPr>
      <w:r>
        <w:tab/>
        <w:t>(i)</w:t>
      </w:r>
      <w:r>
        <w:tab/>
        <w:t xml:space="preserve">if the </w:t>
      </w:r>
      <w:r>
        <w:rPr>
          <w:i/>
          <w:iCs/>
        </w:rPr>
        <w:t>Criminal Law (Mental Impairment) Act 2023</w:t>
      </w:r>
      <w:r>
        <w:t xml:space="preserve"> section 325 comes into operation on or before the day on which section 59 of this Act comes into operation under paragraph (d) — immediately after section 59 of this Act comes into operation; or</w:t>
      </w:r>
    </w:p>
    <w:p>
      <w:pPr>
        <w:pStyle w:val="Indenti"/>
      </w:pPr>
      <w:r>
        <w:tab/>
        <w:t>(ii)</w:t>
      </w:r>
      <w:r>
        <w:tab/>
        <w:t xml:space="preserve">otherwise — when the </w:t>
      </w:r>
      <w:r>
        <w:rPr>
          <w:i/>
          <w:iCs/>
        </w:rPr>
        <w:t>Criminal Law (Mental Impairment) Act 2023</w:t>
      </w:r>
      <w:r>
        <w:t xml:space="preserve"> section 325 comes into operation;</w:t>
      </w:r>
    </w:p>
    <w:p>
      <w:pPr>
        <w:pStyle w:val="Indenta"/>
      </w:pPr>
      <w:r>
        <w:tab/>
        <w:t>(d)</w:t>
      </w:r>
      <w:r>
        <w:tab/>
        <w:t xml:space="preserve">the rest of the Act — on the day on which the </w:t>
      </w:r>
      <w:r>
        <w:rPr>
          <w:i/>
          <w:iCs/>
        </w:rPr>
        <w:t>Privacy and Responsible Information Sharing Act 2024</w:t>
      </w:r>
      <w:r>
        <w:t xml:space="preserve"> Part 2 Division 12 comes into operation.</w:t>
      </w:r>
    </w:p>
    <w:p>
      <w:pPr>
        <w:pStyle w:val="Subsection"/>
      </w:pPr>
      <w:r>
        <w:tab/>
        <w:t>(2)</w:t>
      </w:r>
      <w:r>
        <w:tab/>
        <w:t xml:space="preserve">Despite subsection (1)(d), if the </w:t>
      </w:r>
      <w:r>
        <w:rPr>
          <w:i/>
          <w:iCs/>
        </w:rPr>
        <w:t>Criminal Law (Mental Impairment) Act 2023</w:t>
      </w:r>
      <w:r>
        <w:t xml:space="preserve"> section 410(2) comes into operation before the day on which Part 7 Division 2 of this Act comes into operation, Part 7 Division 2 of this Act — </w:t>
      </w:r>
    </w:p>
    <w:p>
      <w:pPr>
        <w:pStyle w:val="Indenta"/>
      </w:pPr>
      <w:r>
        <w:tab/>
        <w:t>(a)</w:t>
      </w:r>
      <w:r>
        <w:tab/>
        <w:t>does not come into operation; and</w:t>
      </w:r>
    </w:p>
    <w:p>
      <w:pPr>
        <w:pStyle w:val="Indenta"/>
      </w:pPr>
      <w:r>
        <w:tab/>
        <w:t>(b)</w:t>
      </w:r>
      <w:r>
        <w:tab/>
        <w:t>is deleted.</w:t>
      </w:r>
    </w:p>
    <w:p>
      <w:pPr>
        <w:pStyle w:val="Heading5"/>
      </w:pPr>
      <w:bookmarkStart w:id="12" w:name="_Toc184395185"/>
      <w:r>
        <w:rPr>
          <w:rStyle w:val="CharSectno"/>
        </w:rPr>
        <w:lastRenderedPageBreak/>
        <w:t>3</w:t>
      </w:r>
      <w:r>
        <w:t>.</w:t>
      </w:r>
      <w:r>
        <w:tab/>
        <w:t>Terms used</w:t>
      </w:r>
      <w:bookmarkEnd w:id="12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eligible person</w:t>
      </w:r>
      <w:r>
        <w:t xml:space="preserve"> means a person who meets the eligibility requirements under section 18;</w:t>
      </w:r>
    </w:p>
    <w:p>
      <w:pPr>
        <w:pStyle w:val="Defstart"/>
      </w:pPr>
      <w:r>
        <w:tab/>
      </w:r>
      <w:r>
        <w:rPr>
          <w:rStyle w:val="CharDefText"/>
        </w:rPr>
        <w:t>freedom of information functions</w:t>
      </w:r>
      <w:r>
        <w:t xml:space="preserve"> has the meaning given in the </w:t>
      </w:r>
      <w:r>
        <w:rPr>
          <w:i/>
          <w:iCs/>
        </w:rPr>
        <w:t>Freedom of Information Act 1992</w:t>
      </w:r>
      <w:r>
        <w:t xml:space="preserve"> section 97B(1);</w:t>
      </w:r>
    </w:p>
    <w:p>
      <w:pPr>
        <w:pStyle w:val="Defstart"/>
      </w:pPr>
      <w:r>
        <w:tab/>
      </w:r>
      <w:r>
        <w:rPr>
          <w:rStyle w:val="CharDefText"/>
        </w:rPr>
        <w:t>Information Access Deputy Commissioner</w:t>
      </w:r>
      <w:r>
        <w:t xml:space="preserve"> means the person appointed as Information Access Deputy Commissioner under section 9(2);</w:t>
      </w:r>
    </w:p>
    <w:p>
      <w:pPr>
        <w:pStyle w:val="Defstart"/>
      </w:pPr>
      <w:r>
        <w:tab/>
      </w:r>
      <w:r>
        <w:rPr>
          <w:rStyle w:val="CharDefText"/>
        </w:rPr>
        <w:t>information Act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this Act; or</w:t>
      </w:r>
    </w:p>
    <w:p>
      <w:pPr>
        <w:pStyle w:val="Defpara"/>
      </w:pPr>
      <w:r>
        <w:tab/>
        <w:t>(b)</w:t>
      </w:r>
      <w:r>
        <w:tab/>
        <w:t xml:space="preserve">the </w:t>
      </w:r>
      <w:r>
        <w:rPr>
          <w:i/>
          <w:iCs/>
        </w:rPr>
        <w:t>Freedom of Information Act 1992</w:t>
      </w:r>
      <w:r>
        <w:t>; or</w:t>
      </w:r>
    </w:p>
    <w:p>
      <w:pPr>
        <w:pStyle w:val="Defpara"/>
      </w:pPr>
      <w:r>
        <w:tab/>
        <w:t>(c)</w:t>
      </w:r>
      <w:r>
        <w:tab/>
        <w:t xml:space="preserve">the </w:t>
      </w:r>
      <w:r>
        <w:rPr>
          <w:i/>
          <w:iCs/>
        </w:rPr>
        <w:t>Privacy and Responsible Information Sharing Act 2024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Information Commissioner</w:t>
      </w:r>
      <w:r>
        <w:t xml:space="preserve"> means the person appointed as Information Commissioner under section 5(2);</w:t>
      </w:r>
    </w:p>
    <w:p>
      <w:pPr>
        <w:pStyle w:val="Defstart"/>
      </w:pPr>
      <w:r>
        <w:tab/>
      </w:r>
      <w:r>
        <w:rPr>
          <w:rStyle w:val="CharDefText"/>
        </w:rPr>
        <w:t>information official</w:t>
      </w:r>
      <w:r>
        <w:t xml:space="preserve"> means a person who is or has been — </w:t>
      </w:r>
    </w:p>
    <w:p>
      <w:pPr>
        <w:pStyle w:val="Defpara"/>
      </w:pPr>
      <w:r>
        <w:tab/>
        <w:t>(a)</w:t>
      </w:r>
      <w:r>
        <w:tab/>
        <w:t>the Information Commissioner; or</w:t>
      </w:r>
    </w:p>
    <w:p>
      <w:pPr>
        <w:pStyle w:val="Defpara"/>
      </w:pPr>
      <w:r>
        <w:tab/>
        <w:t>(b)</w:t>
      </w:r>
      <w:r>
        <w:tab/>
        <w:t>the Information Access Deputy Commissioner; or</w:t>
      </w:r>
    </w:p>
    <w:p>
      <w:pPr>
        <w:pStyle w:val="Defpara"/>
      </w:pPr>
      <w:r>
        <w:tab/>
        <w:t>(c)</w:t>
      </w:r>
      <w:r>
        <w:tab/>
        <w:t>the Privacy Deputy Commissioner; or</w:t>
      </w:r>
    </w:p>
    <w:p>
      <w:pPr>
        <w:pStyle w:val="Defpara"/>
      </w:pPr>
      <w:r>
        <w:tab/>
        <w:t>(d)</w:t>
      </w:r>
      <w:r>
        <w:tab/>
        <w:t>a person appointed under section 7, 11 or 15 to act in the office of Information Commissioner, Information Access Deputy Commissioner or Privacy Deputy Commissioner; or</w:t>
      </w:r>
    </w:p>
    <w:p>
      <w:pPr>
        <w:pStyle w:val="Defpara"/>
      </w:pPr>
      <w:r>
        <w:tab/>
        <w:t>(e)</w:t>
      </w:r>
      <w:r>
        <w:tab/>
        <w:t>a member of staff; or</w:t>
      </w:r>
    </w:p>
    <w:p>
      <w:pPr>
        <w:pStyle w:val="Defpara"/>
      </w:pPr>
      <w:r>
        <w:tab/>
        <w:t>(f)</w:t>
      </w:r>
      <w:r>
        <w:tab/>
        <w:t>a person engaged to provide services under section 31;</w:t>
      </w:r>
    </w:p>
    <w:p>
      <w:pPr>
        <w:pStyle w:val="Defstart"/>
      </w:pPr>
      <w:r>
        <w:tab/>
      </w:r>
      <w:r>
        <w:rPr>
          <w:rStyle w:val="CharDefText"/>
        </w:rPr>
        <w:t>member of staff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public service officer appointed or made available under section 29; or</w:t>
      </w:r>
    </w:p>
    <w:p>
      <w:pPr>
        <w:pStyle w:val="Defpara"/>
      </w:pPr>
      <w:r>
        <w:tab/>
        <w:t>(b)</w:t>
      </w:r>
      <w:r>
        <w:tab/>
        <w:t>a person in relation to whom an arrangement under section 30(1) is in effect;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Privacy Deputy Commissioner</w:t>
      </w:r>
      <w:r>
        <w:t xml:space="preserve"> means the person appointed as Privacy Deputy Commissioner under section 13(2);</w:t>
      </w:r>
    </w:p>
    <w:p>
      <w:pPr>
        <w:pStyle w:val="Defstart"/>
      </w:pPr>
      <w:r>
        <w:tab/>
      </w:r>
      <w:r>
        <w:rPr>
          <w:rStyle w:val="CharDefText"/>
        </w:rPr>
        <w:t>privacy functions</w:t>
      </w:r>
      <w:r>
        <w:t xml:space="preserve"> has the meaning given in the </w:t>
      </w:r>
      <w:r>
        <w:rPr>
          <w:i/>
          <w:iCs/>
        </w:rPr>
        <w:t>Privacy and Responsible Information Sharing Act 2024</w:t>
      </w:r>
      <w:r>
        <w:t xml:space="preserve"> section 142(1).</w:t>
      </w:r>
    </w:p>
    <w:p>
      <w:pPr>
        <w:pStyle w:val="Heading5"/>
      </w:pPr>
      <w:bookmarkStart w:id="13" w:name="_Toc184395186"/>
      <w:r>
        <w:rPr>
          <w:rStyle w:val="CharSectno"/>
        </w:rPr>
        <w:t>4</w:t>
      </w:r>
      <w:r>
        <w:t>.</w:t>
      </w:r>
      <w:r>
        <w:tab/>
        <w:t>Act binds Crown</w:t>
      </w:r>
      <w:bookmarkEnd w:id="13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Ednotepart"/>
      </w:pPr>
      <w:r>
        <w:t>[Parts 2</w:t>
      </w:r>
      <w:r>
        <w:noBreakHyphen/>
        <w:t>7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14" w:name="_Toc184393638"/>
      <w:bookmarkStart w:id="15" w:name="_Toc184393693"/>
      <w:bookmarkStart w:id="16" w:name="_Toc184393848"/>
      <w:bookmarkStart w:id="17" w:name="_Toc184395187"/>
      <w:bookmarkStart w:id="18" w:name="_Toc184390534"/>
      <w:bookmarkStart w:id="19" w:name="_Toc184390632"/>
      <w:bookmarkStart w:id="20" w:name="_Toc184390730"/>
      <w:r>
        <w:lastRenderedPageBreak/>
        <w:t>Notes</w:t>
      </w:r>
      <w:bookmarkEnd w:id="14"/>
      <w:bookmarkEnd w:id="15"/>
      <w:bookmarkEnd w:id="16"/>
      <w:bookmarkEnd w:id="1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Information Commissioner Act 2024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21" w:name="_Toc184395188"/>
      <w:r>
        <w:t>Compilation table</w:t>
      </w:r>
      <w:bookmarkEnd w:id="21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Information Commissioner Act 2024</w:t>
            </w:r>
            <w:r>
              <w:rPr>
                <w:iCs/>
                <w:noProof/>
              </w:rPr>
              <w:t xml:space="preserve"> Pt.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52 of 2024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6 Dec 2024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6 Dec 2024 (see s. 2(1)(a))</w:t>
            </w:r>
          </w:p>
        </w:tc>
      </w:tr>
    </w:tbl>
    <w:p>
      <w:pPr>
        <w:pStyle w:val="nHeading3"/>
      </w:pPr>
      <w:bookmarkStart w:id="22" w:name="_Toc184395189"/>
      <w:r>
        <w:t>Uncommenced provisions table</w:t>
      </w:r>
      <w:bookmarkEnd w:id="22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Information Commissioner Act 2024</w:t>
            </w:r>
            <w:r>
              <w:rPr>
                <w:iCs/>
                <w:noProof/>
              </w:rPr>
              <w:t xml:space="preserve"> Pt. 2 to 7</w:t>
            </w:r>
            <w:r>
              <w:rPr>
                <w:iCs/>
                <w:noProof/>
                <w:vertAlign w:val="superscript"/>
              </w:rPr>
              <w:t>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52 of 2024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6 Dec 2024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Pt. 5 (other than s. 32 to 34) and Pt. 6: 7 Dec 2024 (see s. 2(1)(b));</w:t>
            </w:r>
            <w:r>
              <w:br/>
              <w:t>Pt. 7 Div. 4 Subdiv. 2: immediately after s. 59 comes into operation (see s. 2(1)(c)(i);</w:t>
            </w:r>
            <w:r>
              <w:br/>
              <w:t>Pt. 2</w:t>
            </w:r>
            <w:r>
              <w:noBreakHyphen/>
              <w:t xml:space="preserve">4, s. 32 to 34 and Pt. 7 (other than Div. 4 Subdiv. 2): operative on the day on which the </w:t>
            </w:r>
            <w:r>
              <w:rPr>
                <w:i/>
                <w:iCs/>
              </w:rPr>
              <w:t>Privacy and Responsible Information Sharing Act 2024</w:t>
            </w:r>
            <w:r>
              <w:t xml:space="preserve"> Pt. 2 Div. 12 comes into operation (see s. 2(1)(d))</w:t>
            </w:r>
          </w:p>
        </w:tc>
      </w:tr>
    </w:tbl>
    <w:p>
      <w:pPr>
        <w:pStyle w:val="nHeading3"/>
      </w:pPr>
      <w:bookmarkStart w:id="23" w:name="_Toc184395190"/>
      <w:r>
        <w:t>Other notes</w:t>
      </w:r>
      <w:bookmarkEnd w:id="23"/>
    </w:p>
    <w:p>
      <w:pPr>
        <w:pStyle w:val="nNote"/>
      </w:pPr>
      <w:r>
        <w:rPr>
          <w:vertAlign w:val="superscript"/>
        </w:rPr>
        <w:t>1</w:t>
      </w:r>
      <w:r>
        <w:tab/>
        <w:t>Pt. 7 Div. 2 of this Act did not come into operation and was deleted (see s. 2(2)).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5" w:name="_Toc184395191"/>
      <w:bookmarkEnd w:id="18"/>
      <w:bookmarkEnd w:id="19"/>
      <w:bookmarkEnd w:id="20"/>
      <w:r>
        <w:rPr>
          <w:sz w:val="28"/>
        </w:rPr>
        <w:lastRenderedPageBreak/>
        <w:t>Defined terms</w:t>
      </w:r>
      <w:bookmarkEnd w:id="2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assent day</w:t>
      </w:r>
      <w:r>
        <w:tab/>
        <w:t>2(1)</w:t>
      </w:r>
    </w:p>
    <w:p>
      <w:pPr>
        <w:pStyle w:val="DefinedTerms"/>
      </w:pPr>
      <w:r>
        <w:t>eligible person</w:t>
      </w:r>
      <w:r>
        <w:tab/>
        <w:t>3</w:t>
      </w:r>
    </w:p>
    <w:p>
      <w:pPr>
        <w:pStyle w:val="DefinedTerms"/>
      </w:pPr>
      <w:r>
        <w:t>freedom of information functions</w:t>
      </w:r>
      <w:r>
        <w:tab/>
        <w:t>3</w:t>
      </w:r>
    </w:p>
    <w:p>
      <w:pPr>
        <w:pStyle w:val="DefinedTerms"/>
      </w:pPr>
      <w:r>
        <w:t>Information Access Deputy Commissioner</w:t>
      </w:r>
      <w:r>
        <w:tab/>
        <w:t>3</w:t>
      </w:r>
    </w:p>
    <w:p>
      <w:pPr>
        <w:pStyle w:val="DefinedTerms"/>
      </w:pPr>
      <w:r>
        <w:t>information Act</w:t>
      </w:r>
      <w:r>
        <w:tab/>
        <w:t>3</w:t>
      </w:r>
    </w:p>
    <w:p>
      <w:pPr>
        <w:pStyle w:val="DefinedTerms"/>
      </w:pPr>
      <w:r>
        <w:t>Information Commissioner</w:t>
      </w:r>
      <w:r>
        <w:tab/>
        <w:t>3</w:t>
      </w:r>
    </w:p>
    <w:p>
      <w:pPr>
        <w:pStyle w:val="DefinedTerms"/>
      </w:pPr>
      <w:r>
        <w:t>information official</w:t>
      </w:r>
      <w:r>
        <w:tab/>
        <w:t>3</w:t>
      </w:r>
    </w:p>
    <w:p>
      <w:pPr>
        <w:pStyle w:val="DefinedTerms"/>
      </w:pPr>
      <w:r>
        <w:t>member of staff</w:t>
      </w:r>
      <w:r>
        <w:tab/>
        <w:t>3</w:t>
      </w:r>
    </w:p>
    <w:p>
      <w:pPr>
        <w:pStyle w:val="DefinedTerms"/>
      </w:pPr>
      <w:r>
        <w:t>Privacy Deputy Commissioner</w:t>
      </w:r>
      <w:r>
        <w:tab/>
        <w:t>3</w:t>
      </w:r>
    </w:p>
    <w:p>
      <w:pPr>
        <w:pStyle w:val="DefinedTerms"/>
      </w:pPr>
      <w:r>
        <w:t>privacy functions</w:t>
      </w:r>
      <w:r>
        <w:tab/>
        <w:t>3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CCDD1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ChShZj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3A4BE27B" w14:textId="5FC22E7B" w:rsidR="005F6CBB" w:rsidRDefault="005F6CB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A661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3C630D" w14:textId="77777777" w:rsidR="005F6CBB" w:rsidRDefault="005F6CB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3B09F73" w14:textId="3AC78E91" w:rsidR="005F6CBB" w:rsidRDefault="005F6CB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A661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9E1BB52" w14:textId="77777777" w:rsidR="005F6CBB" w:rsidRDefault="005F6CB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Dec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Dec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Information Commissioner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Information Commissioner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Information Commissioner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Information Commissioner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Information Commissioner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Information Commissioner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Information Commissioner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Information Commissioner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Information Commissioner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Information Commissioner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6" w:name="DefinedTerms"/>
    <w:bookmarkEnd w:id="26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FB86A48"/>
    <w:multiLevelType w:val="hybridMultilevel"/>
    <w:tmpl w:val="1CDA33B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7"/>
  </w:num>
  <w:num w:numId="4">
    <w:abstractNumId w:val="13"/>
  </w:num>
  <w:num w:numId="5">
    <w:abstractNumId w:val="19"/>
  </w:num>
  <w:num w:numId="6">
    <w:abstractNumId w:val="12"/>
  </w:num>
  <w:num w:numId="7">
    <w:abstractNumId w:val="21"/>
  </w:num>
  <w:num w:numId="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6151250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404080835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08083550_GUID" w:val="9eff7cf0-1d1f-449c-bc99-2626b1786b76"/>
    <w:docVar w:name="WAFER_202404080913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08091329_GUID" w:val="a8b5acc9-c4ea-45ee-aa06-0c74f4b04ee5"/>
    <w:docVar w:name="WAFER_202404150825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5082538_GUID" w:val="b0573ab0-b7eb-4104-8948-5b912adc7381"/>
    <w:docVar w:name="WAFER_202404190900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19090057_GUID" w:val="8cfee70e-05ba-4d94-a50f-62757298d67a"/>
    <w:docVar w:name="WAFER_202405031650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DraftersNotes.RemoveTags"/>
    <w:docVar w:name="WAFER_20240503165032_GUID" w:val="b7375bc9-f192-4078-89ce-e2909b580227"/>
    <w:docVar w:name="WAFER_202412061512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6151250_GUID" w:val="94a25adb-5c53-490e-b27e-13428d683d7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73CD0F7C-41DC-47B3-8E83-414D1AAC9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yTableNAmLeft018cm">
    <w:name w:val="zyTableNAm + Left:  0.18 cm"/>
    <w:aliases w:val="Hanging:  2.58 cm"/>
    <w:basedOn w:val="yTableNAm"/>
    <w:pPr>
      <w:tabs>
        <w:tab w:val="clear" w:pos="567"/>
        <w:tab w:val="left" w:pos="514"/>
        <w:tab w:val="left" w:pos="1134"/>
        <w:tab w:val="left" w:pos="1559"/>
      </w:tabs>
      <w:ind w:left="1564" w:hanging="1462"/>
    </w:pPr>
  </w:style>
  <w:style w:type="paragraph" w:customStyle="1" w:styleId="zyTableNAmLeft0cm">
    <w:name w:val="zyTableNAm + Left:  0 cm"/>
    <w:aliases w:val="Hanging:  1.77 cm"/>
    <w:basedOn w:val="yTableNAm"/>
    <w:pPr>
      <w:tabs>
        <w:tab w:val="clear" w:pos="567"/>
        <w:tab w:val="left" w:pos="514"/>
        <w:tab w:val="left" w:pos="1005"/>
      </w:tabs>
      <w:ind w:left="1005" w:hanging="1005"/>
    </w:pPr>
  </w:style>
  <w:style w:type="paragraph" w:customStyle="1" w:styleId="zyMiscellaneousBody10pt">
    <w:name w:val="zyMiscellaneous Body + 10 pt"/>
    <w:basedOn w:val="yMiscellaneousBody"/>
    <w:pPr>
      <w:keepNext/>
      <w:spacing w:after="120"/>
    </w:pPr>
    <w:rPr>
      <w:sz w:val="20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922</Words>
  <Characters>4643</Characters>
  <Application>Microsoft Office Word</Application>
  <DocSecurity>0</DocSecurity>
  <Lines>185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5436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Commissioner Act 2024 - 00-a0-00</dc:title>
  <dc:subject/>
  <dc:creator/>
  <cp:keywords/>
  <dc:description/>
  <cp:lastModifiedBy>Master Repository Process</cp:lastModifiedBy>
  <cp:revision>4</cp:revision>
  <cp:lastPrinted>2024-12-06T06:55:00Z</cp:lastPrinted>
  <dcterms:created xsi:type="dcterms:W3CDTF">2025-06-09T03:31:00Z</dcterms:created>
  <dcterms:modified xsi:type="dcterms:W3CDTF">2025-06-09T03:31:00Z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52 of 2024</vt:lpwstr>
  </property>
  <property fmtid="{D5CDD505-2E9C-101B-9397-08002B2CF9AE}" pid="3" name="DocumentType">
    <vt:lpwstr>Act</vt:lpwstr>
  </property>
  <property fmtid="{D5CDD505-2E9C-101B-9397-08002B2CF9AE}" pid="4" name="AsAtDate">
    <vt:lpwstr>06 Dec 2024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20241206</vt:lpwstr>
  </property>
  <property fmtid="{D5CDD505-2E9C-101B-9397-08002B2CF9AE}" pid="8" name="CommencementAsAt">
    <vt:filetime>2024-12-05T16:00:00Z</vt:filetime>
  </property>
  <property fmtid="{D5CDD505-2E9C-101B-9397-08002B2CF9AE}" pid="9" name="CommencementYear">
    <vt:lpwstr>2024</vt:lpwstr>
  </property>
</Properties>
</file>