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Children’s Court of Western Australia Act 1988</w:t>
      </w:r>
      <w:r>
        <w:rPr>
          <w:noProof/>
        </w:rPr>
        <w:br/>
        <w:t>Magistrates Court Act 2004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Attorney General Regulations Amendment (Fees)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Attorney General Regulations Amendment (Fees)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_Toc184723952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_Toc184723953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>Children’s Court (Fees) Regulations 2005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_Toc184723955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_Toc184723956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6AA inserted</w:t>
      </w:r>
      <w:r>
        <w:tab/>
      </w:r>
      <w:r>
        <w:fldChar w:fldCharType="begin"/>
      </w:r>
      <w:r>
        <w:instrText xml:space="preserve"> PAGEREF _Toc184723957 \h </w:instrText>
      </w:r>
      <w:r>
        <w:fldChar w:fldCharType="separate"/>
      </w:r>
      <w:r>
        <w:t>2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6AA.</w:t>
      </w:r>
      <w:r>
        <w:rPr>
          <w:noProof/>
        </w:rPr>
        <w:tab/>
        <w:t>Certain application and transcript fees must be waived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_Toc184723958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</w:rPr>
        <w:t>Magistrates Court (Fees) Regulations 2005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_Toc184723960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_Toc184723961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 6A replaced</w:t>
      </w:r>
      <w:r>
        <w:tab/>
      </w:r>
      <w:r>
        <w:fldChar w:fldCharType="begin"/>
      </w:r>
      <w:r>
        <w:instrText xml:space="preserve"> PAGEREF _Toc184723962 \h </w:instrText>
      </w:r>
      <w:r>
        <w:fldChar w:fldCharType="separate"/>
      </w:r>
      <w:r>
        <w:t>4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6A.</w:t>
      </w:r>
      <w:r>
        <w:rPr>
          <w:noProof/>
        </w:rPr>
        <w:tab/>
        <w:t>Certain application and transcript fees must be waived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_Toc184723963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rPr>
          <w:iCs/>
        </w:rPr>
      </w:pPr>
      <w:r>
        <w:rPr>
          <w:iCs/>
        </w:rPr>
        <w:lastRenderedPageBreak/>
        <w:t>Children’s Court of Western Australia Act 1988</w:t>
      </w:r>
      <w:r>
        <w:rPr>
          <w:iCs/>
        </w:rPr>
        <w:br/>
        <w:t>Magistrates Court Act 2004</w:t>
      </w:r>
    </w:p>
    <w:p>
      <w:pPr>
        <w:pStyle w:val="NameofActReg"/>
      </w:pPr>
      <w:r>
        <w:t>Attorney General Regulations Amendment (Fees) Regulations 2024</w:t>
      </w:r>
    </w:p>
    <w:p>
      <w:pPr>
        <w:pStyle w:val="MadeBy"/>
      </w:pPr>
      <w:r>
        <w:t>Made by the Governor in Executive Council.</w:t>
      </w:r>
    </w:p>
    <w:p>
      <w:pPr>
        <w:pStyle w:val="Heading2"/>
        <w:pageBreakBefore w:val="0"/>
        <w:spacing w:before="360"/>
      </w:pPr>
      <w:bookmarkStart w:id="2" w:name="_Toc184297610"/>
      <w:bookmarkStart w:id="3" w:name="_Toc184297676"/>
      <w:bookmarkStart w:id="4" w:name="_Toc184297703"/>
      <w:bookmarkStart w:id="5" w:name="_Toc184297776"/>
      <w:bookmarkStart w:id="6" w:name="_Toc184723951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</w:p>
    <w:p>
      <w:pPr>
        <w:pStyle w:val="Heading5"/>
      </w:pPr>
      <w:bookmarkStart w:id="7" w:name="_Toc184297611"/>
      <w:bookmarkStart w:id="8" w:name="_Toc184723952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Attorney General Regulations Amendment (Fees) Regulations 2024</w:t>
      </w:r>
      <w:r>
        <w:t>.</w:t>
      </w:r>
    </w:p>
    <w:p>
      <w:pPr>
        <w:pStyle w:val="Heading5"/>
        <w:rPr>
          <w:spacing w:val="-2"/>
        </w:rPr>
      </w:pPr>
      <w:bookmarkStart w:id="10" w:name="_Toc184297612"/>
      <w:bookmarkStart w:id="11" w:name="_Toc18472395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Part 1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2"/>
      </w:pPr>
      <w:bookmarkStart w:id="12" w:name="_Toc184297613"/>
      <w:bookmarkStart w:id="13" w:name="_Toc184297679"/>
      <w:bookmarkStart w:id="14" w:name="_Toc184297706"/>
      <w:bookmarkStart w:id="15" w:name="_Toc184297779"/>
      <w:bookmarkStart w:id="16" w:name="_Toc184723954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Children’s Court (Fees) Regulations 2005</w:t>
      </w:r>
      <w:r>
        <w:rPr>
          <w:rStyle w:val="CharPartText"/>
        </w:rPr>
        <w:t xml:space="preserve"> amended</w:t>
      </w:r>
      <w:bookmarkEnd w:id="12"/>
      <w:bookmarkEnd w:id="13"/>
      <w:bookmarkEnd w:id="14"/>
      <w:bookmarkEnd w:id="15"/>
      <w:bookmarkEnd w:id="16"/>
    </w:p>
    <w:p>
      <w:pPr>
        <w:pStyle w:val="Heading5"/>
        <w:rPr>
          <w:snapToGrid w:val="0"/>
        </w:rPr>
      </w:pPr>
      <w:bookmarkStart w:id="17" w:name="_Toc184297614"/>
      <w:bookmarkStart w:id="18" w:name="_Toc18472395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Children’s Court (Fees) Regulations 2005</w:t>
      </w:r>
      <w:r>
        <w:t>.</w:t>
      </w:r>
    </w:p>
    <w:p>
      <w:pPr>
        <w:pStyle w:val="Heading5"/>
      </w:pPr>
      <w:bookmarkStart w:id="19" w:name="_Toc184297615"/>
      <w:bookmarkStart w:id="20" w:name="_Toc184723956"/>
      <w:r>
        <w:rPr>
          <w:rStyle w:val="CharSectno"/>
        </w:rPr>
        <w:t>4</w:t>
      </w:r>
      <w:r>
        <w:t>.</w:t>
      </w:r>
      <w:r>
        <w:tab/>
        <w:t>Regulation 6 amended</w:t>
      </w:r>
      <w:bookmarkEnd w:id="19"/>
      <w:bookmarkEnd w:id="20"/>
    </w:p>
    <w:p>
      <w:pPr>
        <w:pStyle w:val="Subsection"/>
      </w:pPr>
      <w:r>
        <w:tab/>
      </w:r>
      <w:r>
        <w:tab/>
        <w:t>Delete regulation 6(4).</w:t>
      </w:r>
    </w:p>
    <w:p>
      <w:pPr>
        <w:pStyle w:val="SectAltNote"/>
      </w:pPr>
      <w:r>
        <w:tab/>
        <w:t>Note: The heading to amended regulation 6 is to read:</w:t>
      </w:r>
    </w:p>
    <w:p>
      <w:pPr>
        <w:pStyle w:val="SectAltHeading"/>
      </w:pPr>
      <w:r>
        <w:tab/>
      </w:r>
      <w:r>
        <w:tab/>
        <w:t>Certain fees subject to conditions</w:t>
      </w:r>
    </w:p>
    <w:p>
      <w:pPr>
        <w:pStyle w:val="Heading5"/>
      </w:pPr>
      <w:bookmarkStart w:id="21" w:name="_Toc184297616"/>
      <w:bookmarkStart w:id="22" w:name="_Toc184723957"/>
      <w:r>
        <w:rPr>
          <w:rStyle w:val="CharSectno"/>
        </w:rPr>
        <w:t>5</w:t>
      </w:r>
      <w:r>
        <w:t>.</w:t>
      </w:r>
      <w:r>
        <w:tab/>
        <w:t>Regulation 6AA inserted</w:t>
      </w:r>
      <w:bookmarkEnd w:id="21"/>
      <w:bookmarkEnd w:id="22"/>
    </w:p>
    <w:p>
      <w:pPr>
        <w:pStyle w:val="Subsection"/>
      </w:pPr>
      <w:r>
        <w:tab/>
      </w:r>
      <w:r>
        <w:tab/>
        <w:t>After regulation 6 insert:</w:t>
      </w:r>
    </w:p>
    <w:p>
      <w:pPr>
        <w:pStyle w:val="BlankOpen"/>
      </w:pPr>
    </w:p>
    <w:p>
      <w:pPr>
        <w:pStyle w:val="zHeading5"/>
      </w:pPr>
      <w:bookmarkStart w:id="23" w:name="_Toc184297617"/>
      <w:bookmarkStart w:id="24" w:name="_Toc184723958"/>
      <w:r>
        <w:t>6AA.</w:t>
      </w:r>
      <w:r>
        <w:tab/>
        <w:t>Certain application and transcript fees must be waived</w:t>
      </w:r>
      <w:bookmarkEnd w:id="23"/>
      <w:bookmarkEnd w:id="24"/>
    </w:p>
    <w:p>
      <w:pPr>
        <w:pStyle w:val="zSubsection"/>
      </w:pPr>
      <w:r>
        <w:tab/>
        <w:t>(1)</w:t>
      </w:r>
      <w:r>
        <w:tab/>
        <w:t xml:space="preserve">In this regulation — </w:t>
      </w:r>
    </w:p>
    <w:p>
      <w:pPr>
        <w:pStyle w:val="zDefstart"/>
      </w:pPr>
      <w:r>
        <w:tab/>
      </w:r>
      <w:r>
        <w:rPr>
          <w:rStyle w:val="CharDefText"/>
        </w:rPr>
        <w:t>applicant</w:t>
      </w:r>
      <w:r>
        <w:t xml:space="preserve">, in relation to an application for an FVRO or a VRO — </w:t>
      </w:r>
    </w:p>
    <w:p>
      <w:pPr>
        <w:pStyle w:val="zDefpara"/>
      </w:pPr>
      <w:r>
        <w:tab/>
        <w:t>(a)</w:t>
      </w:r>
      <w:r>
        <w:tab/>
        <w:t>means the person who made the application; and</w:t>
      </w:r>
    </w:p>
    <w:p>
      <w:pPr>
        <w:pStyle w:val="zDefpara"/>
      </w:pPr>
      <w:r>
        <w:tab/>
        <w:t>(b)</w:t>
      </w:r>
      <w:r>
        <w:tab/>
        <w:t>if the application was made on behalf of another person — includes that person;</w:t>
      </w:r>
    </w:p>
    <w:p>
      <w:pPr>
        <w:pStyle w:val="zDefstart"/>
      </w:pPr>
      <w:r>
        <w:tab/>
      </w:r>
      <w:r>
        <w:rPr>
          <w:rStyle w:val="CharDefText"/>
        </w:rPr>
        <w:t>FVRO</w:t>
      </w:r>
      <w:r>
        <w:t xml:space="preserve"> means a family violence restraining order made under the </w:t>
      </w:r>
      <w:r>
        <w:rPr>
          <w:i/>
        </w:rPr>
        <w:t>Restraining Orders Act 1997</w:t>
      </w:r>
      <w:r>
        <w:t>;</w:t>
      </w:r>
    </w:p>
    <w:p>
      <w:pPr>
        <w:pStyle w:val="zDefstart"/>
      </w:pPr>
      <w:r>
        <w:tab/>
      </w:r>
      <w:r>
        <w:rPr>
          <w:rStyle w:val="CharDefText"/>
        </w:rPr>
        <w:t>interim order</w:t>
      </w:r>
      <w:r>
        <w:t xml:space="preserve"> means an FVRO or a VRO made under the </w:t>
      </w:r>
      <w:r>
        <w:rPr>
          <w:i/>
        </w:rPr>
        <w:t>Restraining Orders Act 1997</w:t>
      </w:r>
      <w:r>
        <w:t xml:space="preserve"> section 29(1)(a), the duration of which is more than 72 hours;</w:t>
      </w:r>
    </w:p>
    <w:p>
      <w:pPr>
        <w:pStyle w:val="zDefstart"/>
      </w:pPr>
      <w:r>
        <w:tab/>
      </w:r>
      <w:r>
        <w:rPr>
          <w:rStyle w:val="CharDefText"/>
        </w:rPr>
        <w:t>respondent</w:t>
      </w:r>
      <w:r>
        <w:t xml:space="preserve">, in relation to an application for an FVRO or a VRO, has the meaning given in the </w:t>
      </w:r>
      <w:r>
        <w:rPr>
          <w:i/>
        </w:rPr>
        <w:t>Restraining Orders Act 1997</w:t>
      </w:r>
      <w:r>
        <w:t xml:space="preserve"> section 3(1);</w:t>
      </w:r>
    </w:p>
    <w:p>
      <w:pPr>
        <w:pStyle w:val="zDefstart"/>
      </w:pPr>
      <w:r>
        <w:lastRenderedPageBreak/>
        <w:tab/>
      </w:r>
      <w:r>
        <w:rPr>
          <w:rStyle w:val="CharDefText"/>
        </w:rPr>
        <w:t>VRO</w:t>
      </w:r>
      <w:r>
        <w:t xml:space="preserve"> means a violence restraining order under the </w:t>
      </w:r>
      <w:r>
        <w:rPr>
          <w:i/>
        </w:rPr>
        <w:t>Restraining Orders Act 1997</w:t>
      </w:r>
      <w:r>
        <w:t>.</w:t>
      </w:r>
    </w:p>
    <w:p>
      <w:pPr>
        <w:pStyle w:val="zSubsection"/>
        <w:rPr>
          <w:iCs/>
          <w:szCs w:val="24"/>
        </w:rPr>
      </w:pPr>
      <w:r>
        <w:tab/>
        <w:t>(2)</w:t>
      </w:r>
      <w:r>
        <w:tab/>
        <w:t xml:space="preserve">Subregulation (3) applies in relation to an application for an FVRO or a VRO </w:t>
      </w:r>
      <w:r>
        <w:rPr>
          <w:iCs/>
          <w:szCs w:val="24"/>
        </w:rPr>
        <w:t xml:space="preserve">if — </w:t>
      </w:r>
    </w:p>
    <w:p>
      <w:pPr>
        <w:pStyle w:val="zIndenta"/>
      </w:pPr>
      <w:r>
        <w:tab/>
        <w:t>(a)</w:t>
      </w:r>
      <w:r>
        <w:tab/>
        <w:t>no decision has been made on the application; or</w:t>
      </w:r>
    </w:p>
    <w:p>
      <w:pPr>
        <w:pStyle w:val="zIndenta"/>
      </w:pPr>
      <w:r>
        <w:tab/>
        <w:t>(b)</w:t>
      </w:r>
      <w:r>
        <w:tab/>
        <w:t>the application was dismissed; or</w:t>
      </w:r>
    </w:p>
    <w:p>
      <w:pPr>
        <w:pStyle w:val="zIndenta"/>
      </w:pPr>
      <w:r>
        <w:tab/>
        <w:t>(c)</w:t>
      </w:r>
      <w:r>
        <w:tab/>
        <w:t>an interim order was made and the order is still in force.</w:t>
      </w:r>
    </w:p>
    <w:p>
      <w:pPr>
        <w:pStyle w:val="zSubsection"/>
      </w:pPr>
      <w:r>
        <w:tab/>
        <w:t>(3)</w:t>
      </w:r>
      <w:r>
        <w:tab/>
        <w:t>A registrar must waive the fee under Schedule 1 Division 1 item 6(a) for a copy of the application when requested by the applicant or the respondent if the applicant or respondent (as is relevant) has not previously obtained a copy of the application.</w:t>
      </w:r>
    </w:p>
    <w:p>
      <w:pPr>
        <w:pStyle w:val="zSubsection"/>
        <w:rPr>
          <w:iCs/>
          <w:szCs w:val="24"/>
        </w:rPr>
      </w:pPr>
      <w:r>
        <w:tab/>
        <w:t>(4)</w:t>
      </w:r>
      <w:r>
        <w:tab/>
        <w:t xml:space="preserve">Subregulation (5) applies in relation to the hearing of an application for an FVRO or a VRO </w:t>
      </w:r>
      <w:r>
        <w:rPr>
          <w:iCs/>
          <w:szCs w:val="24"/>
        </w:rPr>
        <w:t xml:space="preserve">at which — </w:t>
      </w:r>
    </w:p>
    <w:p>
      <w:pPr>
        <w:pStyle w:val="zIndenta"/>
      </w:pPr>
      <w:r>
        <w:tab/>
        <w:t>(a)</w:t>
      </w:r>
      <w:r>
        <w:tab/>
        <w:t>the application was dismissed; or</w:t>
      </w:r>
    </w:p>
    <w:p>
      <w:pPr>
        <w:pStyle w:val="zIndenta"/>
        <w:rPr>
          <w:iCs/>
          <w:szCs w:val="24"/>
        </w:rPr>
      </w:pPr>
      <w:r>
        <w:tab/>
        <w:t>(b)</w:t>
      </w:r>
      <w:r>
        <w:tab/>
      </w:r>
      <w:r>
        <w:rPr>
          <w:iCs/>
          <w:szCs w:val="24"/>
        </w:rPr>
        <w:t>an interim order was made and the order —</w:t>
      </w:r>
    </w:p>
    <w:p>
      <w:pPr>
        <w:pStyle w:val="zIndenti"/>
      </w:pPr>
      <w:r>
        <w:tab/>
        <w:t>(i)</w:t>
      </w:r>
      <w:r>
        <w:tab/>
        <w:t>is still in force; or</w:t>
      </w:r>
    </w:p>
    <w:p>
      <w:pPr>
        <w:pStyle w:val="zIndenti"/>
      </w:pPr>
      <w:r>
        <w:tab/>
        <w:t>(ii)</w:t>
      </w:r>
      <w:r>
        <w:tab/>
        <w:t xml:space="preserve">has become a final order under the </w:t>
      </w:r>
      <w:r>
        <w:rPr>
          <w:i/>
        </w:rPr>
        <w:t>Restraining Orders Act 1997</w:t>
      </w:r>
      <w:r>
        <w:rPr>
          <w:iCs/>
        </w:rPr>
        <w:t xml:space="preserve"> </w:t>
      </w:r>
      <w:r>
        <w:t>section 32(2).</w:t>
      </w:r>
    </w:p>
    <w:p>
      <w:pPr>
        <w:pStyle w:val="zSubsection"/>
      </w:pPr>
      <w:r>
        <w:tab/>
        <w:t>(5)</w:t>
      </w:r>
      <w:r>
        <w:tab/>
        <w:t>A registrar must waive the fee under Schedule 1 Division 1 item 7(a) for a copy of the transcript of the hearing, or a part of the transcript, when requested by the applicant or the respondent if the applicant or respondent (as is relevant) has not previously obtained a copy of the transcript or part.</w:t>
      </w:r>
    </w:p>
    <w:p>
      <w:pPr>
        <w:pStyle w:val="BlankClose"/>
      </w:pPr>
    </w:p>
    <w:p>
      <w:pPr>
        <w:pStyle w:val="Heading2"/>
      </w:pPr>
      <w:bookmarkStart w:id="25" w:name="_Toc184297618"/>
      <w:bookmarkStart w:id="26" w:name="_Toc184297684"/>
      <w:bookmarkStart w:id="27" w:name="_Toc184297711"/>
      <w:bookmarkStart w:id="28" w:name="_Toc184297784"/>
      <w:bookmarkStart w:id="29" w:name="_Toc184723959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Magistrates Court (Fees) Regulations 2005</w:t>
      </w:r>
      <w:r>
        <w:rPr>
          <w:rStyle w:val="CharPartText"/>
        </w:rPr>
        <w:t xml:space="preserve"> amended</w:t>
      </w:r>
      <w:bookmarkEnd w:id="25"/>
      <w:bookmarkEnd w:id="26"/>
      <w:bookmarkEnd w:id="27"/>
      <w:bookmarkEnd w:id="28"/>
      <w:bookmarkEnd w:id="29"/>
    </w:p>
    <w:p>
      <w:pPr>
        <w:pStyle w:val="Heading5"/>
        <w:rPr>
          <w:snapToGrid w:val="0"/>
        </w:rPr>
      </w:pPr>
      <w:bookmarkStart w:id="30" w:name="_Toc184297619"/>
      <w:bookmarkStart w:id="31" w:name="_Toc184723960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30"/>
      <w:bookmarkEnd w:id="31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Magistrates Court (Fees) Regulations 2005</w:t>
      </w:r>
      <w:r>
        <w:t>.</w:t>
      </w:r>
    </w:p>
    <w:p>
      <w:pPr>
        <w:pStyle w:val="Heading5"/>
      </w:pPr>
      <w:bookmarkStart w:id="32" w:name="_Toc184297620"/>
      <w:bookmarkStart w:id="33" w:name="_Toc184723961"/>
      <w:r>
        <w:rPr>
          <w:rStyle w:val="CharSectno"/>
        </w:rPr>
        <w:t>7</w:t>
      </w:r>
      <w:r>
        <w:t>.</w:t>
      </w:r>
      <w:r>
        <w:tab/>
        <w:t>Regulation 6 amended</w:t>
      </w:r>
      <w:bookmarkEnd w:id="32"/>
      <w:bookmarkEnd w:id="33"/>
    </w:p>
    <w:p>
      <w:pPr>
        <w:pStyle w:val="Subsection"/>
      </w:pPr>
      <w:r>
        <w:tab/>
      </w:r>
      <w:r>
        <w:tab/>
        <w:t>Delete regulation 6(4).</w:t>
      </w:r>
    </w:p>
    <w:p>
      <w:pPr>
        <w:pStyle w:val="SectAltNote"/>
      </w:pPr>
      <w:r>
        <w:tab/>
        <w:t>Note: The heading to amended regulation 6 is to read:</w:t>
      </w:r>
    </w:p>
    <w:p>
      <w:pPr>
        <w:pStyle w:val="SectAltHeading"/>
      </w:pPr>
      <w:r>
        <w:tab/>
      </w:r>
      <w:r>
        <w:tab/>
        <w:t>Certain fees subject to conditions</w:t>
      </w:r>
    </w:p>
    <w:p>
      <w:pPr>
        <w:pStyle w:val="Heading5"/>
      </w:pPr>
      <w:bookmarkStart w:id="34" w:name="_Toc184297621"/>
      <w:bookmarkStart w:id="35" w:name="_Toc184723962"/>
      <w:r>
        <w:rPr>
          <w:rStyle w:val="CharSectno"/>
        </w:rPr>
        <w:t>8</w:t>
      </w:r>
      <w:r>
        <w:t>.</w:t>
      </w:r>
      <w:r>
        <w:tab/>
        <w:t>Regulation 6A replaced</w:t>
      </w:r>
      <w:bookmarkEnd w:id="34"/>
      <w:bookmarkEnd w:id="35"/>
    </w:p>
    <w:p>
      <w:pPr>
        <w:pStyle w:val="Subsection"/>
      </w:pPr>
      <w:r>
        <w:tab/>
      </w:r>
      <w:r>
        <w:tab/>
        <w:t>Delete regulation 6A and insert:</w:t>
      </w:r>
    </w:p>
    <w:p>
      <w:pPr>
        <w:pStyle w:val="BlankOpen"/>
      </w:pPr>
    </w:p>
    <w:p>
      <w:pPr>
        <w:pStyle w:val="zHeading5"/>
      </w:pPr>
      <w:bookmarkStart w:id="36" w:name="_Toc184297622"/>
      <w:bookmarkStart w:id="37" w:name="_Toc184723963"/>
      <w:r>
        <w:t>6A.</w:t>
      </w:r>
      <w:r>
        <w:tab/>
        <w:t>Certain application and transcript fees must be waived</w:t>
      </w:r>
      <w:bookmarkEnd w:id="36"/>
      <w:bookmarkEnd w:id="37"/>
    </w:p>
    <w:p>
      <w:pPr>
        <w:pStyle w:val="zSubsection"/>
      </w:pPr>
      <w:r>
        <w:tab/>
        <w:t>(1)</w:t>
      </w:r>
      <w:r>
        <w:tab/>
        <w:t xml:space="preserve">In this regulation — </w:t>
      </w:r>
    </w:p>
    <w:p>
      <w:pPr>
        <w:pStyle w:val="zDefstart"/>
      </w:pPr>
      <w:r>
        <w:tab/>
      </w:r>
      <w:r>
        <w:rPr>
          <w:rStyle w:val="CharDefText"/>
        </w:rPr>
        <w:t>applicant</w:t>
      </w:r>
      <w:r>
        <w:t xml:space="preserve">, in relation to an application for an FVRO or a VRO — </w:t>
      </w:r>
    </w:p>
    <w:p>
      <w:pPr>
        <w:pStyle w:val="zDefpara"/>
      </w:pPr>
      <w:r>
        <w:tab/>
        <w:t>(a)</w:t>
      </w:r>
      <w:r>
        <w:tab/>
        <w:t>means the person who made the application; and</w:t>
      </w:r>
    </w:p>
    <w:p>
      <w:pPr>
        <w:pStyle w:val="zDefpara"/>
      </w:pPr>
      <w:r>
        <w:tab/>
        <w:t>(b)</w:t>
      </w:r>
      <w:r>
        <w:tab/>
        <w:t>if the application was made on behalf of another person — includes that person;</w:t>
      </w:r>
    </w:p>
    <w:p>
      <w:pPr>
        <w:pStyle w:val="zDefstart"/>
      </w:pPr>
      <w:r>
        <w:tab/>
      </w:r>
      <w:r>
        <w:rPr>
          <w:rStyle w:val="CharDefText"/>
        </w:rPr>
        <w:t>FVRO</w:t>
      </w:r>
      <w:r>
        <w:t xml:space="preserve"> means a family violence restraining order made under the </w:t>
      </w:r>
      <w:r>
        <w:rPr>
          <w:i/>
        </w:rPr>
        <w:t>Restraining Orders Act 1997</w:t>
      </w:r>
      <w:r>
        <w:t>;</w:t>
      </w:r>
    </w:p>
    <w:p>
      <w:pPr>
        <w:pStyle w:val="zDefstart"/>
      </w:pPr>
      <w:r>
        <w:tab/>
      </w:r>
      <w:r>
        <w:rPr>
          <w:rStyle w:val="CharDefText"/>
        </w:rPr>
        <w:t>interim order</w:t>
      </w:r>
      <w:r>
        <w:t xml:space="preserve"> means an FVRO or a VRO made under the </w:t>
      </w:r>
      <w:r>
        <w:rPr>
          <w:i/>
        </w:rPr>
        <w:t>Restraining Orders Act 1997</w:t>
      </w:r>
      <w:r>
        <w:t xml:space="preserve"> section 29(1)(a), the duration of which is more than 72 hours;</w:t>
      </w:r>
    </w:p>
    <w:p>
      <w:pPr>
        <w:pStyle w:val="zDefstart"/>
      </w:pPr>
      <w:r>
        <w:lastRenderedPageBreak/>
        <w:tab/>
      </w:r>
      <w:r>
        <w:rPr>
          <w:rStyle w:val="CharDefText"/>
        </w:rPr>
        <w:t>respondent</w:t>
      </w:r>
      <w:r>
        <w:t xml:space="preserve">, in relation to an application for an FVRO or a VRO, has the meaning given in the </w:t>
      </w:r>
      <w:r>
        <w:rPr>
          <w:i/>
        </w:rPr>
        <w:t>Restraining Orders Act 1997</w:t>
      </w:r>
      <w:r>
        <w:t xml:space="preserve"> section 3(1);</w:t>
      </w:r>
    </w:p>
    <w:p>
      <w:pPr>
        <w:pStyle w:val="zDefstart"/>
      </w:pPr>
      <w:r>
        <w:tab/>
      </w:r>
      <w:r>
        <w:rPr>
          <w:rStyle w:val="CharDefText"/>
        </w:rPr>
        <w:t>VRO</w:t>
      </w:r>
      <w:r>
        <w:t xml:space="preserve"> means a violence restraining order made under the </w:t>
      </w:r>
      <w:r>
        <w:rPr>
          <w:i/>
        </w:rPr>
        <w:t>Restraining Orders Act 1997</w:t>
      </w:r>
      <w:r>
        <w:t>.</w:t>
      </w:r>
    </w:p>
    <w:p>
      <w:pPr>
        <w:pStyle w:val="zSubsection"/>
        <w:rPr>
          <w:iCs/>
          <w:szCs w:val="24"/>
        </w:rPr>
      </w:pPr>
      <w:r>
        <w:tab/>
        <w:t>(2)</w:t>
      </w:r>
      <w:r>
        <w:tab/>
        <w:t xml:space="preserve">Subregulation (3) applies in relation to an application for an FVRO or a VRO </w:t>
      </w:r>
      <w:r>
        <w:rPr>
          <w:iCs/>
          <w:szCs w:val="24"/>
        </w:rPr>
        <w:t xml:space="preserve">if — </w:t>
      </w:r>
    </w:p>
    <w:p>
      <w:pPr>
        <w:pStyle w:val="zIndenta"/>
      </w:pPr>
      <w:r>
        <w:tab/>
        <w:t>(a)</w:t>
      </w:r>
      <w:r>
        <w:tab/>
        <w:t>no decision has been made on the application; or</w:t>
      </w:r>
    </w:p>
    <w:p>
      <w:pPr>
        <w:pStyle w:val="zIndenta"/>
      </w:pPr>
      <w:r>
        <w:tab/>
        <w:t>(b)</w:t>
      </w:r>
      <w:r>
        <w:tab/>
        <w:t>the application was dismissed; or</w:t>
      </w:r>
    </w:p>
    <w:p>
      <w:pPr>
        <w:pStyle w:val="zIndenta"/>
      </w:pPr>
      <w:r>
        <w:tab/>
        <w:t>(c)</w:t>
      </w:r>
      <w:r>
        <w:tab/>
        <w:t>an interim order was made and the order is still in force.</w:t>
      </w:r>
    </w:p>
    <w:p>
      <w:pPr>
        <w:pStyle w:val="zSubsection"/>
      </w:pPr>
      <w:r>
        <w:tab/>
        <w:t>(3)</w:t>
      </w:r>
      <w:r>
        <w:tab/>
        <w:t>A registrar must waive the fee under Schedule 1 Division 1 item 7(a) for a copy of the application when requested by the applicant or the respondent if the applicant or respondent (as is relevant) has not previously obtained a copy of the application.</w:t>
      </w:r>
    </w:p>
    <w:p>
      <w:pPr>
        <w:pStyle w:val="zSubsection"/>
        <w:rPr>
          <w:iCs/>
          <w:szCs w:val="24"/>
        </w:rPr>
      </w:pPr>
      <w:r>
        <w:tab/>
        <w:t>(4)</w:t>
      </w:r>
      <w:r>
        <w:tab/>
        <w:t xml:space="preserve">Subregulation (5) applies in relation to the hearing of an application for an FVRO or a VRO </w:t>
      </w:r>
      <w:r>
        <w:rPr>
          <w:iCs/>
          <w:szCs w:val="24"/>
        </w:rPr>
        <w:t xml:space="preserve">at which — </w:t>
      </w:r>
    </w:p>
    <w:p>
      <w:pPr>
        <w:pStyle w:val="zIndenta"/>
      </w:pPr>
      <w:r>
        <w:tab/>
        <w:t>(a)</w:t>
      </w:r>
      <w:r>
        <w:tab/>
        <w:t>the application was dismissed; or</w:t>
      </w:r>
    </w:p>
    <w:p>
      <w:pPr>
        <w:pStyle w:val="zIndenta"/>
      </w:pPr>
      <w:r>
        <w:tab/>
        <w:t>(b)</w:t>
      </w:r>
      <w:r>
        <w:tab/>
      </w:r>
      <w:r>
        <w:rPr>
          <w:iCs/>
          <w:szCs w:val="24"/>
        </w:rPr>
        <w:t xml:space="preserve">an interim order was made and the order — </w:t>
      </w:r>
    </w:p>
    <w:p>
      <w:pPr>
        <w:pStyle w:val="zIndenti"/>
      </w:pPr>
      <w:r>
        <w:tab/>
        <w:t>(i)</w:t>
      </w:r>
      <w:r>
        <w:tab/>
        <w:t>is still in force; or</w:t>
      </w:r>
    </w:p>
    <w:p>
      <w:pPr>
        <w:pStyle w:val="zIndenti"/>
      </w:pPr>
      <w:r>
        <w:tab/>
        <w:t>(ii)</w:t>
      </w:r>
      <w:r>
        <w:tab/>
        <w:t xml:space="preserve">has become a final order under the </w:t>
      </w:r>
      <w:r>
        <w:rPr>
          <w:i/>
        </w:rPr>
        <w:t>Restraining Orders Act 1997</w:t>
      </w:r>
      <w:r>
        <w:rPr>
          <w:iCs/>
        </w:rPr>
        <w:t xml:space="preserve"> </w:t>
      </w:r>
      <w:r>
        <w:t>section 32(2).</w:t>
      </w:r>
    </w:p>
    <w:p>
      <w:pPr>
        <w:pStyle w:val="zSubsection"/>
      </w:pPr>
      <w:r>
        <w:tab/>
        <w:t>(5)</w:t>
      </w:r>
      <w:r>
        <w:tab/>
        <w:t>A registrar must waive the fee under Schedule 1 Division 1 item 8(a) for a copy of the transcript of the hearing, or a part of the transcript, when requested by the applicant or the respondent if the applicant or respondent (as is relevant) has not previously obtained a copy of the transcript or part.</w:t>
      </w:r>
    </w:p>
    <w:p>
      <w:pPr>
        <w:pStyle w:val="BlankClose"/>
      </w:pPr>
    </w:p>
    <w:p>
      <w:pPr>
        <w:pStyle w:val="ByCommand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1892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CF297DD" w14:textId="1FC3AF3C" w:rsidR="00CD78F5" w:rsidRDefault="00CD78F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164A5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1B8F24C" w14:textId="77777777" w:rsidR="00CD78F5" w:rsidRDefault="00CD78F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F340E93" w14:textId="2686C222" w:rsidR="00CD78F5" w:rsidRDefault="00CD78F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164A5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B1FE362" w14:textId="77777777" w:rsidR="00CD78F5" w:rsidRDefault="00CD78F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8" w:name="Coversheet"/>
    <w:bookmarkEnd w:id="3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Attorney General Regulations Amendment (Fees)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Attorney General Regulations Amendment (Fees)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Attorney General Regulations Amendment (Fees)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Attorney General Regulations Amendment (Fees)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205132613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111409332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1114093325_GUID" w:val="56b6246e-3c07-43f3-a864-447d1ec733bd"/>
    <w:docVar w:name="WAFER_202411271425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127142539_GUID" w:val="7d721bea-06ce-4e5f-9594-81e22a37e6ef"/>
    <w:docVar w:name="WAFER_202412051326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205132613_GUID" w:val="d8ca9dfe-fb1c-4a06-9bc5-036a846f4f6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2AB3C47D-7FB0-4BF4-8D04-22029519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5338</Characters>
  <Application>Microsoft Office Word</Application>
  <DocSecurity>0</DocSecurity>
  <Lines>190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Attorney General Regulations Amendment (Fees) Regulations 2024 - 00-00-00</dc:title>
  <dc:subject/>
  <dc:creator/>
  <cp:keywords/>
  <dc:description/>
  <cp:lastModifiedBy>Master Repository Process</cp:lastModifiedBy>
  <cp:revision>4</cp:revision>
  <cp:lastPrinted>2024-11-27T01:32:00Z</cp:lastPrinted>
  <dcterms:created xsi:type="dcterms:W3CDTF">2025-07-04T06:16:00Z</dcterms:created>
  <dcterms:modified xsi:type="dcterms:W3CDTF">2025-07-04T06:16:00Z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55156</vt:lpwstr>
  </property>
  <property fmtid="{D5CDD505-2E9C-101B-9397-08002B2CF9AE}" pid="3" name="DocumentType">
    <vt:lpwstr>Reg</vt:lpwstr>
  </property>
  <property fmtid="{D5CDD505-2E9C-101B-9397-08002B2CF9AE}" pid="4" name="AsAtDate">
    <vt:lpwstr>11 Dec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2024/254</vt:lpwstr>
  </property>
  <property fmtid="{D5CDD505-2E9C-101B-9397-08002B2CF9AE}" pid="8" name="PublishDate">
    <vt:lpwstr>11 Dec 2024</vt:lpwstr>
  </property>
  <property fmtid="{D5CDD505-2E9C-101B-9397-08002B2CF9AE}" pid="9" name="CommencementDate">
    <vt:lpwstr>20241211</vt:lpwstr>
  </property>
  <property fmtid="{D5CDD505-2E9C-101B-9397-08002B2CF9AE}" pid="10" name="CommencementAsAt">
    <vt:filetime>2024-12-10T16:00:00Z</vt:filetime>
  </property>
  <property fmtid="{D5CDD505-2E9C-101B-9397-08002B2CF9AE}" pid="11" name="CommencementYear">
    <vt:lpwstr>2024</vt:lpwstr>
  </property>
</Properties>
</file>