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Building Services (Complaint Resolution and Administration) Act 2011</w:t>
      </w:r>
      <w:r>
        <w:rPr>
          <w:noProof/>
        </w:rPr>
        <w:br/>
        <w:t>Building Services (Registration) Act 2011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Commerce Regulations Amendment (Building Services)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Commerce Regulations Amendment (Building Services)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_Toc184724101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_Toc184724102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Building Services (Complaint Resolution and Administration) Regulations 2011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_Toc184724104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4B amended</w:t>
      </w:r>
      <w:r>
        <w:tab/>
      </w:r>
      <w:r>
        <w:fldChar w:fldCharType="begin"/>
      </w:r>
      <w:r>
        <w:instrText xml:space="preserve"> PAGEREF _Toc184724105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Building Services (Registration) Regulations 2011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_Toc184724107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_Toc184724108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10 replaced</w:t>
      </w:r>
      <w:r>
        <w:tab/>
      </w:r>
      <w:r>
        <w:fldChar w:fldCharType="begin"/>
      </w:r>
      <w:r>
        <w:instrText xml:space="preserve"> PAGEREF _Toc184724109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noProof/>
        </w:rPr>
        <w:tab/>
        <w:t>Reduction, waiver and refund of fees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_Toc184724110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28L amended</w:t>
      </w:r>
      <w:r>
        <w:tab/>
      </w:r>
      <w:r>
        <w:fldChar w:fldCharType="begin"/>
      </w:r>
      <w:r>
        <w:instrText xml:space="preserve"> PAGEREF _Toc184724111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 53 replaced</w:t>
      </w:r>
      <w:r>
        <w:tab/>
      </w:r>
      <w:r>
        <w:fldChar w:fldCharType="begin"/>
      </w:r>
      <w:r>
        <w:instrText xml:space="preserve"> PAGEREF _Toc184724112 \h </w:instrText>
      </w:r>
      <w:r>
        <w:fldChar w:fldCharType="separate"/>
      </w:r>
      <w:r>
        <w:t>4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53.</w:t>
      </w:r>
      <w:r>
        <w:rPr>
          <w:noProof/>
        </w:rPr>
        <w:tab/>
        <w:t>Registration of building service contractors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_Toc184724113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54.</w:t>
      </w:r>
      <w:r>
        <w:rPr>
          <w:noProof/>
        </w:rPr>
        <w:tab/>
        <w:t>Registration of building service practitioners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_Toc184724114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Part 4 — </w:t>
      </w:r>
      <w:r>
        <w:rPr>
          <w:i/>
        </w:rPr>
        <w:t>Commerce Regulations Amendment (Building Services) Regulations 2023</w:t>
      </w:r>
      <w:r>
        <w:rPr>
          <w:iCs/>
        </w:rPr>
        <w:t xml:space="preserve"> </w:t>
      </w:r>
      <w:r>
        <w:t>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_Toc184724116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 24 deleted</w:t>
      </w:r>
      <w:r>
        <w:tab/>
      </w:r>
      <w:r>
        <w:fldChar w:fldCharType="begin"/>
      </w:r>
      <w:r>
        <w:instrText xml:space="preserve"> PAGEREF _Toc184724117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24 inserted</w:t>
      </w:r>
      <w:r>
        <w:tab/>
      </w:r>
      <w:r>
        <w:fldChar w:fldCharType="begin"/>
      </w:r>
      <w:r>
        <w:instrText xml:space="preserve"> PAGEREF _Toc184724118 \h </w:instrText>
      </w:r>
      <w:r>
        <w:fldChar w:fldCharType="separate"/>
      </w:r>
      <w:r>
        <w:t>6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24.</w:t>
      </w:r>
      <w:r>
        <w:rPr>
          <w:noProof/>
        </w:rPr>
        <w:tab/>
        <w:t>Regulation 4 amended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_Toc184724119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rPr>
          <w:iCs/>
        </w:rPr>
        <w:lastRenderedPageBreak/>
        <w:t>Building Services (Complaint Resolution and Administration) Act 2011</w:t>
      </w:r>
      <w:r>
        <w:rPr>
          <w:iCs/>
        </w:rPr>
        <w:br/>
      </w:r>
      <w:r>
        <w:t>Building Services (Registration) Act 2011</w:t>
      </w:r>
    </w:p>
    <w:p>
      <w:pPr>
        <w:pStyle w:val="NameofActReg"/>
      </w:pPr>
      <w:r>
        <w:t>Commerce Regulations Amendment (Building Services)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184297865"/>
      <w:bookmarkStart w:id="3" w:name="_Toc184297925"/>
      <w:bookmarkStart w:id="4" w:name="_Toc184298009"/>
      <w:bookmarkStart w:id="5" w:name="_Toc184298086"/>
      <w:bookmarkStart w:id="6" w:name="_Toc184724100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</w:p>
    <w:p>
      <w:pPr>
        <w:pStyle w:val="Heading5"/>
      </w:pPr>
      <w:bookmarkStart w:id="7" w:name="_Toc184297866"/>
      <w:bookmarkStart w:id="8" w:name="_Toc184724101"/>
      <w:r>
        <w:rPr>
          <w:rStyle w:val="CharSectno"/>
        </w:rPr>
        <w:t>1</w:t>
      </w:r>
      <w:r>
        <w:t>.</w:t>
      </w:r>
      <w:r>
        <w:tab/>
        <w:t>Citation</w:t>
      </w:r>
      <w:bookmarkEnd w:id="7"/>
      <w:bookmarkEnd w:id="8"/>
    </w:p>
    <w:p>
      <w:pPr>
        <w:pStyle w:val="Subsection"/>
      </w:pPr>
      <w:r>
        <w:tab/>
      </w:r>
      <w:r>
        <w:tab/>
      </w:r>
      <w:bookmarkStart w:id="9" w:name="Start_Cursor"/>
      <w:bookmarkEnd w:id="9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Commerce Regulations Amendment (Building Services) Regulations 2024</w:t>
      </w:r>
      <w:r>
        <w:t>.</w:t>
      </w:r>
    </w:p>
    <w:p>
      <w:pPr>
        <w:pStyle w:val="Heading5"/>
        <w:rPr>
          <w:spacing w:val="-2"/>
        </w:rPr>
      </w:pPr>
      <w:bookmarkStart w:id="10" w:name="_Toc184297867"/>
      <w:bookmarkStart w:id="11" w:name="_Toc18472410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2" w:name="_Toc184297868"/>
      <w:bookmarkStart w:id="13" w:name="_Toc184297928"/>
      <w:bookmarkStart w:id="14" w:name="_Toc184298012"/>
      <w:bookmarkStart w:id="15" w:name="_Toc184298089"/>
      <w:bookmarkStart w:id="16" w:name="_Toc184724103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Building Services (Complaint Resolution and Administration) Regulations 2011</w:t>
      </w:r>
      <w:r>
        <w:rPr>
          <w:rStyle w:val="CharPartText"/>
        </w:rPr>
        <w:t xml:space="preserve"> amended</w:t>
      </w:r>
      <w:bookmarkEnd w:id="12"/>
      <w:bookmarkEnd w:id="13"/>
      <w:bookmarkEnd w:id="14"/>
      <w:bookmarkEnd w:id="15"/>
      <w:bookmarkEnd w:id="16"/>
    </w:p>
    <w:p>
      <w:pPr>
        <w:pStyle w:val="Heading5"/>
        <w:rPr>
          <w:snapToGrid w:val="0"/>
        </w:rPr>
      </w:pPr>
      <w:bookmarkStart w:id="17" w:name="_Toc184297869"/>
      <w:bookmarkStart w:id="18" w:name="_Toc18472410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7"/>
      <w:bookmarkEnd w:id="18"/>
    </w:p>
    <w:p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Building Services (Complaint Resolution and Administration) Regulations 2011</w:t>
      </w:r>
      <w:r>
        <w:t>.</w:t>
      </w:r>
    </w:p>
    <w:p>
      <w:pPr>
        <w:pStyle w:val="Heading5"/>
      </w:pPr>
      <w:bookmarkStart w:id="19" w:name="_Toc184297870"/>
      <w:bookmarkStart w:id="20" w:name="_Toc184724105"/>
      <w:r>
        <w:rPr>
          <w:rStyle w:val="CharSectno"/>
        </w:rPr>
        <w:t>4</w:t>
      </w:r>
      <w:r>
        <w:t>.</w:t>
      </w:r>
      <w:r>
        <w:tab/>
        <w:t>Regulation 4B amended</w:t>
      </w:r>
      <w:bookmarkEnd w:id="19"/>
      <w:bookmarkEnd w:id="20"/>
    </w:p>
    <w:p>
      <w:pPr>
        <w:pStyle w:val="Subsection"/>
      </w:pPr>
      <w:r>
        <w:tab/>
      </w:r>
      <w:r>
        <w:tab/>
        <w:t xml:space="preserve">In regulation 4B(1) in the definition of </w:t>
      </w:r>
      <w:r>
        <w:rPr>
          <w:b/>
          <w:bCs/>
          <w:i/>
          <w:iCs/>
        </w:rPr>
        <w:t>building engineering work</w:t>
      </w:r>
      <w:r>
        <w:t xml:space="preserve"> paragraph (a)(i) and (ii) delete “for a class of registration;”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of the kind carried out by a building service practitioner in a class of building engineering practitioner listed in the </w:t>
      </w:r>
      <w:r>
        <w:rPr>
          <w:i/>
        </w:rPr>
        <w:t>Building Services (Registration) Regulations 2011</w:t>
      </w:r>
      <w:r>
        <w:t xml:space="preserve"> regulation 6(1);</w:t>
      </w:r>
    </w:p>
    <w:p>
      <w:pPr>
        <w:pStyle w:val="BlankClose"/>
      </w:pPr>
    </w:p>
    <w:p>
      <w:pPr>
        <w:pStyle w:val="Heading2"/>
      </w:pPr>
      <w:bookmarkStart w:id="21" w:name="_Toc184297871"/>
      <w:bookmarkStart w:id="22" w:name="_Toc184297931"/>
      <w:bookmarkStart w:id="23" w:name="_Toc184298015"/>
      <w:bookmarkStart w:id="24" w:name="_Toc184298092"/>
      <w:bookmarkStart w:id="25" w:name="_Toc184724106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Building Services (Registration) Regulations 2011</w:t>
      </w:r>
      <w:r>
        <w:rPr>
          <w:rStyle w:val="CharPartText"/>
        </w:rPr>
        <w:t xml:space="preserve"> amended</w:t>
      </w:r>
      <w:bookmarkEnd w:id="21"/>
      <w:bookmarkEnd w:id="22"/>
      <w:bookmarkEnd w:id="23"/>
      <w:bookmarkEnd w:id="24"/>
      <w:bookmarkEnd w:id="25"/>
    </w:p>
    <w:p>
      <w:pPr>
        <w:pStyle w:val="Heading5"/>
        <w:rPr>
          <w:snapToGrid w:val="0"/>
        </w:rPr>
      </w:pPr>
      <w:bookmarkStart w:id="26" w:name="_Toc184297872"/>
      <w:bookmarkStart w:id="27" w:name="_Toc184724107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6"/>
      <w:bookmarkEnd w:id="27"/>
    </w:p>
    <w:p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Building Services (Registration) Regulations 2011</w:t>
      </w:r>
      <w:r>
        <w:t>.</w:t>
      </w:r>
    </w:p>
    <w:p>
      <w:pPr>
        <w:pStyle w:val="Heading5"/>
      </w:pPr>
      <w:bookmarkStart w:id="28" w:name="_Toc184297873"/>
      <w:bookmarkStart w:id="29" w:name="_Toc184724108"/>
      <w:r>
        <w:rPr>
          <w:rStyle w:val="CharSectno"/>
        </w:rPr>
        <w:t>6</w:t>
      </w:r>
      <w:r>
        <w:t>.</w:t>
      </w:r>
      <w:r>
        <w:tab/>
        <w:t>Regulation 4 amended</w:t>
      </w:r>
      <w:bookmarkEnd w:id="28"/>
      <w:bookmarkEnd w:id="29"/>
    </w:p>
    <w:p>
      <w:pPr>
        <w:pStyle w:val="Subsection"/>
      </w:pPr>
      <w:r>
        <w:tab/>
      </w:r>
      <w:r>
        <w:tab/>
        <w:t>Delete regulation 4(bc).</w:t>
      </w:r>
    </w:p>
    <w:p>
      <w:pPr>
        <w:pStyle w:val="Heading5"/>
      </w:pPr>
      <w:bookmarkStart w:id="30" w:name="_Toc184297874"/>
      <w:bookmarkStart w:id="31" w:name="_Toc184724109"/>
      <w:r>
        <w:rPr>
          <w:rStyle w:val="CharSectno"/>
        </w:rPr>
        <w:t>7</w:t>
      </w:r>
      <w:r>
        <w:t>.</w:t>
      </w:r>
      <w:r>
        <w:tab/>
        <w:t>Regulation 10 replaced</w:t>
      </w:r>
      <w:bookmarkEnd w:id="30"/>
      <w:bookmarkEnd w:id="31"/>
    </w:p>
    <w:p>
      <w:pPr>
        <w:pStyle w:val="Subsection"/>
      </w:pPr>
      <w:r>
        <w:tab/>
      </w:r>
      <w:r>
        <w:tab/>
        <w:t>Delete regulation 10 and insert:</w:t>
      </w:r>
    </w:p>
    <w:p>
      <w:pPr>
        <w:pStyle w:val="BlankOpen"/>
      </w:pPr>
    </w:p>
    <w:p>
      <w:pPr>
        <w:pStyle w:val="zHeading5"/>
      </w:pPr>
      <w:bookmarkStart w:id="32" w:name="_Toc184297875"/>
      <w:bookmarkStart w:id="33" w:name="_Toc184724110"/>
      <w:r>
        <w:t>10.</w:t>
      </w:r>
      <w:r>
        <w:tab/>
        <w:t>Reduction, waiver and refund of fees</w:t>
      </w:r>
      <w:bookmarkEnd w:id="32"/>
      <w:bookmarkEnd w:id="33"/>
    </w:p>
    <w:p>
      <w:pPr>
        <w:pStyle w:val="zSubsection"/>
      </w:pPr>
      <w:r>
        <w:tab/>
        <w:t>(1)</w:t>
      </w:r>
      <w:r>
        <w:tab/>
        <w:t>The Building Commissioner may reduce, waive or refund the whole or part of a fee under these regulations.</w:t>
      </w:r>
    </w:p>
    <w:p>
      <w:pPr>
        <w:pStyle w:val="zSubsection"/>
      </w:pPr>
      <w:r>
        <w:tab/>
        <w:t>(2)</w:t>
      </w:r>
      <w:r>
        <w:tab/>
        <w:t xml:space="preserve">The Building Commissioner may do so — </w:t>
      </w:r>
    </w:p>
    <w:p>
      <w:pPr>
        <w:pStyle w:val="zIndenta"/>
      </w:pPr>
      <w:r>
        <w:tab/>
        <w:t>(a)</w:t>
      </w:r>
      <w:r>
        <w:tab/>
        <w:t>on their own initiative; or</w:t>
      </w:r>
    </w:p>
    <w:p>
      <w:pPr>
        <w:pStyle w:val="zIndenta"/>
      </w:pPr>
      <w:r>
        <w:tab/>
        <w:t>(b)</w:t>
      </w:r>
      <w:r>
        <w:tab/>
        <w:t>on application by a person in the manner and form approved by the Building Commissioner.</w:t>
      </w:r>
    </w:p>
    <w:p>
      <w:pPr>
        <w:pStyle w:val="BlankClose"/>
      </w:pPr>
    </w:p>
    <w:p>
      <w:pPr>
        <w:pStyle w:val="Heading5"/>
      </w:pPr>
      <w:bookmarkStart w:id="34" w:name="_Toc184297876"/>
      <w:bookmarkStart w:id="35" w:name="_Toc184724111"/>
      <w:r>
        <w:rPr>
          <w:rStyle w:val="CharSectno"/>
        </w:rPr>
        <w:t>8</w:t>
      </w:r>
      <w:r>
        <w:t>.</w:t>
      </w:r>
      <w:r>
        <w:tab/>
        <w:t>Regulation 28L amended</w:t>
      </w:r>
      <w:bookmarkEnd w:id="34"/>
      <w:bookmarkEnd w:id="35"/>
    </w:p>
    <w:p>
      <w:pPr>
        <w:pStyle w:val="Subsection"/>
      </w:pPr>
      <w:r>
        <w:tab/>
      </w:r>
      <w:r>
        <w:tab/>
        <w:t>In regulation 28L(2)(a), (b), (c) and (d) after “building engineering” (1</w:t>
      </w:r>
      <w:r>
        <w:rPr>
          <w:vertAlign w:val="superscript"/>
        </w:rPr>
        <w:t>st</w:t>
      </w:r>
      <w:r>
        <w:t xml:space="preserve"> occurrence)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work</w:t>
      </w:r>
    </w:p>
    <w:p>
      <w:pPr>
        <w:pStyle w:val="BlankClose"/>
      </w:pPr>
    </w:p>
    <w:p>
      <w:pPr>
        <w:pStyle w:val="Heading5"/>
      </w:pPr>
      <w:bookmarkStart w:id="36" w:name="_Toc184297877"/>
      <w:bookmarkStart w:id="37" w:name="_Toc184724112"/>
      <w:r>
        <w:rPr>
          <w:rStyle w:val="CharSectno"/>
        </w:rPr>
        <w:lastRenderedPageBreak/>
        <w:t>9</w:t>
      </w:r>
      <w:r>
        <w:t>.</w:t>
      </w:r>
      <w:r>
        <w:tab/>
        <w:t>Regulation 53 replaced</w:t>
      </w:r>
      <w:bookmarkEnd w:id="36"/>
      <w:bookmarkEnd w:id="37"/>
    </w:p>
    <w:p>
      <w:pPr>
        <w:pStyle w:val="Subsection"/>
      </w:pPr>
      <w:r>
        <w:tab/>
      </w:r>
      <w:r>
        <w:tab/>
        <w:t>Delete regulation 53 and insert:</w:t>
      </w:r>
    </w:p>
    <w:p>
      <w:pPr>
        <w:pStyle w:val="BlankOpen"/>
      </w:pPr>
    </w:p>
    <w:p>
      <w:pPr>
        <w:pStyle w:val="zHeading5"/>
      </w:pPr>
      <w:bookmarkStart w:id="38" w:name="_Toc184297878"/>
      <w:bookmarkStart w:id="39" w:name="_Toc184724113"/>
      <w:r>
        <w:t>53.</w:t>
      </w:r>
      <w:r>
        <w:tab/>
        <w:t>Registration of building service contractors</w:t>
      </w:r>
      <w:bookmarkEnd w:id="38"/>
      <w:bookmarkEnd w:id="39"/>
    </w:p>
    <w:p>
      <w:pPr>
        <w:pStyle w:val="zSubsection"/>
      </w:pPr>
      <w:r>
        <w:tab/>
        <w:t>(1)</w:t>
      </w:r>
      <w:r>
        <w:tab/>
        <w:t>If a person applies for registration as a building service contractor in a class of building engineering contractor listed in regulation 6(2) before 1 July 2026, the registration fee for the person is reduced by 50%.</w:t>
      </w:r>
    </w:p>
    <w:p>
      <w:pPr>
        <w:pStyle w:val="zSubsection"/>
      </w:pPr>
      <w:r>
        <w:tab/>
        <w:t>(2)</w:t>
      </w:r>
      <w:r>
        <w:tab/>
        <w:t xml:space="preserve">If a person applies for registration as a building service contractor in a class of building engineering contractor listed in regulation 6(2) before 1 January 2027 and their application is not determined by the Board before 1 July 2027, the person is taken to be registered as a building service contractor in that class during the period beginning on 1 July 2027 and ending on the day on which — </w:t>
      </w:r>
    </w:p>
    <w:p>
      <w:pPr>
        <w:pStyle w:val="zIndenta"/>
      </w:pPr>
      <w:r>
        <w:tab/>
        <w:t>(a)</w:t>
      </w:r>
      <w:r>
        <w:tab/>
        <w:t>the person is registered; or</w:t>
      </w:r>
    </w:p>
    <w:p>
      <w:pPr>
        <w:pStyle w:val="zIndenta"/>
      </w:pPr>
      <w:r>
        <w:tab/>
        <w:t>(b)</w:t>
      </w:r>
      <w:r>
        <w:tab/>
        <w:t>if their application is refused — the person is notified of the refusal.</w:t>
      </w:r>
    </w:p>
    <w:p>
      <w:pPr>
        <w:pStyle w:val="zSubsection"/>
      </w:pPr>
      <w:r>
        <w:tab/>
        <w:t>(3)</w:t>
      </w:r>
      <w:r>
        <w:tab/>
        <w:t>An application is determined, for the purposes of subregulation (2), when the Board deals with the application by registering, or refusing to register, the applicant.</w:t>
      </w:r>
    </w:p>
    <w:p>
      <w:pPr>
        <w:pStyle w:val="zSubsection"/>
      </w:pPr>
      <w:r>
        <w:tab/>
        <w:t>(4)</w:t>
      </w:r>
      <w:r>
        <w:tab/>
        <w:t>While a person is taken to be registered in a class of building engineering contractor under subregulation (2), they are also taken to have a nominated supervisor for that class.</w:t>
      </w:r>
    </w:p>
    <w:p>
      <w:pPr>
        <w:pStyle w:val="zPermNoteHeading"/>
        <w:keepNext/>
      </w:pPr>
      <w:r>
        <w:tab/>
        <w:t>Note for this regulation:</w:t>
      </w:r>
    </w:p>
    <w:p>
      <w:pPr>
        <w:pStyle w:val="zPermNoteText"/>
      </w:pPr>
      <w:r>
        <w:tab/>
      </w:r>
      <w:r>
        <w:tab/>
        <w:t xml:space="preserve">Registration as a building service contractor in a class of building engineering contractor listed in regulation 6(2) before 1 July 2027 is in advance of building engineering work becoming, on 1 July 2027, a prescribed building service; see the </w:t>
      </w:r>
      <w:r>
        <w:rPr>
          <w:i/>
          <w:iCs/>
        </w:rPr>
        <w:t xml:space="preserve">Commerce Regulations Amendment </w:t>
      </w:r>
      <w:r>
        <w:rPr>
          <w:i/>
          <w:iCs/>
        </w:rPr>
        <w:lastRenderedPageBreak/>
        <w:t>(Building Services) Regulations 2023</w:t>
      </w:r>
      <w:r>
        <w:t xml:space="preserve"> as amended by the </w:t>
      </w:r>
      <w:r>
        <w:rPr>
          <w:i/>
          <w:iCs/>
        </w:rPr>
        <w:t>Commerce Regulations Amendment (Building Services) Regulations 2024</w:t>
      </w:r>
      <w:r>
        <w:t xml:space="preserve"> Part 4.</w:t>
      </w:r>
    </w:p>
    <w:p>
      <w:pPr>
        <w:pStyle w:val="zHeading5"/>
      </w:pPr>
      <w:bookmarkStart w:id="40" w:name="_Toc184297879"/>
      <w:bookmarkStart w:id="41" w:name="_Toc184724114"/>
      <w:r>
        <w:t>54.</w:t>
      </w:r>
      <w:r>
        <w:tab/>
        <w:t>Registration of building service practitioners</w:t>
      </w:r>
      <w:bookmarkEnd w:id="40"/>
      <w:bookmarkEnd w:id="41"/>
    </w:p>
    <w:p>
      <w:pPr>
        <w:pStyle w:val="zSubsection"/>
      </w:pPr>
      <w:r>
        <w:tab/>
      </w:r>
      <w:r>
        <w:tab/>
        <w:t>If a person applies for registration as a building service practitioner in a class of building engineering practitioner listed in regulation 6(1) before 1 July 2026, the registration fee for the person is reduced by 50%.</w:t>
      </w:r>
    </w:p>
    <w:p>
      <w:pPr>
        <w:pStyle w:val="BlankClose"/>
      </w:pPr>
    </w:p>
    <w:p>
      <w:pPr>
        <w:pStyle w:val="Heading2"/>
      </w:pPr>
      <w:bookmarkStart w:id="42" w:name="_Toc184297880"/>
      <w:bookmarkStart w:id="43" w:name="_Toc184297940"/>
      <w:bookmarkStart w:id="44" w:name="_Toc184298024"/>
      <w:bookmarkStart w:id="45" w:name="_Toc184298101"/>
      <w:bookmarkStart w:id="46" w:name="_Toc184724115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Commerce Regulations Amendment (Building Services) Regulations 2023</w:t>
      </w:r>
      <w:r>
        <w:rPr>
          <w:rStyle w:val="CharPartText"/>
          <w:iCs/>
        </w:rPr>
        <w:t xml:space="preserve"> </w:t>
      </w:r>
      <w:r>
        <w:rPr>
          <w:rStyle w:val="CharPartText"/>
        </w:rPr>
        <w:t>amended</w:t>
      </w:r>
      <w:bookmarkEnd w:id="42"/>
      <w:bookmarkEnd w:id="43"/>
      <w:bookmarkEnd w:id="44"/>
      <w:bookmarkEnd w:id="45"/>
      <w:bookmarkEnd w:id="46"/>
    </w:p>
    <w:p>
      <w:pPr>
        <w:pStyle w:val="Heading5"/>
        <w:rPr>
          <w:snapToGrid w:val="0"/>
        </w:rPr>
      </w:pPr>
      <w:bookmarkStart w:id="47" w:name="_Toc184297881"/>
      <w:bookmarkStart w:id="48" w:name="_Toc184724116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47"/>
      <w:bookmarkEnd w:id="48"/>
    </w:p>
    <w:p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  <w:iCs/>
        </w:rPr>
        <w:t>Commerce Regulations Amendment (Building Services) Regulations 2023</w:t>
      </w:r>
      <w:r>
        <w:t>.</w:t>
      </w:r>
    </w:p>
    <w:p>
      <w:pPr>
        <w:pStyle w:val="Heading5"/>
      </w:pPr>
      <w:bookmarkStart w:id="49" w:name="_Toc184297882"/>
      <w:bookmarkStart w:id="50" w:name="_Toc184724117"/>
      <w:r>
        <w:rPr>
          <w:rStyle w:val="CharSectno"/>
        </w:rPr>
        <w:t>11</w:t>
      </w:r>
      <w:r>
        <w:t>.</w:t>
      </w:r>
      <w:r>
        <w:tab/>
        <w:t>Regulation 24 deleted</w:t>
      </w:r>
      <w:bookmarkEnd w:id="49"/>
      <w:bookmarkEnd w:id="50"/>
    </w:p>
    <w:p>
      <w:pPr>
        <w:pStyle w:val="Subsection"/>
      </w:pPr>
      <w:r>
        <w:tab/>
      </w:r>
      <w:r>
        <w:tab/>
        <w:t>Delete regulation 24.</w:t>
      </w:r>
    </w:p>
    <w:p>
      <w:pPr>
        <w:pStyle w:val="Heading5"/>
      </w:pPr>
      <w:bookmarkStart w:id="51" w:name="_Toc184297883"/>
      <w:bookmarkStart w:id="52" w:name="_Toc184724118"/>
      <w:r>
        <w:rPr>
          <w:rStyle w:val="CharSectno"/>
        </w:rPr>
        <w:t>12</w:t>
      </w:r>
      <w:r>
        <w:t>.</w:t>
      </w:r>
      <w:r>
        <w:tab/>
        <w:t>Regulation 24 inserted</w:t>
      </w:r>
      <w:bookmarkEnd w:id="51"/>
      <w:bookmarkEnd w:id="52"/>
    </w:p>
    <w:p>
      <w:pPr>
        <w:pStyle w:val="Subsection"/>
      </w:pPr>
      <w:r>
        <w:tab/>
      </w:r>
      <w:r>
        <w:tab/>
        <w:t>At the beginning of Part 2 Division 4, insert:</w:t>
      </w:r>
    </w:p>
    <w:p>
      <w:pPr>
        <w:pStyle w:val="BlankOpen"/>
      </w:pPr>
    </w:p>
    <w:p>
      <w:pPr>
        <w:pStyle w:val="zHeading5"/>
      </w:pPr>
      <w:bookmarkStart w:id="53" w:name="_Toc184297884"/>
      <w:bookmarkStart w:id="54" w:name="_Toc184724119"/>
      <w:r>
        <w:t>24.</w:t>
      </w:r>
      <w:r>
        <w:tab/>
        <w:t>Regulation 4 amended</w:t>
      </w:r>
      <w:bookmarkEnd w:id="53"/>
      <w:bookmarkEnd w:id="54"/>
    </w:p>
    <w:p>
      <w:pPr>
        <w:pStyle w:val="zSubsection"/>
      </w:pPr>
      <w:r>
        <w:tab/>
      </w:r>
      <w:r>
        <w:tab/>
        <w:t>After regulation 4(bb) insert:</w:t>
      </w:r>
    </w:p>
    <w:p>
      <w:pPr>
        <w:pStyle w:val="BlankOpen"/>
      </w:pPr>
    </w:p>
    <w:p>
      <w:pPr>
        <w:pStyle w:val="zIndenta"/>
      </w:pPr>
      <w:r>
        <w:tab/>
        <w:t>(bc)</w:t>
      </w:r>
      <w:r>
        <w:tab/>
        <w:t>building engineering work;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59327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5D65F18" w14:textId="637754D4" w:rsidR="00550DB7" w:rsidRDefault="00550DB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D7B32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C0AE18E" w14:textId="77777777" w:rsidR="00550DB7" w:rsidRDefault="00550DB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87BC327" w14:textId="78411514" w:rsidR="00550DB7" w:rsidRDefault="00550DB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D7B32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EFA7C57" w14:textId="77777777" w:rsidR="00550DB7" w:rsidRDefault="00550DB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(Building Services)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(Building Services)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(Building Services)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(Building Services)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5" w:name="Coversheet"/>
    <w:bookmarkEnd w:id="5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0513302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240921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24092140_GUID" w:val="c008e338-3412-4a61-a505-58a39a6eab90"/>
    <w:docVar w:name="WAFER_202410311500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31150034_GUID" w:val="776df163-b9e1-449c-b9a4-548c95d2bbd1"/>
    <w:docVar w:name="WAFER_202410311553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31155312_GUID" w:val="cd8feca5-4b3d-4eb3-b463-6df795a6bf71"/>
    <w:docVar w:name="WAFER_202412051330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05133024_GUID" w:val="7e0074c8-3a63-44f7-a4f0-27bcbaeb45a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5:docId w15:val="{F3572B3E-9AAE-4241-8066-3460E325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926</Words>
  <Characters>5288</Characters>
  <Application>Microsoft Office Word</Application>
  <DocSecurity>0</DocSecurity>
  <Lines>188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Commerce Regulations Amendment (Building Services) Regulations 2024 - 00-00-00</dc:title>
  <dc:subject/>
  <dc:creator/>
  <cp:keywords/>
  <dc:description/>
  <cp:lastModifiedBy>Master Repository Process</cp:lastModifiedBy>
  <cp:revision>4</cp:revision>
  <cp:lastPrinted>2024-10-29T07:13:00Z</cp:lastPrinted>
  <dcterms:created xsi:type="dcterms:W3CDTF">2025-07-04T02:42:00Z</dcterms:created>
  <dcterms:modified xsi:type="dcterms:W3CDTF">2025-07-04T02:42:00Z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55127</vt:lpwstr>
  </property>
  <property fmtid="{D5CDD505-2E9C-101B-9397-08002B2CF9AE}" pid="3" name="DocumentType">
    <vt:lpwstr>Reg</vt:lpwstr>
  </property>
  <property fmtid="{D5CDD505-2E9C-101B-9397-08002B2CF9AE}" pid="4" name="AsAtDate">
    <vt:lpwstr>11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2024-12-10T16:00:00Z</vt:filetime>
  </property>
  <property fmtid="{D5CDD505-2E9C-101B-9397-08002B2CF9AE}" pid="8" name="CommencementYear">
    <vt:lpwstr>2024</vt:lpwstr>
  </property>
  <property fmtid="{D5CDD505-2E9C-101B-9397-08002B2CF9AE}" pid="9" name="SLAPId">
    <vt:lpwstr>2024/255</vt:lpwstr>
  </property>
  <property fmtid="{D5CDD505-2E9C-101B-9397-08002B2CF9AE}" pid="10" name="PublishDate">
    <vt:lpwstr>11 Dec 2024</vt:lpwstr>
  </property>
  <property fmtid="{D5CDD505-2E9C-101B-9397-08002B2CF9AE}" pid="11" name="CommencementDate">
    <vt:lpwstr>20241211</vt:lpwstr>
  </property>
</Properties>
</file>