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Law Application (Local Regulations)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Law Application (Local Regulations)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_Toc184724459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_Toc184724460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Rules modified (Act s. 15)</w:t>
      </w:r>
      <w:r>
        <w:tab/>
      </w:r>
      <w:r>
        <w:fldChar w:fldCharType="begin"/>
      </w:r>
      <w:r>
        <w:instrText xml:space="preserve"> PAGEREF _Toc184724461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Law Application (Local Regulations)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298789"/>
      <w:bookmarkStart w:id="3" w:name="_Toc18472445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Therapeutic Goods Law Application (Local Regulations)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298790"/>
      <w:bookmarkStart w:id="6" w:name="_Toc1847244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immediately after the </w:t>
      </w:r>
      <w:r>
        <w:rPr>
          <w:i/>
          <w:iCs/>
        </w:rPr>
        <w:t>Therapeutic Goods and Other Legislation Amendment (Vaping Reforms) Act 2024</w:t>
      </w:r>
      <w:r>
        <w:t xml:space="preserve"> (Commonwealth) comes into operation for the purposes of Part 2 of the Act.</w:t>
      </w:r>
    </w:p>
    <w:p>
      <w:pPr>
        <w:pStyle w:val="Heading5"/>
      </w:pPr>
      <w:bookmarkStart w:id="7" w:name="_Toc184298791"/>
      <w:bookmarkStart w:id="8" w:name="_Toc184724461"/>
      <w:r>
        <w:rPr>
          <w:rStyle w:val="CharSectno"/>
        </w:rPr>
        <w:t>3</w:t>
      </w:r>
      <w:r>
        <w:t>.</w:t>
      </w:r>
      <w:r>
        <w:tab/>
        <w:t>Rules modified (Act s. 15)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For the purposes of section 15 of the Act, the </w:t>
      </w:r>
      <w:r>
        <w:rPr>
          <w:i/>
          <w:iCs/>
        </w:rPr>
        <w:t>Therapeutic Goods (Medicines and OTG—Authorised Supply) Rules 2022</w:t>
      </w:r>
      <w:r>
        <w:t xml:space="preserve"> (Commonwealth) apply as if amended as set out in this regulation.</w:t>
      </w:r>
    </w:p>
    <w:p>
      <w:pPr>
        <w:pStyle w:val="Subsection"/>
        <w:keepNext/>
      </w:pPr>
      <w:r>
        <w:tab/>
        <w:t>(2)</w:t>
      </w:r>
      <w:r>
        <w:tab/>
        <w:t xml:space="preserve">In section 5A: </w:t>
      </w:r>
    </w:p>
    <w:p>
      <w:pPr>
        <w:pStyle w:val="Indenta"/>
      </w:pPr>
      <w:r>
        <w:tab/>
        <w:t>(a)</w:t>
      </w:r>
      <w:r>
        <w:tab/>
        <w:t>before subsection (3) in the heading delete “</w:t>
      </w:r>
      <w:r>
        <w:rPr>
          <w:i/>
          <w:iCs/>
        </w:rPr>
        <w:t>—with prescription</w:t>
      </w:r>
      <w:r>
        <w:t>”;</w:t>
      </w:r>
    </w:p>
    <w:p>
      <w:pPr>
        <w:pStyle w:val="Indenta"/>
        <w:keepNext/>
      </w:pPr>
      <w:r>
        <w:lastRenderedPageBreak/>
        <w:tab/>
        <w:t>(b)</w:t>
      </w:r>
      <w:r>
        <w:tab/>
        <w:t>delete subsection (3)(b) and insert:</w:t>
      </w:r>
    </w:p>
    <w:p>
      <w:pPr>
        <w:pStyle w:val="BlankOpen"/>
      </w:pPr>
    </w:p>
    <w:p>
      <w:pPr>
        <w:pStyle w:val="zMiscellaneousBody"/>
        <w:keepNext/>
        <w:tabs>
          <w:tab w:val="right" w:pos="1899"/>
          <w:tab w:val="left" w:pos="2183"/>
        </w:tabs>
        <w:spacing w:before="80"/>
        <w:ind w:left="2183" w:hanging="851"/>
      </w:pPr>
      <w:r>
        <w:tab/>
        <w:t>(b)</w:t>
      </w:r>
      <w:r>
        <w:tab/>
        <w:t xml:space="preserve">the supply is — </w:t>
      </w:r>
    </w:p>
    <w:p>
      <w:pPr>
        <w:pStyle w:val="zMiscellaneousBody"/>
        <w:tabs>
          <w:tab w:val="right" w:pos="2608"/>
          <w:tab w:val="left" w:pos="2892"/>
        </w:tabs>
        <w:spacing w:before="80"/>
        <w:ind w:left="2892" w:hanging="851"/>
        <w:rPr>
          <w:rStyle w:val="DraftersNotes"/>
          <w:b w:val="0"/>
          <w:i w:val="0"/>
          <w:sz w:val="24"/>
        </w:rPr>
      </w:pPr>
      <w:r>
        <w:tab/>
        <w:t>(i)</w:t>
      </w:r>
      <w:r>
        <w:tab/>
        <w:t xml:space="preserve">for a therapeutic good that contains nicotine — consistent with the pharmacist’s authority to supply the therapeutic good under the </w:t>
      </w:r>
      <w:r>
        <w:rPr>
          <w:i/>
        </w:rPr>
        <w:t xml:space="preserve">Medicines and Poisons Act 2014 </w:t>
      </w:r>
      <w:r>
        <w:rPr>
          <w:iCs/>
        </w:rPr>
        <w:t>(WA)</w:t>
      </w:r>
      <w:r>
        <w:t>; or</w:t>
      </w:r>
    </w:p>
    <w:p>
      <w:pPr>
        <w:pStyle w:val="zMiscellaneousBody"/>
        <w:tabs>
          <w:tab w:val="right" w:pos="2608"/>
          <w:tab w:val="left" w:pos="2892"/>
        </w:tabs>
        <w:spacing w:before="80"/>
        <w:ind w:left="2892" w:hanging="851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>for a therapeutic good that does not contain nicotine — authorised in writing by the treating practitioner; and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subsection (3)(g) delete “subsection (4)” and insert:</w:t>
      </w:r>
    </w:p>
    <w:p>
      <w:pPr>
        <w:pStyle w:val="BlankOpen"/>
      </w:pPr>
    </w:p>
    <w:p>
      <w:pPr>
        <w:pStyle w:val="zMiscellaneousBody"/>
        <w:tabs>
          <w:tab w:val="left" w:pos="1560"/>
        </w:tabs>
        <w:ind w:left="2183" w:hanging="1616"/>
      </w:pPr>
      <w:r>
        <w:tab/>
        <w:t>subsections (4) and (7)</w:t>
      </w:r>
    </w:p>
    <w:p>
      <w:pPr>
        <w:pStyle w:val="BlankClose"/>
      </w:pPr>
    </w:p>
    <w:p>
      <w:pPr>
        <w:pStyle w:val="Indenta"/>
        <w:rPr>
          <w:rStyle w:val="DraftersNotes"/>
          <w:b w:val="0"/>
          <w:bCs/>
          <w:i w:val="0"/>
          <w:iCs/>
        </w:rPr>
      </w:pPr>
      <w:r>
        <w:tab/>
        <w:t>(d)</w:t>
      </w:r>
      <w:r>
        <w:tab/>
        <w:t xml:space="preserve">before subsection (5) delete </w:t>
      </w:r>
      <w:r>
        <w:rPr>
          <w:rStyle w:val="DraftersNotes"/>
          <w:b w:val="0"/>
          <w:bCs/>
          <w:i w:val="0"/>
          <w:iCs/>
        </w:rPr>
        <w:t>“</w:t>
      </w:r>
      <w:r>
        <w:rPr>
          <w:rStyle w:val="DraftersNotes"/>
          <w:b w:val="0"/>
          <w:bCs/>
          <w:sz w:val="24"/>
          <w:szCs w:val="24"/>
        </w:rPr>
        <w:t>Supply by a pharmacist—without prescription”</w:t>
      </w:r>
      <w:r>
        <w:rPr>
          <w:rStyle w:val="DraftersNotes"/>
          <w:i w:val="0"/>
          <w:iCs/>
        </w:rPr>
        <w:t>;</w:t>
      </w:r>
    </w:p>
    <w:p>
      <w:pPr>
        <w:pStyle w:val="Indenta"/>
      </w:pPr>
      <w:r>
        <w:tab/>
        <w:t>(e)</w:t>
      </w:r>
      <w:r>
        <w:tab/>
        <w:t>delete subsections (5) and (6).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E574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1292200" w14:textId="6DC508E1" w:rsidR="0074796C" w:rsidRDefault="0074796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449C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0A4154" w14:textId="77777777" w:rsidR="0074796C" w:rsidRDefault="0074796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78F980" w14:textId="53666A03" w:rsidR="0074796C" w:rsidRDefault="0074796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449C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087001" w14:textId="77777777" w:rsidR="0074796C" w:rsidRDefault="0074796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(Local Regulations)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(Local Regulations)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(Local Regulations)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(Local Regulations)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345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061451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6145146_GUID" w:val="faa28a65-1ac8-4fd4-8a11-a121879fd8b4"/>
    <w:docVar w:name="WAFER_20241205134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4550_GUID" w:val="5410e0f6-9de1-4178-94e0-f732e8e7421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  <w15:docId w15:val="{57A357CC-343D-48F1-ADDB-3B809CBA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2023</Characters>
  <Application>Microsoft Office Word</Application>
  <DocSecurity>0</DocSecurity>
  <Lines>77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Law Application (Local Regulations) Regulations 2024 - 00-00-00</dc:title>
  <dc:subject/>
  <dc:creator/>
  <cp:keywords/>
  <dc:description/>
  <cp:lastModifiedBy>Master Repository Process</cp:lastModifiedBy>
  <cp:revision>4</cp:revision>
  <cp:lastPrinted>2024-09-27T05:42:00Z</cp:lastPrinted>
  <dcterms:created xsi:type="dcterms:W3CDTF">2025-06-13T04:51:00Z</dcterms:created>
  <dcterms:modified xsi:type="dcterms:W3CDTF">2025-06-13T04:51:00Z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55111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2024/258</vt:lpwstr>
  </property>
  <property fmtid="{D5CDD505-2E9C-101B-9397-08002B2CF9AE}" pid="8" name="PublishDate">
    <vt:lpwstr>11 Dec 2024</vt:lpwstr>
  </property>
  <property fmtid="{D5CDD505-2E9C-101B-9397-08002B2CF9AE}" pid="9" name="CommencementDate">
    <vt:lpwstr>20241211</vt:lpwstr>
  </property>
  <property fmtid="{D5CDD505-2E9C-101B-9397-08002B2CF9AE}" pid="10" name="CommencementAsAt">
    <vt:filetime>2024-12-10T16:00:00Z</vt:filetime>
  </property>
  <property fmtid="{D5CDD505-2E9C-101B-9397-08002B2CF9AE}" pid="11" name="CommencementYear">
    <vt:lpwstr>2024</vt:lpwstr>
  </property>
</Properties>
</file>