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Conservation and Land Management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Forest Management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Forest Management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_Toc184724168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_Toc184724169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_Toc184724170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_Toc184724171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Parts 3 and 10 deleted</w:t>
      </w:r>
      <w:r>
        <w:tab/>
      </w:r>
      <w:r>
        <w:fldChar w:fldCharType="begin"/>
      </w:r>
      <w:r>
        <w:instrText xml:space="preserve"> PAGEREF _Toc184724172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89 deleted</w:t>
      </w:r>
      <w:r>
        <w:tab/>
      </w:r>
      <w:r>
        <w:fldChar w:fldCharType="begin"/>
      </w:r>
      <w:r>
        <w:instrText xml:space="preserve"> PAGEREF _Toc184724173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91 replaced</w:t>
      </w:r>
      <w:r>
        <w:tab/>
      </w:r>
      <w:r>
        <w:fldChar w:fldCharType="begin"/>
      </w:r>
      <w:r>
        <w:instrText xml:space="preserve"> PAGEREF _Toc184724174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91.</w:t>
      </w:r>
      <w:r>
        <w:rPr>
          <w:noProof/>
        </w:rPr>
        <w:tab/>
        <w:t>Offence relating to fire lookout towers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92 deleted</w:t>
      </w:r>
      <w:r>
        <w:tab/>
      </w:r>
      <w:r>
        <w:fldChar w:fldCharType="begin"/>
      </w:r>
      <w:r>
        <w:instrText xml:space="preserve"> PAGEREF _Toc184724176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95 amended</w:t>
      </w:r>
      <w:r>
        <w:tab/>
      </w:r>
      <w:r>
        <w:fldChar w:fldCharType="begin"/>
      </w:r>
      <w:r>
        <w:instrText xml:space="preserve"> PAGEREF _Toc184724177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99 amended</w:t>
      </w:r>
      <w:r>
        <w:tab/>
      </w:r>
      <w:r>
        <w:fldChar w:fldCharType="begin"/>
      </w:r>
      <w:r>
        <w:instrText xml:space="preserve"> PAGEREF _Toc184724178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101 amended</w:t>
      </w:r>
      <w:r>
        <w:tab/>
      </w:r>
      <w:r>
        <w:fldChar w:fldCharType="begin"/>
      </w:r>
      <w:r>
        <w:instrText xml:space="preserve"> PAGEREF _Toc184724179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102 amended</w:t>
      </w:r>
      <w:r>
        <w:tab/>
      </w:r>
      <w:r>
        <w:fldChar w:fldCharType="begin"/>
      </w:r>
      <w:r>
        <w:instrText xml:space="preserve"> PAGEREF _Toc184724180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106 amended</w:t>
      </w:r>
      <w:r>
        <w:tab/>
      </w:r>
      <w:r>
        <w:fldChar w:fldCharType="begin"/>
      </w:r>
      <w:r>
        <w:instrText xml:space="preserve"> PAGEREF _Toc184724181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107 amended</w:t>
      </w:r>
      <w:r>
        <w:tab/>
      </w:r>
      <w:r>
        <w:fldChar w:fldCharType="begin"/>
      </w:r>
      <w:r>
        <w:instrText xml:space="preserve"> PAGEREF _Toc184724182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112 amended</w:t>
      </w:r>
      <w:r>
        <w:tab/>
      </w:r>
      <w:r>
        <w:fldChar w:fldCharType="begin"/>
      </w:r>
      <w:r>
        <w:instrText xml:space="preserve"> PAGEREF _Toc184724183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118 amended</w:t>
      </w:r>
      <w:r>
        <w:tab/>
      </w:r>
      <w:r>
        <w:fldChar w:fldCharType="begin"/>
      </w:r>
      <w:r>
        <w:instrText xml:space="preserve"> PAGEREF _Toc184724184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123 amended</w:t>
      </w:r>
      <w:r>
        <w:tab/>
      </w:r>
      <w:r>
        <w:fldChar w:fldCharType="begin"/>
      </w:r>
      <w:r>
        <w:instrText xml:space="preserve"> PAGEREF _Toc184724185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Part 17 heading amended</w:t>
      </w:r>
      <w:r>
        <w:tab/>
      </w:r>
      <w:r>
        <w:fldChar w:fldCharType="begin"/>
      </w:r>
      <w:r>
        <w:instrText xml:space="preserve"> PAGEREF _Toc184724186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126 replaced</w:t>
      </w:r>
      <w:r>
        <w:tab/>
      </w:r>
      <w:r>
        <w:fldChar w:fldCharType="begin"/>
      </w:r>
      <w:r>
        <w:instrText xml:space="preserve"> PAGEREF _Toc184724187 \h </w:instrText>
      </w:r>
      <w:r>
        <w:fldChar w:fldCharType="separate"/>
      </w:r>
      <w:r>
        <w:t>7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126.</w:t>
      </w:r>
      <w:r>
        <w:rPr>
          <w:noProof/>
        </w:rPr>
        <w:tab/>
        <w:t>Stopping and detaining vehicles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127 amended</w:t>
      </w:r>
      <w:r>
        <w:tab/>
      </w:r>
      <w:r>
        <w:fldChar w:fldCharType="begin"/>
      </w:r>
      <w:r>
        <w:instrText xml:space="preserve"> PAGEREF _Toc184724189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 128 amended</w:t>
      </w:r>
      <w:r>
        <w:tab/>
      </w:r>
      <w:r>
        <w:fldChar w:fldCharType="begin"/>
      </w:r>
      <w:r>
        <w:instrText xml:space="preserve"> PAGEREF _Toc184724190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 135 deleted</w:t>
      </w:r>
      <w:r>
        <w:tab/>
      </w:r>
      <w:r>
        <w:fldChar w:fldCharType="begin"/>
      </w:r>
      <w:r>
        <w:instrText xml:space="preserve"> PAGEREF _Toc184724191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Regulation 136 amended</w:t>
      </w:r>
      <w:r>
        <w:tab/>
      </w:r>
      <w:r>
        <w:fldChar w:fldCharType="begin"/>
      </w:r>
      <w:r>
        <w:instrText xml:space="preserve"> PAGEREF _Toc184724192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Regulations 137 to 149 deleted</w:t>
      </w:r>
      <w:r>
        <w:tab/>
      </w:r>
      <w:r>
        <w:fldChar w:fldCharType="begin"/>
      </w:r>
      <w:r>
        <w:instrText xml:space="preserve"> PAGEREF _Toc184724193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Schedule 3 deleted</w:t>
      </w:r>
      <w:r>
        <w:tab/>
      </w:r>
      <w:r>
        <w:fldChar w:fldCharType="begin"/>
      </w:r>
      <w:r>
        <w:instrText xml:space="preserve"> PAGEREF _Toc184724194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26.</w:t>
      </w:r>
      <w:r>
        <w:tab/>
        <w:t>Various references to “shall” replaced</w:t>
      </w:r>
      <w:r>
        <w:tab/>
      </w:r>
      <w:r>
        <w:fldChar w:fldCharType="begin"/>
      </w:r>
      <w:r>
        <w:instrText xml:space="preserve"> PAGEREF _Toc184724195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Conservation and Land Management Act 1984</w:t>
      </w:r>
    </w:p>
    <w:p>
      <w:pPr>
        <w:pStyle w:val="NameofActReg"/>
      </w:pPr>
      <w:r>
        <w:t>Forest Management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299063"/>
      <w:bookmarkStart w:id="3" w:name="_Toc1847241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Forest Management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299064"/>
      <w:bookmarkStart w:id="6" w:name="_Toc1847241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4299065"/>
      <w:bookmarkStart w:id="8" w:name="_Toc1847241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Forest Management Regulations 1993</w:t>
      </w:r>
      <w:r>
        <w:t>.</w:t>
      </w:r>
    </w:p>
    <w:p>
      <w:pPr>
        <w:pStyle w:val="Heading5"/>
      </w:pPr>
      <w:bookmarkStart w:id="9" w:name="_Toc184299066"/>
      <w:bookmarkStart w:id="10" w:name="_Toc184724171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2 delete “regulations, unless the contrary intention appears </w:t>
      </w:r>
      <w:r>
        <w:rPr>
          <w:snapToGrid w:val="0"/>
        </w:rPr>
        <w:t>—</w:t>
      </w:r>
      <w:r>
        <w:t>” and insert:</w:t>
      </w:r>
    </w:p>
    <w:p>
      <w:pPr>
        <w:pStyle w:val="BlankOpen"/>
      </w:pPr>
    </w:p>
    <w:p>
      <w:pPr>
        <w:pStyle w:val="Subsection"/>
        <w:rPr>
          <w:snapToGrid w:val="0"/>
        </w:rPr>
      </w:pPr>
      <w:r>
        <w:tab/>
      </w:r>
      <w:r>
        <w:tab/>
        <w:t>regulations </w:t>
      </w:r>
      <w:r>
        <w:rPr>
          <w:snapToGrid w:val="0"/>
        </w:rPr>
        <w:t>—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2 delete the definitions of: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buyer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contract of sale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contract to harvest and deliver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contractor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coupe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Crown land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district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forest produce licence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logging plan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permit</w:t>
      </w:r>
    </w:p>
    <w:p>
      <w:pPr>
        <w:pStyle w:val="Subsection"/>
      </w:pPr>
      <w:r>
        <w:tab/>
        <w:t>(3)</w:t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authorised officer</w:t>
      </w:r>
      <w:r>
        <w:t xml:space="preserve"> has the meaning given in </w:t>
      </w:r>
      <w:r>
        <w:rPr>
          <w:iCs/>
        </w:rPr>
        <w:t>section 102(1) of the Act</w:t>
      </w:r>
      <w:r>
        <w:t>;</w:t>
      </w:r>
    </w:p>
    <w:p>
      <w:pPr>
        <w:pStyle w:val="BlankClose"/>
      </w:pPr>
    </w:p>
    <w:p>
      <w:pPr>
        <w:pStyle w:val="Heading5"/>
      </w:pPr>
      <w:bookmarkStart w:id="11" w:name="_Toc184299067"/>
      <w:bookmarkStart w:id="12" w:name="_Toc184724172"/>
      <w:r>
        <w:rPr>
          <w:rStyle w:val="CharSectno"/>
        </w:rPr>
        <w:t>5</w:t>
      </w:r>
      <w:r>
        <w:t>.</w:t>
      </w:r>
      <w:r>
        <w:tab/>
        <w:t>Parts 3 and 10 deleted</w:t>
      </w:r>
      <w:bookmarkEnd w:id="11"/>
      <w:bookmarkEnd w:id="12"/>
    </w:p>
    <w:p>
      <w:pPr>
        <w:pStyle w:val="Subsection"/>
      </w:pPr>
      <w:r>
        <w:tab/>
      </w:r>
      <w:r>
        <w:tab/>
        <w:t>Delete Parts 3 and 10.</w:t>
      </w:r>
    </w:p>
    <w:p>
      <w:pPr>
        <w:pStyle w:val="Heading5"/>
      </w:pPr>
      <w:bookmarkStart w:id="13" w:name="_Toc184299068"/>
      <w:bookmarkStart w:id="14" w:name="_Toc184724173"/>
      <w:r>
        <w:rPr>
          <w:rStyle w:val="CharSectno"/>
        </w:rPr>
        <w:t>6</w:t>
      </w:r>
      <w:r>
        <w:t>.</w:t>
      </w:r>
      <w:r>
        <w:tab/>
        <w:t>Regulation 89 deleted</w:t>
      </w:r>
      <w:bookmarkEnd w:id="13"/>
      <w:bookmarkEnd w:id="14"/>
    </w:p>
    <w:p>
      <w:pPr>
        <w:pStyle w:val="Subsection"/>
      </w:pPr>
      <w:r>
        <w:tab/>
      </w:r>
      <w:r>
        <w:tab/>
        <w:t>Delete regulation 89.</w:t>
      </w:r>
    </w:p>
    <w:p>
      <w:pPr>
        <w:pStyle w:val="Heading5"/>
      </w:pPr>
      <w:bookmarkStart w:id="15" w:name="_Toc184299069"/>
      <w:bookmarkStart w:id="16" w:name="_Toc184724174"/>
      <w:r>
        <w:rPr>
          <w:rStyle w:val="CharSectno"/>
        </w:rPr>
        <w:t>7</w:t>
      </w:r>
      <w:r>
        <w:t>.</w:t>
      </w:r>
      <w:r>
        <w:tab/>
        <w:t>Regulation 91 replaced</w:t>
      </w:r>
      <w:bookmarkEnd w:id="15"/>
      <w:bookmarkEnd w:id="16"/>
    </w:p>
    <w:p>
      <w:pPr>
        <w:pStyle w:val="Subsection"/>
      </w:pPr>
      <w:r>
        <w:tab/>
      </w:r>
      <w:r>
        <w:tab/>
        <w:t>Delete regulation 91 and insert:</w:t>
      </w:r>
    </w:p>
    <w:p>
      <w:pPr>
        <w:pStyle w:val="BlankOpen"/>
      </w:pPr>
    </w:p>
    <w:p>
      <w:pPr>
        <w:pStyle w:val="zHeading5"/>
      </w:pPr>
      <w:bookmarkStart w:id="17" w:name="_Toc184299070"/>
      <w:bookmarkStart w:id="18" w:name="_Toc184724175"/>
      <w:r>
        <w:t>91.</w:t>
      </w:r>
      <w:r>
        <w:tab/>
        <w:t>Offence relating to fire lookout towers</w:t>
      </w:r>
      <w:bookmarkEnd w:id="17"/>
      <w:bookmarkEnd w:id="18"/>
    </w:p>
    <w:p>
      <w:pPr>
        <w:pStyle w:val="zSubsection"/>
      </w:pPr>
      <w:r>
        <w:tab/>
      </w:r>
      <w:r>
        <w:tab/>
        <w:t>In a State forest or timber reserve a person must not do any of the following, unless authorised by the CEO or an authorised officer —</w:t>
      </w:r>
    </w:p>
    <w:p>
      <w:pPr>
        <w:pStyle w:val="zIndenta"/>
      </w:pPr>
      <w:r>
        <w:tab/>
        <w:t>(a)</w:t>
      </w:r>
      <w:r>
        <w:tab/>
        <w:t>enter the fenced off area surrounding a fire lookout tower;</w:t>
      </w:r>
    </w:p>
    <w:p>
      <w:pPr>
        <w:pStyle w:val="zIndenta"/>
      </w:pPr>
      <w:r>
        <w:tab/>
        <w:t>(b)</w:t>
      </w:r>
      <w:r>
        <w:tab/>
        <w:t>climb a fire lookout tower;</w:t>
      </w:r>
    </w:p>
    <w:p>
      <w:pPr>
        <w:pStyle w:val="zIndenta"/>
      </w:pPr>
      <w:r>
        <w:lastRenderedPageBreak/>
        <w:tab/>
        <w:t>(c)</w:t>
      </w:r>
      <w:r>
        <w:tab/>
        <w:t>destroy, cut into, deface or in any way damage a fire lookout tower or equipment contained in, or attached to, a fire lookout tower.</w:t>
      </w:r>
    </w:p>
    <w:p>
      <w:pPr>
        <w:pStyle w:val="zPenstart"/>
      </w:pPr>
      <w:r>
        <w:tab/>
        <w:t>Penalty: a fine of $2 000.</w:t>
      </w:r>
    </w:p>
    <w:p>
      <w:pPr>
        <w:pStyle w:val="BlankClose"/>
      </w:pPr>
    </w:p>
    <w:p>
      <w:pPr>
        <w:pStyle w:val="Heading5"/>
      </w:pPr>
      <w:bookmarkStart w:id="19" w:name="_Toc184299071"/>
      <w:bookmarkStart w:id="20" w:name="_Toc184724176"/>
      <w:r>
        <w:rPr>
          <w:rStyle w:val="CharSectno"/>
        </w:rPr>
        <w:t>8</w:t>
      </w:r>
      <w:r>
        <w:t>.</w:t>
      </w:r>
      <w:r>
        <w:tab/>
        <w:t>Regulation 92 deleted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92.</w:t>
      </w:r>
    </w:p>
    <w:p>
      <w:pPr>
        <w:pStyle w:val="Heading5"/>
      </w:pPr>
      <w:bookmarkStart w:id="21" w:name="_Toc184299072"/>
      <w:bookmarkStart w:id="22" w:name="_Toc184724177"/>
      <w:r>
        <w:rPr>
          <w:rStyle w:val="CharSectno"/>
        </w:rPr>
        <w:t>9</w:t>
      </w:r>
      <w:r>
        <w:t>.</w:t>
      </w:r>
      <w:r>
        <w:tab/>
        <w:t>Regulation 95 amended</w:t>
      </w:r>
      <w:bookmarkEnd w:id="21"/>
      <w:bookmarkEnd w:id="22"/>
    </w:p>
    <w:p>
      <w:pPr>
        <w:pStyle w:val="Subsection"/>
      </w:pPr>
      <w:r>
        <w:tab/>
      </w:r>
      <w:r>
        <w:tab/>
        <w:t>In regulation 95:</w:t>
      </w:r>
    </w:p>
    <w:p>
      <w:pPr>
        <w:pStyle w:val="Indenta"/>
      </w:pPr>
      <w:r>
        <w:tab/>
        <w:t>(a)</w:t>
      </w:r>
      <w:r>
        <w:tab/>
        <w:t>delete “shall”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must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paragraphs (b) and (c) delete “a forest officer”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 authorised officer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(d) delete “a forest officer.”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 authorised officer.</w:t>
      </w:r>
    </w:p>
    <w:p>
      <w:pPr>
        <w:pStyle w:val="BlankClose"/>
      </w:pPr>
    </w:p>
    <w:p>
      <w:pPr>
        <w:pStyle w:val="Heading5"/>
      </w:pPr>
      <w:bookmarkStart w:id="23" w:name="_Toc184299073"/>
      <w:bookmarkStart w:id="24" w:name="_Toc184724178"/>
      <w:r>
        <w:rPr>
          <w:rStyle w:val="CharSectno"/>
        </w:rPr>
        <w:t>10</w:t>
      </w:r>
      <w:r>
        <w:t>.</w:t>
      </w:r>
      <w:r>
        <w:tab/>
        <w:t>Regulation 99 amended</w:t>
      </w:r>
      <w:bookmarkEnd w:id="23"/>
      <w:bookmarkEnd w:id="24"/>
    </w:p>
    <w:p>
      <w:pPr>
        <w:pStyle w:val="Subsection"/>
      </w:pPr>
      <w:r>
        <w:tab/>
      </w:r>
      <w:r>
        <w:tab/>
        <w:t>In regulation 99(2) delete “shall be taken as authorising any person —”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is taken to authorise a person —</w:t>
      </w:r>
    </w:p>
    <w:p>
      <w:pPr>
        <w:pStyle w:val="BlankClose"/>
      </w:pPr>
    </w:p>
    <w:p>
      <w:pPr>
        <w:pStyle w:val="Heading5"/>
      </w:pPr>
      <w:bookmarkStart w:id="25" w:name="_Toc184299074"/>
      <w:bookmarkStart w:id="26" w:name="_Toc184724179"/>
      <w:r>
        <w:rPr>
          <w:rStyle w:val="CharSectno"/>
        </w:rPr>
        <w:lastRenderedPageBreak/>
        <w:t>11</w:t>
      </w:r>
      <w:r>
        <w:t>.</w:t>
      </w:r>
      <w:r>
        <w:tab/>
        <w:t>Regulation 101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In regulation 101(1) delete “Except as provided in subregulation (3), a person shall”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person must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101(1) in the Penalty delete “Penalty:”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Penalty for this subregulation: a fine of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101(3).</w:t>
      </w:r>
    </w:p>
    <w:p>
      <w:pPr>
        <w:pStyle w:val="SectAltNote"/>
      </w:pPr>
      <w:r>
        <w:tab/>
        <w:t>Note: The heading to amended regulation 101 is to read:</w:t>
      </w:r>
    </w:p>
    <w:p>
      <w:pPr>
        <w:pStyle w:val="SectAltHeading"/>
      </w:pPr>
      <w:r>
        <w:tab/>
      </w:r>
      <w:r>
        <w:tab/>
      </w:r>
      <w:r>
        <w:rPr>
          <w:snapToGrid w:val="0"/>
        </w:rPr>
        <w:t>Restrictions on removing firewood from public firewood areas</w:t>
      </w:r>
    </w:p>
    <w:p>
      <w:pPr>
        <w:pStyle w:val="Heading5"/>
      </w:pPr>
      <w:bookmarkStart w:id="27" w:name="_Toc184299075"/>
      <w:bookmarkStart w:id="28" w:name="_Toc184724180"/>
      <w:r>
        <w:rPr>
          <w:rStyle w:val="CharSectno"/>
        </w:rPr>
        <w:t>12</w:t>
      </w:r>
      <w:r>
        <w:t>.</w:t>
      </w:r>
      <w:r>
        <w:tab/>
        <w:t>Regulation 102 amended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In regulation 102(1):</w:t>
      </w:r>
    </w:p>
    <w:p>
      <w:pPr>
        <w:pStyle w:val="Indenta"/>
      </w:pPr>
      <w:r>
        <w:tab/>
        <w:t>(a)</w:t>
      </w:r>
      <w:r>
        <w:tab/>
        <w:t>delete “A forest officer or a conservation and land management officer”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 authorised officer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“where the forest officer or conservation and land management officer”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if the authorised officer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(c) delete “a forest officer, conservation and land management officer”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 authorised officer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In regulation 102(1) after each of paragraphs (a) to (c)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102(2) delete “shall”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must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At the end of regulation 102(2) insert:</w:t>
      </w:r>
    </w:p>
    <w:p>
      <w:pPr>
        <w:pStyle w:val="BlankOpen"/>
      </w:pPr>
    </w:p>
    <w:p>
      <w:pPr>
        <w:pStyle w:val="zPenstart"/>
      </w:pPr>
      <w:r>
        <w:tab/>
        <w:t>Penalty for this subregulation: a fine of $2 000.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>At the end of regulation 102 delete the Penalty.</w:t>
      </w:r>
    </w:p>
    <w:p>
      <w:pPr>
        <w:pStyle w:val="Heading5"/>
      </w:pPr>
      <w:bookmarkStart w:id="29" w:name="_Toc184299076"/>
      <w:bookmarkStart w:id="30" w:name="_Toc184724181"/>
      <w:r>
        <w:rPr>
          <w:rStyle w:val="CharSectno"/>
        </w:rPr>
        <w:t>13</w:t>
      </w:r>
      <w:r>
        <w:t>.</w:t>
      </w:r>
      <w:r>
        <w:tab/>
        <w:t>Regulation 106 amended</w:t>
      </w:r>
      <w:bookmarkEnd w:id="29"/>
      <w:bookmarkEnd w:id="30"/>
    </w:p>
    <w:p>
      <w:pPr>
        <w:pStyle w:val="Subsection"/>
      </w:pPr>
      <w:r>
        <w:tab/>
      </w:r>
      <w:r>
        <w:tab/>
        <w:t>In regulation 106(4) delete “shall be” (each occurrence)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is</w:t>
      </w:r>
    </w:p>
    <w:p>
      <w:pPr>
        <w:pStyle w:val="BlankClose"/>
      </w:pPr>
    </w:p>
    <w:p>
      <w:pPr>
        <w:pStyle w:val="Heading5"/>
      </w:pPr>
      <w:bookmarkStart w:id="31" w:name="_Toc184299077"/>
      <w:bookmarkStart w:id="32" w:name="_Toc184724182"/>
      <w:r>
        <w:rPr>
          <w:rStyle w:val="CharSectno"/>
        </w:rPr>
        <w:t>14</w:t>
      </w:r>
      <w:r>
        <w:t>.</w:t>
      </w:r>
      <w:r>
        <w:tab/>
        <w:t>Regulation 107 amended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In regulation 107(2)(a) delete “shall”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must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107(3) delete “shall only have effect”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has effect only</w:t>
      </w:r>
    </w:p>
    <w:p>
      <w:pPr>
        <w:pStyle w:val="BlankClose"/>
      </w:pPr>
    </w:p>
    <w:p>
      <w:pPr>
        <w:pStyle w:val="Heading5"/>
      </w:pPr>
      <w:bookmarkStart w:id="33" w:name="_Toc184299078"/>
      <w:bookmarkStart w:id="34" w:name="_Toc184724183"/>
      <w:r>
        <w:rPr>
          <w:rStyle w:val="CharSectno"/>
        </w:rPr>
        <w:lastRenderedPageBreak/>
        <w:t>15</w:t>
      </w:r>
      <w:r>
        <w:t>.</w:t>
      </w:r>
      <w:r>
        <w:tab/>
        <w:t>Regulation 112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112 delete “shall terminate”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terminates</w:t>
      </w:r>
    </w:p>
    <w:p>
      <w:pPr>
        <w:pStyle w:val="BlankClose"/>
      </w:pPr>
    </w:p>
    <w:p>
      <w:pPr>
        <w:pStyle w:val="Heading5"/>
      </w:pPr>
      <w:bookmarkStart w:id="35" w:name="_Toc184299079"/>
      <w:bookmarkStart w:id="36" w:name="_Toc184724184"/>
      <w:r>
        <w:rPr>
          <w:rStyle w:val="CharSectno"/>
        </w:rPr>
        <w:t>16</w:t>
      </w:r>
      <w:r>
        <w:t>.</w:t>
      </w:r>
      <w:r>
        <w:tab/>
        <w:t>Regulation 118 amended</w:t>
      </w:r>
      <w:bookmarkEnd w:id="35"/>
      <w:bookmarkEnd w:id="36"/>
    </w:p>
    <w:p>
      <w:pPr>
        <w:pStyle w:val="Subsection"/>
      </w:pPr>
      <w:r>
        <w:tab/>
      </w:r>
      <w:r>
        <w:tab/>
        <w:t>In regulation 118:</w:t>
      </w:r>
    </w:p>
    <w:p>
      <w:pPr>
        <w:pStyle w:val="Indenta"/>
      </w:pPr>
      <w:r>
        <w:tab/>
        <w:t>(a)</w:t>
      </w:r>
      <w:r>
        <w:tab/>
        <w:t>delete “shall”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must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“shall be such period as an authorised person determines.”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is any period determined by an authorised person.</w:t>
      </w:r>
    </w:p>
    <w:p>
      <w:pPr>
        <w:pStyle w:val="BlankClose"/>
      </w:pPr>
    </w:p>
    <w:p>
      <w:pPr>
        <w:pStyle w:val="Heading5"/>
      </w:pPr>
      <w:bookmarkStart w:id="37" w:name="_Toc184299080"/>
      <w:bookmarkStart w:id="38" w:name="_Toc184724185"/>
      <w:r>
        <w:rPr>
          <w:rStyle w:val="CharSectno"/>
        </w:rPr>
        <w:t>17</w:t>
      </w:r>
      <w:r>
        <w:t>.</w:t>
      </w:r>
      <w:r>
        <w:tab/>
        <w:t>Regulation 123 amended</w:t>
      </w:r>
      <w:bookmarkEnd w:id="37"/>
      <w:bookmarkEnd w:id="38"/>
    </w:p>
    <w:p>
      <w:pPr>
        <w:pStyle w:val="Subsection"/>
      </w:pPr>
      <w:r>
        <w:tab/>
      </w:r>
      <w:r>
        <w:tab/>
        <w:t>In regulation 123 delete “shall give his or her”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must give the person’s</w:t>
      </w:r>
    </w:p>
    <w:p>
      <w:pPr>
        <w:pStyle w:val="BlankClose"/>
      </w:pPr>
    </w:p>
    <w:p>
      <w:pPr>
        <w:pStyle w:val="Heading5"/>
      </w:pPr>
      <w:bookmarkStart w:id="39" w:name="_Toc184299081"/>
      <w:bookmarkStart w:id="40" w:name="_Toc184724186"/>
      <w:r>
        <w:rPr>
          <w:rStyle w:val="CharSectno"/>
        </w:rPr>
        <w:t>18</w:t>
      </w:r>
      <w:r>
        <w:t>.</w:t>
      </w:r>
      <w:r>
        <w:tab/>
        <w:t>Part 17 heading amended</w:t>
      </w:r>
      <w:bookmarkEnd w:id="39"/>
      <w:bookmarkEnd w:id="40"/>
    </w:p>
    <w:p>
      <w:pPr>
        <w:pStyle w:val="Subsection"/>
      </w:pPr>
      <w:r>
        <w:tab/>
      </w:r>
      <w:r>
        <w:tab/>
        <w:t>In the heading to Part 17 delete “</w:t>
      </w:r>
      <w:r>
        <w:rPr>
          <w:b/>
          <w:sz w:val="30"/>
        </w:rPr>
        <w:t>forest</w:t>
      </w:r>
      <w:r>
        <w:t>” and insert:</w:t>
      </w:r>
    </w:p>
    <w:p>
      <w:pPr>
        <w:pStyle w:val="BlankOpen"/>
      </w:pPr>
    </w:p>
    <w:p>
      <w:pPr>
        <w:pStyle w:val="Subsection"/>
        <w:rPr>
          <w:b/>
          <w:sz w:val="30"/>
        </w:rPr>
      </w:pPr>
      <w:r>
        <w:tab/>
      </w:r>
      <w:r>
        <w:tab/>
      </w:r>
      <w:r>
        <w:rPr>
          <w:b/>
          <w:sz w:val="30"/>
        </w:rPr>
        <w:t>authorised</w:t>
      </w:r>
    </w:p>
    <w:p>
      <w:pPr>
        <w:pStyle w:val="BlankClose"/>
      </w:pPr>
    </w:p>
    <w:p>
      <w:pPr>
        <w:pStyle w:val="Heading5"/>
      </w:pPr>
      <w:bookmarkStart w:id="41" w:name="_Toc184299082"/>
      <w:bookmarkStart w:id="42" w:name="_Toc184724187"/>
      <w:r>
        <w:rPr>
          <w:rStyle w:val="CharSectno"/>
        </w:rPr>
        <w:lastRenderedPageBreak/>
        <w:t>19</w:t>
      </w:r>
      <w:r>
        <w:t>.</w:t>
      </w:r>
      <w:r>
        <w:tab/>
        <w:t>Regulation 126 replaced</w:t>
      </w:r>
      <w:bookmarkEnd w:id="41"/>
      <w:bookmarkEnd w:id="42"/>
    </w:p>
    <w:p>
      <w:pPr>
        <w:pStyle w:val="Subsection"/>
      </w:pPr>
      <w:r>
        <w:tab/>
      </w:r>
      <w:r>
        <w:tab/>
        <w:t>Delete regulation 126 and insert:</w:t>
      </w:r>
    </w:p>
    <w:p>
      <w:pPr>
        <w:pStyle w:val="BlankOpen"/>
      </w:pPr>
    </w:p>
    <w:p>
      <w:pPr>
        <w:pStyle w:val="zHeading5"/>
      </w:pPr>
      <w:bookmarkStart w:id="43" w:name="_Toc184299083"/>
      <w:bookmarkStart w:id="44" w:name="_Toc184724188"/>
      <w:r>
        <w:t>126.</w:t>
      </w:r>
      <w:r>
        <w:tab/>
        <w:t>Stopping and detaining vehicles</w:t>
      </w:r>
      <w:bookmarkEnd w:id="43"/>
      <w:bookmarkEnd w:id="44"/>
    </w:p>
    <w:p>
      <w:pPr>
        <w:pStyle w:val="zSubsection"/>
      </w:pPr>
      <w:r>
        <w:tab/>
        <w:t>(1)</w:t>
      </w:r>
      <w:r>
        <w:tab/>
        <w:t>This regulation applies to a vehicle that is being used, or that an authorised officer reasonably suspects is being used, to transport forest produce —</w:t>
      </w:r>
    </w:p>
    <w:p>
      <w:pPr>
        <w:pStyle w:val="zIndenta"/>
      </w:pPr>
      <w:r>
        <w:tab/>
        <w:t>(a)</w:t>
      </w:r>
      <w:r>
        <w:tab/>
        <w:t>in a State forest or timber reserve; or</w:t>
      </w:r>
    </w:p>
    <w:p>
      <w:pPr>
        <w:pStyle w:val="zIndenta"/>
      </w:pPr>
      <w:r>
        <w:tab/>
        <w:t>(b)</w:t>
      </w:r>
      <w:r>
        <w:tab/>
        <w:t>on a road.</w:t>
      </w:r>
    </w:p>
    <w:p>
      <w:pPr>
        <w:pStyle w:val="zSubsection"/>
      </w:pPr>
      <w:r>
        <w:tab/>
        <w:t>(2)</w:t>
      </w:r>
      <w:r>
        <w:tab/>
        <w:t>An authorised officer may direct the person in charge of a vehicle to —</w:t>
      </w:r>
    </w:p>
    <w:p>
      <w:pPr>
        <w:pStyle w:val="zIndenta"/>
      </w:pPr>
      <w:r>
        <w:tab/>
        <w:t>(a)</w:t>
      </w:r>
      <w:r>
        <w:tab/>
        <w:t>stop the vehicle; or</w:t>
      </w:r>
    </w:p>
    <w:p>
      <w:pPr>
        <w:pStyle w:val="zIndenta"/>
      </w:pPr>
      <w:r>
        <w:tab/>
        <w:t>(b)</w:t>
      </w:r>
      <w:r>
        <w:tab/>
        <w:t>move the vehicle to, and wait at, a place indicated by the authorised officer.</w:t>
      </w:r>
    </w:p>
    <w:p>
      <w:pPr>
        <w:pStyle w:val="zSubsection"/>
      </w:pPr>
      <w:r>
        <w:tab/>
        <w:t>(3)</w:t>
      </w:r>
      <w:r>
        <w:tab/>
        <w:t>A person must comply with a direction given to that person under subregulation (2).</w:t>
      </w:r>
    </w:p>
    <w:p>
      <w:pPr>
        <w:pStyle w:val="zPenstart"/>
      </w:pPr>
      <w:r>
        <w:tab/>
        <w:t>Penalty for this subregulation: a fine of $2 000.</w:t>
      </w:r>
    </w:p>
    <w:p>
      <w:pPr>
        <w:pStyle w:val="BlankClose"/>
      </w:pPr>
    </w:p>
    <w:p>
      <w:pPr>
        <w:pStyle w:val="Heading5"/>
      </w:pPr>
      <w:bookmarkStart w:id="45" w:name="_Toc184299084"/>
      <w:bookmarkStart w:id="46" w:name="_Toc184724189"/>
      <w:r>
        <w:rPr>
          <w:rStyle w:val="CharSectno"/>
        </w:rPr>
        <w:t>20</w:t>
      </w:r>
      <w:r>
        <w:t>.</w:t>
      </w:r>
      <w:r>
        <w:tab/>
        <w:t>Regulation 127 amended</w:t>
      </w:r>
      <w:bookmarkEnd w:id="45"/>
      <w:bookmarkEnd w:id="46"/>
    </w:p>
    <w:p>
      <w:pPr>
        <w:pStyle w:val="Subsection"/>
      </w:pPr>
      <w:r>
        <w:tab/>
        <w:t>(1)</w:t>
      </w:r>
      <w:r>
        <w:tab/>
        <w:t>In regulation 127(1) delete “A forest officer”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An authorised officer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127(2) delete “shall”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must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(3)</w:t>
      </w:r>
      <w:r>
        <w:tab/>
        <w:t>At the end of regulation 127(2) insert:</w:t>
      </w:r>
    </w:p>
    <w:p>
      <w:pPr>
        <w:pStyle w:val="BlankOpen"/>
      </w:pPr>
    </w:p>
    <w:p>
      <w:pPr>
        <w:pStyle w:val="zPenstart"/>
      </w:pPr>
      <w:r>
        <w:tab/>
        <w:t>Penalty for this subregulation: a fine of $2 000.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At the end of regulation 127 delete the Penalty.</w:t>
      </w:r>
    </w:p>
    <w:p>
      <w:pPr>
        <w:pStyle w:val="Heading5"/>
      </w:pPr>
      <w:bookmarkStart w:id="47" w:name="_Toc184299085"/>
      <w:bookmarkStart w:id="48" w:name="_Toc184724190"/>
      <w:r>
        <w:rPr>
          <w:rStyle w:val="CharSectno"/>
        </w:rPr>
        <w:t>21</w:t>
      </w:r>
      <w:r>
        <w:t>.</w:t>
      </w:r>
      <w:r>
        <w:tab/>
        <w:t>Regulation 128 amended</w:t>
      </w:r>
      <w:bookmarkEnd w:id="47"/>
      <w:bookmarkEnd w:id="48"/>
    </w:p>
    <w:p>
      <w:pPr>
        <w:pStyle w:val="Subsection"/>
      </w:pPr>
      <w:r>
        <w:tab/>
        <w:t>(1)</w:t>
      </w:r>
      <w:r>
        <w:tab/>
        <w:t>In regulation 128(1):</w:t>
      </w:r>
    </w:p>
    <w:p>
      <w:pPr>
        <w:pStyle w:val="Indenta"/>
      </w:pPr>
      <w:r>
        <w:tab/>
        <w:t>(a)</w:t>
      </w:r>
      <w:r>
        <w:tab/>
        <w:t>delete “a forest officer”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 authorised officer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“forest officer” (2</w:t>
      </w:r>
      <w:r>
        <w:rPr>
          <w:vertAlign w:val="superscript"/>
        </w:rPr>
        <w:t>nd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authorised officer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128(2) delete “shall”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must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At the end of regulation 128(2) insert:</w:t>
      </w:r>
    </w:p>
    <w:p>
      <w:pPr>
        <w:pStyle w:val="BlankOpen"/>
      </w:pPr>
    </w:p>
    <w:p>
      <w:pPr>
        <w:pStyle w:val="zPenstart"/>
      </w:pPr>
      <w:r>
        <w:tab/>
        <w:t>Penalty for this subregulation: a fine of $2 000.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At the end of regulation 128 delete the Penalty.</w:t>
      </w:r>
    </w:p>
    <w:p>
      <w:pPr>
        <w:pStyle w:val="Heading5"/>
      </w:pPr>
      <w:bookmarkStart w:id="49" w:name="_Toc184299086"/>
      <w:bookmarkStart w:id="50" w:name="_Toc184724191"/>
      <w:r>
        <w:rPr>
          <w:rStyle w:val="CharSectno"/>
        </w:rPr>
        <w:t>22</w:t>
      </w:r>
      <w:r>
        <w:t>.</w:t>
      </w:r>
      <w:r>
        <w:tab/>
        <w:t>Regulation 135 deleted</w:t>
      </w:r>
      <w:bookmarkEnd w:id="49"/>
      <w:bookmarkEnd w:id="50"/>
    </w:p>
    <w:p>
      <w:pPr>
        <w:pStyle w:val="Subsection"/>
      </w:pPr>
      <w:r>
        <w:tab/>
      </w:r>
      <w:r>
        <w:tab/>
        <w:t>Delete regulation 135.</w:t>
      </w:r>
    </w:p>
    <w:p>
      <w:pPr>
        <w:pStyle w:val="Heading5"/>
      </w:pPr>
      <w:bookmarkStart w:id="51" w:name="_Toc184299087"/>
      <w:bookmarkStart w:id="52" w:name="_Toc184724192"/>
      <w:r>
        <w:rPr>
          <w:rStyle w:val="CharSectno"/>
        </w:rPr>
        <w:lastRenderedPageBreak/>
        <w:t>23</w:t>
      </w:r>
      <w:r>
        <w:t>.</w:t>
      </w:r>
      <w:r>
        <w:tab/>
        <w:t>Regulation 136 amended</w:t>
      </w:r>
      <w:bookmarkEnd w:id="51"/>
      <w:bookmarkEnd w:id="52"/>
    </w:p>
    <w:p>
      <w:pPr>
        <w:pStyle w:val="Subsection"/>
        <w:keepNext/>
      </w:pPr>
      <w:r>
        <w:tab/>
        <w:t>(1)</w:t>
      </w:r>
      <w:r>
        <w:tab/>
        <w:t xml:space="preserve">In regulation 136: </w:t>
      </w:r>
    </w:p>
    <w:p>
      <w:pPr>
        <w:pStyle w:val="Indenta"/>
        <w:keepNext/>
      </w:pPr>
      <w:r>
        <w:tab/>
        <w:t>(a)</w:t>
      </w:r>
      <w:r>
        <w:tab/>
        <w:t>delete “shall”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must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“a forest officer.”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 authorised officer.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136 in the Penalty delete “Penalty:” and insert:</w:t>
      </w:r>
    </w:p>
    <w:p>
      <w:pPr>
        <w:pStyle w:val="BlankOpen"/>
      </w:pPr>
    </w:p>
    <w:p>
      <w:pPr>
        <w:pStyle w:val="Subsection"/>
        <w:rPr>
          <w:snapToGrid w:val="0"/>
        </w:rPr>
      </w:pPr>
      <w:r>
        <w:tab/>
      </w:r>
      <w:r>
        <w:tab/>
      </w:r>
      <w:r>
        <w:rPr>
          <w:snapToGrid w:val="0"/>
        </w:rPr>
        <w:t>Penalty: a fine of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136 is to read:</w:t>
      </w:r>
    </w:p>
    <w:p>
      <w:pPr>
        <w:pStyle w:val="SectAltHeading"/>
      </w:pPr>
      <w:r>
        <w:tab/>
      </w:r>
      <w:r>
        <w:tab/>
        <w:t>Prohibitions in relation to seized forest produce</w:t>
      </w:r>
    </w:p>
    <w:p>
      <w:pPr>
        <w:pStyle w:val="Heading5"/>
      </w:pPr>
      <w:bookmarkStart w:id="53" w:name="_Toc184299088"/>
      <w:bookmarkStart w:id="54" w:name="_Toc184724193"/>
      <w:r>
        <w:rPr>
          <w:rStyle w:val="CharSectno"/>
        </w:rPr>
        <w:t>24</w:t>
      </w:r>
      <w:r>
        <w:t>.</w:t>
      </w:r>
      <w:r>
        <w:tab/>
        <w:t>Regulations 137 to 149 deleted</w:t>
      </w:r>
      <w:bookmarkEnd w:id="53"/>
      <w:bookmarkEnd w:id="54"/>
    </w:p>
    <w:p>
      <w:pPr>
        <w:pStyle w:val="Subsection"/>
      </w:pPr>
      <w:r>
        <w:tab/>
      </w:r>
      <w:r>
        <w:tab/>
        <w:t>Delete regulations 137 to 149.</w:t>
      </w:r>
    </w:p>
    <w:p>
      <w:pPr>
        <w:pStyle w:val="Heading5"/>
      </w:pPr>
      <w:bookmarkStart w:id="55" w:name="_Toc184299089"/>
      <w:bookmarkStart w:id="56" w:name="_Toc184724194"/>
      <w:r>
        <w:rPr>
          <w:rStyle w:val="CharSectno"/>
        </w:rPr>
        <w:t>25</w:t>
      </w:r>
      <w:r>
        <w:t>.</w:t>
      </w:r>
      <w:r>
        <w:tab/>
        <w:t>Schedule 3 deleted</w:t>
      </w:r>
      <w:bookmarkEnd w:id="55"/>
      <w:bookmarkEnd w:id="56"/>
    </w:p>
    <w:p>
      <w:pPr>
        <w:pStyle w:val="Subsection"/>
      </w:pPr>
      <w:r>
        <w:tab/>
      </w:r>
      <w:r>
        <w:tab/>
        <w:t>Delete Schedule 3.</w:t>
      </w:r>
    </w:p>
    <w:p>
      <w:pPr>
        <w:pStyle w:val="Heading5"/>
      </w:pPr>
      <w:bookmarkStart w:id="57" w:name="_Toc184299090"/>
      <w:bookmarkStart w:id="58" w:name="_Toc184724195"/>
      <w:r>
        <w:rPr>
          <w:rStyle w:val="CharSectno"/>
        </w:rPr>
        <w:t>26</w:t>
      </w:r>
      <w:r>
        <w:t>.</w:t>
      </w:r>
      <w:r>
        <w:tab/>
        <w:t>Various references to “shall” replaced</w:t>
      </w:r>
      <w:bookmarkEnd w:id="57"/>
      <w:bookmarkEnd w:id="58"/>
    </w:p>
    <w:p>
      <w:pPr>
        <w:pStyle w:val="Subsection"/>
      </w:pPr>
      <w:r>
        <w:tab/>
      </w:r>
      <w:r>
        <w:tab/>
        <w:t>In the provisions listed in the Table delete “shall” (each occurrence)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must</w:t>
      </w:r>
    </w:p>
    <w:p>
      <w:pPr>
        <w:pStyle w:val="BlankClose"/>
      </w:pPr>
    </w:p>
    <w:p>
      <w:pPr>
        <w:pStyle w:val="THeading"/>
      </w:pPr>
      <w:r>
        <w:lastRenderedPageBreak/>
        <w:t>Table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jc w:val="center"/>
        </w:trPr>
        <w:tc>
          <w:tcPr>
            <w:tcW w:w="3402" w:type="dxa"/>
            <w:noWrap/>
          </w:tcPr>
          <w:p>
            <w:pPr>
              <w:pStyle w:val="TableAm"/>
            </w:pPr>
            <w:r>
              <w:t>r. 96</w:t>
            </w:r>
          </w:p>
        </w:tc>
        <w:tc>
          <w:tcPr>
            <w:tcW w:w="3402" w:type="dxa"/>
            <w:noWrap/>
          </w:tcPr>
          <w:p>
            <w:pPr>
              <w:pStyle w:val="TableAm"/>
            </w:pPr>
            <w:r>
              <w:t>r. 111</w:t>
            </w:r>
          </w:p>
        </w:tc>
      </w:tr>
      <w:tr>
        <w:trPr>
          <w:cantSplit/>
          <w:jc w:val="center"/>
        </w:trPr>
        <w:tc>
          <w:tcPr>
            <w:tcW w:w="3402" w:type="dxa"/>
            <w:noWrap/>
          </w:tcPr>
          <w:p>
            <w:pPr>
              <w:pStyle w:val="TableAm"/>
            </w:pPr>
            <w:r>
              <w:t>r. 113</w:t>
            </w:r>
          </w:p>
        </w:tc>
        <w:tc>
          <w:tcPr>
            <w:tcW w:w="3402" w:type="dxa"/>
            <w:noWrap/>
          </w:tcPr>
          <w:p>
            <w:pPr>
              <w:pStyle w:val="TableAm"/>
            </w:pPr>
            <w:r>
              <w:t>r. 119</w:t>
            </w:r>
          </w:p>
        </w:tc>
      </w:tr>
      <w:tr>
        <w:trPr>
          <w:cantSplit/>
          <w:jc w:val="center"/>
        </w:trPr>
        <w:tc>
          <w:tcPr>
            <w:tcW w:w="3402" w:type="dxa"/>
            <w:noWrap/>
          </w:tcPr>
          <w:p>
            <w:pPr>
              <w:pStyle w:val="TableAm"/>
            </w:pPr>
            <w:r>
              <w:t>r. 124</w:t>
            </w:r>
          </w:p>
        </w:tc>
        <w:tc>
          <w:tcPr>
            <w:tcW w:w="3402" w:type="dxa"/>
            <w:noWrap/>
          </w:tcPr>
          <w:p>
            <w:pPr>
              <w:pStyle w:val="TableAm"/>
            </w:pPr>
            <w:r>
              <w:t>r. 125</w:t>
            </w:r>
          </w:p>
        </w:tc>
      </w:tr>
    </w:tbl>
    <w:p>
      <w:pPr>
        <w:pStyle w:val="SectAltNote"/>
      </w:pPr>
      <w:r>
        <w:tab/>
        <w:t>Note:</w:t>
      </w:r>
      <w:r>
        <w:tab/>
        <w:t>The headings to the amended regulations listed in the Table are to read as set out in the Table.</w:t>
      </w:r>
    </w:p>
    <w:p>
      <w:pPr>
        <w:pStyle w:val="THeadingAmNote"/>
      </w:pPr>
      <w:r>
        <w:t>Table</w:t>
      </w:r>
    </w:p>
    <w:tbl>
      <w:tblPr>
        <w:tblW w:w="0" w:type="auto"/>
        <w:tblInd w:w="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57" w:type="dxa"/>
        </w:tblCellMar>
        <w:tblLook w:val="0000" w:firstRow="0" w:lastRow="0" w:firstColumn="0" w:lastColumn="0" w:noHBand="0" w:noVBand="0"/>
      </w:tblPr>
      <w:tblGrid>
        <w:gridCol w:w="1843"/>
        <w:gridCol w:w="4253"/>
      </w:tblGrid>
      <w:tr>
        <w:trPr>
          <w:cantSplit/>
          <w:tblHeader/>
        </w:trPr>
        <w:tc>
          <w:tcPr>
            <w:tcW w:w="1843" w:type="dxa"/>
            <w:vAlign w:val="center"/>
          </w:tcPr>
          <w:p>
            <w:pPr>
              <w:pStyle w:val="TableAmNote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Amended regulation</w:t>
            </w:r>
          </w:p>
        </w:tc>
        <w:tc>
          <w:tcPr>
            <w:tcW w:w="4253" w:type="dxa"/>
            <w:vAlign w:val="center"/>
          </w:tcPr>
          <w:p>
            <w:pPr>
              <w:pStyle w:val="TableAmNote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 heading</w:t>
            </w:r>
          </w:p>
        </w:tc>
      </w:tr>
      <w:tr>
        <w:trPr>
          <w:cantSplit/>
        </w:trPr>
        <w:tc>
          <w:tcPr>
            <w:tcW w:w="1843" w:type="dxa"/>
          </w:tcPr>
          <w:p>
            <w:pPr>
              <w:pStyle w:val="TableAmNote"/>
            </w:pPr>
            <w:r>
              <w:t>r. 96</w:t>
            </w:r>
          </w:p>
        </w:tc>
        <w:tc>
          <w:tcPr>
            <w:tcW w:w="4253" w:type="dxa"/>
          </w:tcPr>
          <w:p>
            <w:pPr>
              <w:pStyle w:val="TableAmNote"/>
              <w:rPr>
                <w:b/>
                <w:bCs/>
              </w:rPr>
            </w:pPr>
            <w:r>
              <w:rPr>
                <w:b/>
              </w:rPr>
              <w:t>Person marking out must not establish camp, fuel depot or parking area in State forest or timber reserve</w:t>
            </w:r>
          </w:p>
        </w:tc>
      </w:tr>
      <w:tr>
        <w:trPr>
          <w:cantSplit/>
        </w:trPr>
        <w:tc>
          <w:tcPr>
            <w:tcW w:w="1843" w:type="dxa"/>
          </w:tcPr>
          <w:p>
            <w:pPr>
              <w:pStyle w:val="TableAmNote"/>
            </w:pPr>
            <w:r>
              <w:t>r. 124</w:t>
            </w:r>
          </w:p>
        </w:tc>
        <w:tc>
          <w:tcPr>
            <w:tcW w:w="4253" w:type="dxa"/>
          </w:tcPr>
          <w:p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  <w:szCs w:val="18"/>
              </w:rPr>
              <w:t>Obligations of person driving or moving potential carrier</w:t>
            </w:r>
          </w:p>
        </w:tc>
      </w:tr>
      <w:tr>
        <w:trPr>
          <w:cantSplit/>
        </w:trPr>
        <w:tc>
          <w:tcPr>
            <w:tcW w:w="1843" w:type="dxa"/>
          </w:tcPr>
          <w:p>
            <w:pPr>
              <w:pStyle w:val="TableAmNote"/>
            </w:pPr>
            <w:r>
              <w:t>r. 125</w:t>
            </w:r>
          </w:p>
        </w:tc>
        <w:tc>
          <w:tcPr>
            <w:tcW w:w="4253" w:type="dxa"/>
          </w:tcPr>
          <w:p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  <w:snapToGrid w:val="0"/>
              </w:rPr>
              <w:t>Person must not obstruct or hinder authorised person</w:t>
            </w:r>
          </w:p>
        </w:tc>
      </w:tr>
    </w:tbl>
    <w:p>
      <w:pPr>
        <w:pStyle w:val="SectAltNote"/>
      </w:pPr>
      <w:r>
        <w:tab/>
        <w:t>Note:</w:t>
      </w:r>
      <w:r>
        <w:tab/>
        <w:t>The headings to the regulations listed in the Table are to read as set out in the Table.</w:t>
      </w:r>
    </w:p>
    <w:p>
      <w:pPr>
        <w:pStyle w:val="THeadingAmNote"/>
      </w:pPr>
      <w:r>
        <w:t>Table</w:t>
      </w:r>
    </w:p>
    <w:tbl>
      <w:tblPr>
        <w:tblW w:w="0" w:type="auto"/>
        <w:tblInd w:w="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57" w:type="dxa"/>
        </w:tblCellMar>
        <w:tblLook w:val="0000" w:firstRow="0" w:lastRow="0" w:firstColumn="0" w:lastColumn="0" w:noHBand="0" w:noVBand="0"/>
      </w:tblPr>
      <w:tblGrid>
        <w:gridCol w:w="1843"/>
        <w:gridCol w:w="4253"/>
      </w:tblGrid>
      <w:tr>
        <w:trPr>
          <w:cantSplit/>
          <w:tblHeader/>
        </w:trPr>
        <w:tc>
          <w:tcPr>
            <w:tcW w:w="1843" w:type="dxa"/>
          </w:tcPr>
          <w:p>
            <w:pPr>
              <w:pStyle w:val="TableAmNote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</w:t>
            </w:r>
          </w:p>
        </w:tc>
        <w:tc>
          <w:tcPr>
            <w:tcW w:w="4253" w:type="dxa"/>
          </w:tcPr>
          <w:p>
            <w:pPr>
              <w:pStyle w:val="TableAmNote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 heading</w:t>
            </w:r>
          </w:p>
        </w:tc>
      </w:tr>
      <w:tr>
        <w:trPr>
          <w:cantSplit/>
        </w:trPr>
        <w:tc>
          <w:tcPr>
            <w:tcW w:w="1843" w:type="dxa"/>
          </w:tcPr>
          <w:p>
            <w:pPr>
              <w:pStyle w:val="TableAmNote"/>
            </w:pPr>
            <w:r>
              <w:t>r. 117</w:t>
            </w:r>
          </w:p>
        </w:tc>
        <w:tc>
          <w:tcPr>
            <w:tcW w:w="4253" w:type="dxa"/>
          </w:tcPr>
          <w:p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Establishment and maintenance of quarantine stations</w:t>
            </w:r>
          </w:p>
        </w:tc>
      </w:tr>
      <w:tr>
        <w:trPr>
          <w:cantSplit/>
        </w:trPr>
        <w:tc>
          <w:tcPr>
            <w:tcW w:w="1843" w:type="dxa"/>
          </w:tcPr>
          <w:p>
            <w:pPr>
              <w:pStyle w:val="TableAmNote"/>
            </w:pPr>
            <w:r>
              <w:t>r. 120</w:t>
            </w:r>
          </w:p>
        </w:tc>
        <w:tc>
          <w:tcPr>
            <w:tcW w:w="4253" w:type="dxa"/>
          </w:tcPr>
          <w:p>
            <w:pPr>
              <w:pStyle w:val="TableAmNote"/>
              <w:rPr>
                <w:b/>
                <w:bCs/>
              </w:rPr>
            </w:pPr>
            <w:r>
              <w:rPr>
                <w:b/>
                <w:bCs/>
              </w:rPr>
              <w:t>Owner to identify person in charge of carrier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94AF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2550DA1" w14:textId="65CC12EB" w:rsidR="008F7878" w:rsidRDefault="008F78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B0EE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F8A610" w14:textId="77777777" w:rsidR="008F7878" w:rsidRDefault="008F78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07A615" w14:textId="5292A53D" w:rsidR="008F7878" w:rsidRDefault="008F787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B0EE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7B272F" w14:textId="77777777" w:rsidR="008F7878" w:rsidRDefault="008F787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Forest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Forest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Forest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Forest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9" w:name="Coversheet"/>
    <w:bookmarkEnd w:id="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50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51546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5154615_GUID" w:val="03e1ae36-21a6-4ca3-97e9-ecfdf3837bce"/>
    <w:docVar w:name="WAFER_202411111130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1113028_GUID" w:val="6a305f67-14e5-4e4e-a497-e1bea3ebcd8c"/>
    <w:docVar w:name="WAFER_202412051350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5019_GUID" w:val="99eca183-13cd-42e8-9751-2c5cb007d9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149253AC-DB7E-4A39-BACF-22AB47E9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1495</Words>
  <Characters>7598</Characters>
  <Application>Microsoft Office Word</Application>
  <DocSecurity>0</DocSecurity>
  <Lines>399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Management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2025-06-09T03:32:00Z</dcterms:created>
  <dcterms:modified xsi:type="dcterms:W3CDTF">2025-06-09T03:32:00Z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55102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2024/259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