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District Court of Western Australia Act 1969</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District Court (Fees) Amendment Regulations (No. 2)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(Fees) Amendment Regulations (No. 2)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_Toc184724120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_Toc184724121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_Toc184724122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6 amended</w:t>
      </w:r>
      <w:r>
        <w:tab/>
      </w:r>
      <w:r>
        <w:fldChar w:fldCharType="begin"/>
      </w:r>
      <w:r>
        <w:instrText xml:space="preserve"> PAGEREF _Toc184724123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9 amended</w:t>
      </w:r>
      <w:r>
        <w:tab/>
      </w:r>
      <w:r>
        <w:fldChar w:fldCharType="begin"/>
      </w:r>
      <w:r>
        <w:instrText xml:space="preserve"> PAGEREF _Toc184724124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10 replaced</w:t>
      </w:r>
      <w:r>
        <w:tab/>
      </w:r>
      <w:r>
        <w:fldChar w:fldCharType="begin"/>
      </w:r>
      <w:r>
        <w:instrText xml:space="preserve"> PAGEREF _Toc184724125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10.</w:t>
      </w:r>
      <w:r>
        <w:rPr>
          <w:noProof/>
        </w:rPr>
        <w:tab/>
        <w:t>Schedule 1 item 8 fee</w:t>
      </w:r>
      <w:r>
        <w:rPr>
          <w:noProof/>
        </w:rPr>
        <w:tab/>
      </w:r>
      <w:r>
        <w:rPr>
          <w:noProof/>
        </w:rPr>
        <w:fldChar w:fldCharType="begin"/>
      </w:r>
      <w:r>
        <w:rPr>
          <w:noProof/>
        </w:rPr>
        <w:instrText xml:space="preserve"> PAGEREF _Toc184724126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7.</w:t>
      </w:r>
      <w:r>
        <w:tab/>
        <w:t>Schedule 1 amended</w:t>
      </w:r>
      <w:r>
        <w:tab/>
      </w:r>
      <w:r>
        <w:fldChar w:fldCharType="begin"/>
      </w:r>
      <w:r>
        <w:instrText xml:space="preserve"> PAGEREF _Toc184724127 \h </w:instrText>
      </w:r>
      <w:r>
        <w:fldChar w:fldCharType="separate"/>
      </w:r>
      <w:r>
        <w:t>3</w:t>
      </w:r>
      <w:r>
        <w:fldChar w:fldCharType="end"/>
      </w:r>
    </w:p>
    <w:p>
      <w:pPr>
        <w:pStyle w:val="TOC8"/>
        <w:rPr>
          <w:rFonts w:asciiTheme="minorHAnsi" w:eastAsiaTheme="minorEastAsia" w:hAnsiTheme="minorHAnsi" w:cstheme="minorBidi"/>
          <w:szCs w:val="22"/>
        </w:rPr>
      </w:pPr>
      <w:r>
        <w:t>8.</w:t>
      </w:r>
      <w:r>
        <w:tab/>
        <w:t>Schedule 3 amended</w:t>
      </w:r>
      <w:r>
        <w:tab/>
      </w:r>
      <w:r>
        <w:fldChar w:fldCharType="begin"/>
      </w:r>
      <w:r>
        <w:instrText xml:space="preserve"> PAGEREF _Toc184724128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District Court of Western Australia Act 1969</w:t>
      </w:r>
    </w:p>
    <w:p>
      <w:pPr>
        <w:pStyle w:val="NameofActReg"/>
      </w:pPr>
      <w:r>
        <w:t>District Court (Fees) Amendment Regulations (No. 2) 2024</w:t>
      </w:r>
    </w:p>
    <w:p>
      <w:pPr>
        <w:pStyle w:val="MadeBy"/>
      </w:pPr>
      <w:r>
        <w:t>Made by the Governor in Executive Council.</w:t>
      </w:r>
    </w:p>
    <w:p>
      <w:pPr>
        <w:pStyle w:val="Heading5"/>
      </w:pPr>
      <w:bookmarkStart w:id="2" w:name="_Toc184299576"/>
      <w:bookmarkStart w:id="3" w:name="_Toc184724120"/>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District Court (Fees) Amendment Regulations (No. 2) 2024</w:t>
      </w:r>
      <w:r>
        <w:t>.</w:t>
      </w:r>
    </w:p>
    <w:p>
      <w:pPr>
        <w:pStyle w:val="Heading5"/>
        <w:rPr>
          <w:spacing w:val="-2"/>
        </w:rPr>
      </w:pPr>
      <w:bookmarkStart w:id="5" w:name="_Toc184299577"/>
      <w:bookmarkStart w:id="6" w:name="_Toc18472412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184299578"/>
      <w:bookmarkStart w:id="8" w:name="_Toc184724122"/>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District Court (Fees) Regulations 2002</w:t>
      </w:r>
      <w:r>
        <w:t>.</w:t>
      </w:r>
    </w:p>
    <w:p>
      <w:pPr>
        <w:pStyle w:val="Heading5"/>
        <w:keepNext w:val="0"/>
        <w:keepLines w:val="0"/>
      </w:pPr>
      <w:bookmarkStart w:id="9" w:name="_Toc184299579"/>
      <w:bookmarkStart w:id="10" w:name="_Toc184724123"/>
      <w:r>
        <w:rPr>
          <w:rStyle w:val="CharSectno"/>
        </w:rPr>
        <w:t>4</w:t>
      </w:r>
      <w:r>
        <w:t>.</w:t>
      </w:r>
      <w:r>
        <w:tab/>
        <w:t>Regulation 6 amended</w:t>
      </w:r>
      <w:bookmarkEnd w:id="9"/>
      <w:bookmarkEnd w:id="10"/>
    </w:p>
    <w:p>
      <w:pPr>
        <w:pStyle w:val="Subsection"/>
      </w:pPr>
      <w:r>
        <w:tab/>
      </w:r>
      <w:r>
        <w:tab/>
        <w:t>After regulation 6(2) insert:</w:t>
      </w:r>
    </w:p>
    <w:p>
      <w:pPr>
        <w:pStyle w:val="BlankOpen"/>
      </w:pPr>
    </w:p>
    <w:p>
      <w:pPr>
        <w:pStyle w:val="zSubsection"/>
      </w:pPr>
      <w:r>
        <w:tab/>
        <w:t>(3)</w:t>
      </w:r>
      <w:r>
        <w:tab/>
        <w:t>A person may apply for the Court or a registrar to make a direction under subregulation (2).</w:t>
      </w:r>
    </w:p>
    <w:p>
      <w:pPr>
        <w:pStyle w:val="zSubsection"/>
      </w:pPr>
      <w:r>
        <w:tab/>
        <w:t>(4)</w:t>
      </w:r>
      <w:r>
        <w:tab/>
        <w:t>An application under subregulation (3) must be in the form of Schedule 3 Form 2.</w:t>
      </w:r>
    </w:p>
    <w:p>
      <w:pPr>
        <w:pStyle w:val="zSubsection"/>
      </w:pPr>
      <w:r>
        <w:lastRenderedPageBreak/>
        <w:tab/>
        <w:t>(5)</w:t>
      </w:r>
      <w:r>
        <w:tab/>
        <w:t>Despite anything else in these regulations, a fee must not be charged in respect of an application under subregulation (3).</w:t>
      </w:r>
    </w:p>
    <w:p>
      <w:pPr>
        <w:pStyle w:val="BlankClose"/>
      </w:pPr>
    </w:p>
    <w:p>
      <w:pPr>
        <w:pStyle w:val="Heading5"/>
      </w:pPr>
      <w:bookmarkStart w:id="11" w:name="_Toc184299580"/>
      <w:bookmarkStart w:id="12" w:name="_Toc184724124"/>
      <w:r>
        <w:rPr>
          <w:rStyle w:val="CharSectno"/>
        </w:rPr>
        <w:t>5</w:t>
      </w:r>
      <w:r>
        <w:t>.</w:t>
      </w:r>
      <w:r>
        <w:tab/>
        <w:t>Regulation 9 amended</w:t>
      </w:r>
      <w:bookmarkEnd w:id="11"/>
      <w:bookmarkEnd w:id="12"/>
    </w:p>
    <w:p>
      <w:pPr>
        <w:pStyle w:val="Subsection"/>
      </w:pPr>
      <w:r>
        <w:tab/>
      </w:r>
      <w:r>
        <w:tab/>
        <w:t>Delete regulation 9(8) and (9) and insert:</w:t>
      </w:r>
    </w:p>
    <w:p>
      <w:pPr>
        <w:pStyle w:val="BlankOpen"/>
      </w:pPr>
    </w:p>
    <w:p>
      <w:pPr>
        <w:pStyle w:val="zSubsection"/>
      </w:pPr>
      <w:r>
        <w:tab/>
        <w:t>(7A)</w:t>
      </w:r>
      <w:r>
        <w:tab/>
        <w:t>If the hearing is vacated and relisted, any fee paid in respect of the dates for the hearing must be transferred to the relisted dates.</w:t>
      </w:r>
    </w:p>
    <w:p>
      <w:pPr>
        <w:pStyle w:val="zSubsection"/>
      </w:pPr>
      <w:r>
        <w:tab/>
        <w:t>(8)</w:t>
      </w:r>
      <w:r>
        <w:tab/>
        <w:t>If the hearing is vacated before the first date allocated for the hearing and it is not relisted, the following percentage of the fee paid must be refunded —</w:t>
      </w:r>
    </w:p>
    <w:p>
      <w:pPr>
        <w:pStyle w:val="zIndenta"/>
      </w:pPr>
      <w:r>
        <w:tab/>
        <w:t>(a)</w:t>
      </w:r>
      <w:r>
        <w:tab/>
        <w:t>if the Court or registrar is satisfied the reason for the vacation is beyond the control of the parties, 100%;</w:t>
      </w:r>
    </w:p>
    <w:p>
      <w:pPr>
        <w:pStyle w:val="zIndenta"/>
      </w:pPr>
      <w:r>
        <w:tab/>
        <w:t>(b)</w:t>
      </w:r>
      <w:r>
        <w:tab/>
        <w:t xml:space="preserve">otherwise, if the vacation occurs — </w:t>
      </w:r>
    </w:p>
    <w:p>
      <w:pPr>
        <w:pStyle w:val="zIndenti"/>
      </w:pPr>
      <w:r>
        <w:tab/>
        <w:t>(i)</w:t>
      </w:r>
      <w:r>
        <w:tab/>
        <w:t xml:space="preserve">42 days or more before the first date allocated for the hearing, 75%; or </w:t>
      </w:r>
    </w:p>
    <w:p>
      <w:pPr>
        <w:pStyle w:val="zIndenti"/>
      </w:pPr>
      <w:r>
        <w:tab/>
        <w:t>(ii)</w:t>
      </w:r>
      <w:r>
        <w:tab/>
        <w:t>28 days or more before that date, 50%.</w:t>
      </w:r>
    </w:p>
    <w:p>
      <w:pPr>
        <w:pStyle w:val="zSubsection"/>
      </w:pPr>
      <w:r>
        <w:tab/>
        <w:t>(9)</w:t>
      </w:r>
      <w:r>
        <w:tab/>
        <w:t>If the hearing is vacated after it has commenced and it is not relisted, and the Court or registrar is satisfied the reason for the vacation is beyond the control of the parties, the fee paid in respect of dates after the date of the vacation must be refunded.</w:t>
      </w:r>
    </w:p>
    <w:p>
      <w:pPr>
        <w:pStyle w:val="BlankClose"/>
      </w:pPr>
    </w:p>
    <w:p>
      <w:pPr>
        <w:pStyle w:val="Heading5"/>
      </w:pPr>
      <w:bookmarkStart w:id="13" w:name="_Toc184299581"/>
      <w:bookmarkStart w:id="14" w:name="_Toc184724125"/>
      <w:r>
        <w:rPr>
          <w:rStyle w:val="CharSectno"/>
        </w:rPr>
        <w:lastRenderedPageBreak/>
        <w:t>6</w:t>
      </w:r>
      <w:r>
        <w:t>.</w:t>
      </w:r>
      <w:r>
        <w:tab/>
        <w:t>Regulation 10 replaced</w:t>
      </w:r>
      <w:bookmarkEnd w:id="13"/>
      <w:bookmarkEnd w:id="14"/>
    </w:p>
    <w:p>
      <w:pPr>
        <w:pStyle w:val="Subsection"/>
        <w:keepNext/>
      </w:pPr>
      <w:r>
        <w:tab/>
      </w:r>
      <w:r>
        <w:tab/>
        <w:t>Delete regulation 10 and insert:</w:t>
      </w:r>
    </w:p>
    <w:p>
      <w:pPr>
        <w:pStyle w:val="BlankOpen"/>
      </w:pPr>
    </w:p>
    <w:p>
      <w:pPr>
        <w:pStyle w:val="zHeading5"/>
      </w:pPr>
      <w:bookmarkStart w:id="15" w:name="_Toc184299582"/>
      <w:bookmarkStart w:id="16" w:name="_Toc184724126"/>
      <w:r>
        <w:t>10.</w:t>
      </w:r>
      <w:r>
        <w:tab/>
        <w:t>Schedule 1 item 8 fee</w:t>
      </w:r>
      <w:bookmarkEnd w:id="15"/>
      <w:bookmarkEnd w:id="16"/>
    </w:p>
    <w:p>
      <w:pPr>
        <w:pStyle w:val="zSubsection"/>
      </w:pPr>
      <w:r>
        <w:tab/>
      </w:r>
      <w:r>
        <w:tab/>
        <w:t>If a fee is to be paid under Schedule 1 item 8, the hearing must not be reconvened until that fee has been paid.</w:t>
      </w:r>
    </w:p>
    <w:p>
      <w:pPr>
        <w:pStyle w:val="BlankClose"/>
      </w:pPr>
    </w:p>
    <w:p>
      <w:pPr>
        <w:pStyle w:val="Heading5"/>
      </w:pPr>
      <w:bookmarkStart w:id="17" w:name="_Toc184299583"/>
      <w:bookmarkStart w:id="18" w:name="_Toc184724127"/>
      <w:r>
        <w:rPr>
          <w:rStyle w:val="CharSectno"/>
        </w:rPr>
        <w:t>7</w:t>
      </w:r>
      <w:r>
        <w:t>.</w:t>
      </w:r>
      <w:r>
        <w:tab/>
        <w:t>Schedule 1 amended</w:t>
      </w:r>
      <w:bookmarkEnd w:id="17"/>
      <w:bookmarkEnd w:id="18"/>
    </w:p>
    <w:p>
      <w:pPr>
        <w:pStyle w:val="Subsection"/>
      </w:pPr>
      <w:r>
        <w:tab/>
      </w:r>
      <w:r>
        <w:tab/>
        <w:t>In Schedule 1 item 5 in note 3 delete “</w:t>
      </w:r>
      <w:r>
        <w:rPr>
          <w:rFonts w:ascii="Arial" w:hAnsi="Arial" w:cs="Arial"/>
          <w:sz w:val="18"/>
          <w:szCs w:val="18"/>
        </w:rPr>
        <w:t>or waived</w:t>
      </w:r>
      <w:r>
        <w:t>”.</w:t>
      </w:r>
    </w:p>
    <w:p>
      <w:pPr>
        <w:pStyle w:val="Heading5"/>
      </w:pPr>
      <w:bookmarkStart w:id="19" w:name="_Toc184299584"/>
      <w:bookmarkStart w:id="20" w:name="_Toc184724128"/>
      <w:r>
        <w:rPr>
          <w:rStyle w:val="CharSectno"/>
        </w:rPr>
        <w:t>8</w:t>
      </w:r>
      <w:r>
        <w:t>.</w:t>
      </w:r>
      <w:r>
        <w:tab/>
        <w:t>Schedule 3 amended</w:t>
      </w:r>
      <w:bookmarkEnd w:id="19"/>
      <w:bookmarkEnd w:id="20"/>
    </w:p>
    <w:p>
      <w:pPr>
        <w:pStyle w:val="Subsection"/>
      </w:pPr>
      <w:r>
        <w:tab/>
        <w:t>(1)</w:t>
      </w:r>
      <w:r>
        <w:tab/>
        <w:t>Delete the reference after the heading to Schedule 3 and insert:</w:t>
      </w:r>
    </w:p>
    <w:p>
      <w:pPr>
        <w:pStyle w:val="BlankOpen"/>
      </w:pPr>
    </w:p>
    <w:p>
      <w:pPr>
        <w:pStyle w:val="Subsection"/>
        <w:rPr>
          <w:sz w:val="22"/>
          <w:szCs w:val="22"/>
        </w:rPr>
      </w:pPr>
      <w:r>
        <w:rPr>
          <w:sz w:val="22"/>
          <w:szCs w:val="22"/>
        </w:rPr>
        <w:tab/>
      </w:r>
      <w:r>
        <w:rPr>
          <w:sz w:val="22"/>
          <w:szCs w:val="22"/>
        </w:rPr>
        <w:tab/>
        <w:t>[r. 4A(1), 5A(1), 6(4) and 8(2)]</w:t>
      </w:r>
    </w:p>
    <w:p>
      <w:pPr>
        <w:pStyle w:val="BlankClose"/>
      </w:pPr>
    </w:p>
    <w:p>
      <w:pPr>
        <w:pStyle w:val="Subsection"/>
      </w:pPr>
      <w:r>
        <w:tab/>
        <w:t>(2)</w:t>
      </w:r>
      <w:r>
        <w:tab/>
        <w:t>In Schedule 3 Form 2:</w:t>
      </w:r>
    </w:p>
    <w:p>
      <w:pPr>
        <w:pStyle w:val="Indenta"/>
      </w:pPr>
      <w:r>
        <w:tab/>
        <w:t>(a)</w:t>
      </w:r>
      <w:r>
        <w:tab/>
        <w:t>delete “</w:t>
      </w:r>
      <w:r>
        <w:rPr>
          <w:b/>
          <w:sz w:val="18"/>
        </w:rPr>
        <w:t>to reduce fee</w:t>
      </w:r>
      <w:r>
        <w:t>” and insert:</w:t>
      </w:r>
    </w:p>
    <w:p>
      <w:pPr>
        <w:pStyle w:val="BlankOpen"/>
      </w:pPr>
    </w:p>
    <w:p>
      <w:pPr>
        <w:pStyle w:val="Indenta"/>
        <w:rPr>
          <w:b/>
          <w:sz w:val="18"/>
        </w:rPr>
      </w:pPr>
      <w:r>
        <w:tab/>
      </w:r>
      <w:r>
        <w:tab/>
      </w:r>
      <w:r>
        <w:rPr>
          <w:b/>
          <w:sz w:val="18"/>
        </w:rPr>
        <w:t>for the purposes of reducing or deferring a fee</w:t>
      </w:r>
    </w:p>
    <w:p>
      <w:pPr>
        <w:pStyle w:val="BlankClose"/>
      </w:pPr>
    </w:p>
    <w:p>
      <w:pPr>
        <w:pStyle w:val="Indenta"/>
      </w:pPr>
      <w:r>
        <w:tab/>
        <w:t>(b)</w:t>
      </w:r>
      <w:r>
        <w:tab/>
        <w:t>after:</w:t>
      </w:r>
    </w:p>
    <w:p>
      <w:pPr>
        <w:pStyle w:val="BlankOpen"/>
      </w:pPr>
    </w:p>
    <w:tbl>
      <w:tblPr>
        <w:tblStyle w:val="TableGrid"/>
        <w:tblW w:w="6946" w:type="dxa"/>
        <w:tblInd w:w="108" w:type="dxa"/>
        <w:tblLayout w:type="fixed"/>
        <w:tblLook w:val="04A0" w:firstRow="1" w:lastRow="0" w:firstColumn="1" w:lastColumn="0" w:noHBand="0" w:noVBand="1"/>
      </w:tblPr>
      <w:tblGrid>
        <w:gridCol w:w="6946"/>
      </w:tblGrid>
      <w:tr>
        <w:tc>
          <w:tcPr>
            <w:tcW w:w="6946" w:type="dxa"/>
          </w:tcPr>
          <w:p>
            <w:pPr>
              <w:pStyle w:val="yTableNAm"/>
              <w:rPr>
                <w:sz w:val="18"/>
                <w:szCs w:val="18"/>
              </w:rPr>
            </w:pPr>
            <w:r>
              <w:rPr>
                <w:b/>
                <w:sz w:val="18"/>
                <w:szCs w:val="18"/>
              </w:rPr>
              <w:t>Defendant/Respondent*:</w:t>
            </w:r>
          </w:p>
          <w:p>
            <w:pPr>
              <w:pStyle w:val="yTableNAm"/>
              <w:rPr>
                <w:sz w:val="18"/>
                <w:szCs w:val="18"/>
              </w:rPr>
            </w:pPr>
            <w:r>
              <w:rPr>
                <w:sz w:val="18"/>
                <w:szCs w:val="18"/>
              </w:rPr>
              <w:t>(*strike out word that is not applicable)</w:t>
            </w:r>
          </w:p>
        </w:tc>
      </w:tr>
    </w:tbl>
    <w:p>
      <w:pPr>
        <w:pStyle w:val="BlankClose"/>
      </w:pPr>
    </w:p>
    <w:p>
      <w:pPr>
        <w:pStyle w:val="Indenta"/>
        <w:keepNext/>
      </w:pPr>
      <w:r>
        <w:lastRenderedPageBreak/>
        <w:tab/>
      </w:r>
      <w:r>
        <w:tab/>
        <w:t>insert:</w:t>
      </w:r>
    </w:p>
    <w:p>
      <w:pPr>
        <w:pStyle w:val="BlankOpen"/>
      </w:pPr>
    </w:p>
    <w:tbl>
      <w:tblPr>
        <w:tblStyle w:val="TableGrid"/>
        <w:tblW w:w="6946" w:type="dxa"/>
        <w:tblInd w:w="108" w:type="dxa"/>
        <w:tblLayout w:type="fixed"/>
        <w:tblLook w:val="04A0" w:firstRow="1" w:lastRow="0" w:firstColumn="1" w:lastColumn="0" w:noHBand="0" w:noVBand="1"/>
      </w:tblPr>
      <w:tblGrid>
        <w:gridCol w:w="3473"/>
        <w:gridCol w:w="3473"/>
      </w:tblGrid>
      <w:tr>
        <w:trPr>
          <w:trHeight w:val="467"/>
        </w:trPr>
        <w:tc>
          <w:tcPr>
            <w:tcW w:w="6946" w:type="dxa"/>
            <w:gridSpan w:val="2"/>
          </w:tcPr>
          <w:p>
            <w:pPr>
              <w:pStyle w:val="zyTableNAm"/>
              <w:keepNext/>
              <w:rPr>
                <w:b/>
                <w:bCs/>
                <w:sz w:val="18"/>
                <w:szCs w:val="18"/>
              </w:rPr>
            </w:pPr>
            <w:r>
              <w:rPr>
                <w:b/>
                <w:bCs/>
                <w:sz w:val="18"/>
                <w:szCs w:val="18"/>
              </w:rPr>
              <w:t>Please indicate if your application relates to*:</w:t>
            </w:r>
          </w:p>
          <w:p>
            <w:pPr>
              <w:pStyle w:val="zyTableNAm"/>
              <w:keepNext/>
              <w:rPr>
                <w:rStyle w:val="DraftersNotes"/>
                <w:b w:val="0"/>
                <w:i w:val="0"/>
                <w:sz w:val="18"/>
                <w:szCs w:val="18"/>
              </w:rPr>
            </w:pPr>
            <w:r>
              <w:rPr>
                <w:sz w:val="18"/>
                <w:szCs w:val="18"/>
              </w:rPr>
              <w:t>(*select 1 or both)</w:t>
            </w:r>
          </w:p>
        </w:tc>
      </w:tr>
      <w:tr>
        <w:tc>
          <w:tcPr>
            <w:tcW w:w="3473" w:type="dxa"/>
          </w:tcPr>
          <w:p>
            <w:pPr>
              <w:pStyle w:val="zyTableNAm"/>
              <w:rPr>
                <w:sz w:val="18"/>
                <w:szCs w:val="18"/>
              </w:rPr>
            </w:pPr>
            <w:r>
              <w:rPr>
                <w:rFonts w:ascii="Segoe UI Symbol" w:eastAsia="MS Mincho" w:hAnsi="Segoe UI Symbol" w:cs="Segoe UI Symbol"/>
                <w:sz w:val="18"/>
                <w:szCs w:val="18"/>
              </w:rPr>
              <w:t>❑</w:t>
            </w:r>
            <w:r>
              <w:rPr>
                <w:sz w:val="18"/>
                <w:szCs w:val="18"/>
              </w:rPr>
              <w:t xml:space="preserve"> Reducing a fee</w:t>
            </w:r>
          </w:p>
        </w:tc>
        <w:tc>
          <w:tcPr>
            <w:tcW w:w="3473" w:type="dxa"/>
          </w:tcPr>
          <w:p>
            <w:pPr>
              <w:pStyle w:val="zyTableNAm"/>
              <w:rPr>
                <w:sz w:val="18"/>
                <w:szCs w:val="18"/>
              </w:rPr>
            </w:pPr>
            <w:r>
              <w:rPr>
                <w:rFonts w:ascii="Segoe UI Symbol" w:eastAsia="MS Mincho" w:hAnsi="Segoe UI Symbol" w:cs="Segoe UI Symbol"/>
                <w:sz w:val="18"/>
                <w:szCs w:val="18"/>
              </w:rPr>
              <w:t>❑</w:t>
            </w:r>
            <w:r>
              <w:rPr>
                <w:sz w:val="18"/>
                <w:szCs w:val="18"/>
              </w:rPr>
              <w:t xml:space="preserve"> Deferring a fee</w:t>
            </w:r>
          </w:p>
        </w:tc>
      </w:tr>
    </w:tbl>
    <w:p>
      <w:pPr>
        <w:pStyle w:val="BlankClose"/>
        <w:rPr>
          <w:iCs/>
        </w:rPr>
      </w:pPr>
    </w:p>
    <w:p>
      <w:pPr>
        <w:pStyle w:val="Indenta"/>
      </w:pPr>
      <w:r>
        <w:tab/>
        <w:t>(c)</w:t>
      </w:r>
      <w:r>
        <w:tab/>
        <w:t>delete “</w:t>
      </w:r>
      <w:r>
        <w:rPr>
          <w:sz w:val="18"/>
          <w:szCs w:val="18"/>
        </w:rPr>
        <w:t>request</w:t>
      </w:r>
      <w:r>
        <w:rPr>
          <w:szCs w:val="24"/>
        </w:rPr>
        <w:t>”</w:t>
      </w:r>
      <w:r>
        <w:t xml:space="preserve"> (1</w:t>
      </w:r>
      <w:r>
        <w:rPr>
          <w:vertAlign w:val="superscript"/>
        </w:rPr>
        <w:t>st</w:t>
      </w:r>
      <w:r>
        <w:t xml:space="preserve"> occurrence) and insert:</w:t>
      </w:r>
    </w:p>
    <w:p>
      <w:pPr>
        <w:pStyle w:val="BlankOpen"/>
      </w:pPr>
    </w:p>
    <w:p>
      <w:pPr>
        <w:pStyle w:val="Indenta"/>
        <w:rPr>
          <w:sz w:val="18"/>
          <w:szCs w:val="18"/>
        </w:rPr>
      </w:pPr>
      <w:r>
        <w:rPr>
          <w:sz w:val="18"/>
          <w:szCs w:val="18"/>
        </w:rPr>
        <w:tab/>
      </w:r>
      <w:r>
        <w:rPr>
          <w:sz w:val="18"/>
          <w:szCs w:val="18"/>
        </w:rPr>
        <w:tab/>
        <w:t>application</w:t>
      </w:r>
    </w:p>
    <w:p>
      <w:pPr>
        <w:pStyle w:val="BlankClose"/>
      </w:pPr>
    </w:p>
    <w:p>
      <w:pPr>
        <w:pStyle w:val="Indenta"/>
      </w:pPr>
      <w:r>
        <w:tab/>
        <w:t>(d)</w:t>
      </w:r>
      <w:r>
        <w:tab/>
        <w:t>delete “</w:t>
      </w:r>
      <w:r>
        <w:rPr>
          <w:sz w:val="18"/>
        </w:rPr>
        <w:t>No:</w:t>
      </w:r>
      <w:r>
        <w:t>” (each occurrence) and insert:</w:t>
      </w:r>
    </w:p>
    <w:p>
      <w:pPr>
        <w:pStyle w:val="BlankOpen"/>
      </w:pPr>
    </w:p>
    <w:p>
      <w:pPr>
        <w:pStyle w:val="Indenta"/>
        <w:rPr>
          <w:rStyle w:val="DraftersNotes"/>
          <w:b w:val="0"/>
          <w:i w:val="0"/>
          <w:sz w:val="18"/>
        </w:rPr>
      </w:pPr>
      <w:r>
        <w:tab/>
      </w:r>
      <w:r>
        <w:tab/>
      </w:r>
      <w:r>
        <w:rPr>
          <w:sz w:val="18"/>
        </w:rPr>
        <w:t>Number:</w:t>
      </w:r>
    </w:p>
    <w:p>
      <w:pPr>
        <w:pStyle w:val="BlankClose"/>
      </w:pPr>
    </w:p>
    <w:p>
      <w:pPr>
        <w:pStyle w:val="Indenta"/>
      </w:pPr>
      <w:r>
        <w:tab/>
        <w:t>(e)</w:t>
      </w:r>
      <w:r>
        <w:tab/>
        <w:t>delete “</w:t>
      </w:r>
      <w:r>
        <w:rPr>
          <w:sz w:val="18"/>
        </w:rPr>
        <w:t>request</w:t>
      </w:r>
      <w:r>
        <w:t>” (2</w:t>
      </w:r>
      <w:r>
        <w:rPr>
          <w:vertAlign w:val="superscript"/>
        </w:rPr>
        <w:t>nd</w:t>
      </w:r>
      <w:r>
        <w:t xml:space="preserve"> occurrence) and insert:</w:t>
      </w:r>
    </w:p>
    <w:p>
      <w:pPr>
        <w:pStyle w:val="BlankOpen"/>
      </w:pPr>
    </w:p>
    <w:p>
      <w:pPr>
        <w:pStyle w:val="Indenta"/>
        <w:rPr>
          <w:sz w:val="18"/>
        </w:rPr>
      </w:pPr>
      <w:r>
        <w:tab/>
      </w:r>
      <w:r>
        <w:tab/>
      </w:r>
      <w:r>
        <w:rPr>
          <w:sz w:val="18"/>
        </w:rPr>
        <w:t>application</w:t>
      </w:r>
    </w:p>
    <w:p>
      <w:pPr>
        <w:pStyle w:val="BlankClose"/>
      </w:pPr>
    </w:p>
    <w:p>
      <w:pPr>
        <w:pStyle w:val="Indenta"/>
      </w:pPr>
      <w:r>
        <w:tab/>
        <w:t>(f)</w:t>
      </w:r>
      <w:r>
        <w:tab/>
        <w:t>delete “</w:t>
      </w:r>
      <w:r>
        <w:rPr>
          <w:b/>
          <w:sz w:val="18"/>
        </w:rPr>
        <w:t>FINANCIAL DETAIL:</w:t>
      </w:r>
      <w:r>
        <w:t>” and insert:</w:t>
      </w:r>
    </w:p>
    <w:p>
      <w:pPr>
        <w:pStyle w:val="BlankOpen"/>
      </w:pPr>
    </w:p>
    <w:p>
      <w:pPr>
        <w:pStyle w:val="Indenta"/>
        <w:rPr>
          <w:b/>
          <w:sz w:val="18"/>
        </w:rPr>
      </w:pPr>
      <w:r>
        <w:tab/>
      </w:r>
      <w:r>
        <w:tab/>
      </w:r>
      <w:r>
        <w:rPr>
          <w:b/>
          <w:sz w:val="18"/>
        </w:rPr>
        <w:t>FINANCIAL DETAILS:</w:t>
      </w:r>
    </w:p>
    <w:p>
      <w:pPr>
        <w:pStyle w:val="BlankClose"/>
        <w:keepLines w:val="0"/>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46FEF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00162BC" w14:textId="3AB52775" w:rsidR="006E23E8" w:rsidRDefault="006E23E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47E41">
                        <w:rPr>
                          <w:sz w:val="16"/>
                        </w:rPr>
                        <w:t>2024</w:t>
                      </w:r>
                      <w:r>
                        <w:rPr>
                          <w:sz w:val="16"/>
                        </w:rPr>
                        <w:fldChar w:fldCharType="end"/>
                      </w:r>
                      <w:r>
                        <w:rPr>
                          <w:sz w:val="16"/>
                        </w:rPr>
                        <w:t>.</w:t>
                      </w:r>
                    </w:p>
                    <w:p w14:paraId="4035993E" w14:textId="77777777" w:rsidR="006E23E8" w:rsidRDefault="006E23E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44BC48" w14:textId="309044BA" w:rsidR="006E23E8" w:rsidRDefault="006E23E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47E41">
                        <w:rPr>
                          <w:sz w:val="16"/>
                        </w:rPr>
                        <w:t>2024</w:t>
                      </w:r>
                      <w:r>
                        <w:rPr>
                          <w:sz w:val="16"/>
                        </w:rPr>
                        <w:fldChar w:fldCharType="end"/>
                      </w:r>
                      <w:r>
                        <w:rPr>
                          <w:sz w:val="16"/>
                        </w:rPr>
                        <w:t>.</w:t>
                      </w:r>
                    </w:p>
                    <w:p w14:paraId="5EF81169" w14:textId="77777777" w:rsidR="006E23E8" w:rsidRDefault="006E23E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2024/261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2024/261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(Fees) Amendment Regulations (No. 2)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(Fees) Amendment Regulations (No. 2)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(Fees) Amendment Regulations (No. 2)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District Court (Fees) Amendment Regulations (No. 2)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513584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02311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3113944_GUID" w:val="05b9f919-7346-48ac-a08d-e973bb488159"/>
    <w:docVar w:name="WAFER_2024102815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53625_GUID" w:val="7dcffd46-2be1-4775-ab1e-9b9b404bd041"/>
    <w:docVar w:name="WAFER_20241030135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30135357_GUID" w:val="0bc99478-aa21-4ee8-8df6-e4a208aea994"/>
    <w:docVar w:name="WAFER_20241205135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5135844_GUID" w:val="7390003e-b556-432a-959c-906cfd9d8f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B9F6C0CB-57AC-41A9-B613-CC9932432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96883">
      <w:bodyDiv w:val="1"/>
      <w:marLeft w:val="0"/>
      <w:marRight w:val="0"/>
      <w:marTop w:val="0"/>
      <w:marBottom w:val="0"/>
      <w:divBdr>
        <w:top w:val="none" w:sz="0" w:space="0" w:color="auto"/>
        <w:left w:val="none" w:sz="0" w:space="0" w:color="auto"/>
        <w:bottom w:val="none" w:sz="0" w:space="0" w:color="auto"/>
        <w:right w:val="none" w:sz="0" w:space="0" w:color="auto"/>
      </w:divBdr>
    </w:div>
    <w:div w:id="939533579">
      <w:bodyDiv w:val="1"/>
      <w:marLeft w:val="0"/>
      <w:marRight w:val="0"/>
      <w:marTop w:val="0"/>
      <w:marBottom w:val="0"/>
      <w:divBdr>
        <w:top w:val="none" w:sz="0" w:space="0" w:color="auto"/>
        <w:left w:val="none" w:sz="0" w:space="0" w:color="auto"/>
        <w:bottom w:val="none" w:sz="0" w:space="0" w:color="auto"/>
        <w:right w:val="none" w:sz="0" w:space="0" w:color="auto"/>
      </w:divBdr>
    </w:div>
    <w:div w:id="140930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688</Words>
  <Characters>3326</Characters>
  <Application>Microsoft Office Word</Application>
  <DocSecurity>0</DocSecurity>
  <Lines>151</Lines>
  <Paragraphs>102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(Fees) Amendment Regulations (No. 2) 2024 - 00-00-00</dc:title>
  <dc:subject/>
  <dc:creator/>
  <cp:keywords/>
  <dc:description/>
  <cp:lastModifiedBy>Master Repository Process</cp:lastModifiedBy>
  <cp:revision>4</cp:revision>
  <cp:lastPrinted>2024-10-28T07:03:00Z</cp:lastPrinted>
  <dcterms:created xsi:type="dcterms:W3CDTF">2025-07-03T03:24:00Z</dcterms:created>
  <dcterms:modified xsi:type="dcterms:W3CDTF">2025-07-03T03:24:00Z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55062</vt:lpwstr>
  </property>
  <property fmtid="{D5CDD505-2E9C-101B-9397-08002B2CF9AE}" pid="3" name="DocumentType">
    <vt:lpwstr>Reg</vt:lpwstr>
  </property>
  <property fmtid="{D5CDD505-2E9C-101B-9397-08002B2CF9AE}" pid="4" name="AsAtDate">
    <vt:lpwstr>11 Dec 2024</vt:lpwstr>
  </property>
  <property fmtid="{D5CDD505-2E9C-101B-9397-08002B2CF9AE}" pid="5" name="Suffix">
    <vt:lpwstr>00-00-00</vt:lpwstr>
  </property>
  <property fmtid="{D5CDD505-2E9C-101B-9397-08002B2CF9AE}" pid="6" name="Official">
    <vt:lpwstr/>
  </property>
  <property fmtid="{D5CDD505-2E9C-101B-9397-08002B2CF9AE}" pid="7" name="SLAPId">
    <vt:lpwstr>2024/261</vt:lpwstr>
  </property>
  <property fmtid="{D5CDD505-2E9C-101B-9397-08002B2CF9AE}" pid="8" name="PublishDate">
    <vt:lpwstr>11 Dec 2024</vt:lpwstr>
  </property>
  <property fmtid="{D5CDD505-2E9C-101B-9397-08002B2CF9AE}" pid="9" name="CommencementDate">
    <vt:lpwstr>20241211</vt:lpwstr>
  </property>
  <property fmtid="{D5CDD505-2E9C-101B-9397-08002B2CF9AE}" pid="10" name="CommencementAsAt">
    <vt:filetime>2024-12-10T16:00:00Z</vt:filetime>
  </property>
  <property fmtid="{D5CDD505-2E9C-101B-9397-08002B2CF9AE}" pid="11" name="CommencementYear">
    <vt:lpwstr>2024</vt:lpwstr>
  </property>
</Properties>
</file>