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9)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9)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_Toc184646057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_Toc184646058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9) 2024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184645784"/>
      <w:bookmarkStart w:id="3" w:name="_Toc18464605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 (No. 9) 2024</w:t>
      </w:r>
      <w:r>
        <w:t>.</w:t>
      </w:r>
    </w:p>
    <w:p>
      <w:pPr>
        <w:pStyle w:val="Heading5"/>
      </w:pPr>
      <w:bookmarkStart w:id="4" w:name="_Toc184645785"/>
      <w:bookmarkStart w:id="5" w:name="_Toc184646058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ab/>
        <w:t>Therapeutic Goods (Vaping Goods—Possession and Supply) Amendment Determination (No. 3) 2024</w:t>
      </w:r>
    </w:p>
    <w:p>
      <w:pPr>
        <w:pStyle w:val="PermNoteHeading"/>
      </w:pPr>
      <w:r>
        <w:tab/>
        <w:t>Note:</w:t>
      </w:r>
    </w:p>
    <w:p>
      <w:pPr>
        <w:pStyle w:val="PermNoteText"/>
        <w:tabs>
          <w:tab w:val="left" w:pos="426"/>
        </w:tabs>
        <w:ind w:left="1276" w:hanging="334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 2024</w:t>
      </w:r>
      <w:r>
        <w:t xml:space="preserve"> section 10(1) (subject to section 10(2) of that Act). The above instrument may not have effect under the </w:t>
      </w:r>
      <w:r>
        <w:rPr>
          <w:i/>
          <w:iCs/>
        </w:rPr>
        <w:t>Therapeutic Goods Law Application Act 2024</w:t>
      </w:r>
      <w:r>
        <w:t xml:space="preserve"> section 11 or may cease to have effect under the </w:t>
      </w:r>
      <w:r>
        <w:rPr>
          <w:i/>
          <w:iCs/>
        </w:rPr>
        <w:t>Therapeutic Goods Law Application Act 2024</w:t>
      </w:r>
      <w:r>
        <w:t xml:space="preserve"> section 13.</w:t>
      </w:r>
    </w:p>
    <w:p>
      <w:pPr>
        <w:pStyle w:val="ByCommand"/>
        <w:spacing w:before="500"/>
        <w:rPr>
          <w:b/>
          <w:bCs/>
        </w:rPr>
      </w:pPr>
      <w:r>
        <w:rPr>
          <w:b/>
          <w:bCs/>
          <w:sz w:val="22"/>
          <w:szCs w:val="18"/>
        </w:rPr>
        <w:t>LINDA TAYLOR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0CB16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2C67E37" w14:textId="0B782284" w:rsidR="00540A6D" w:rsidRDefault="00540A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C433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E4B01D" w14:textId="77777777" w:rsidR="00540A6D" w:rsidRDefault="00540A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4521D9" w14:textId="5A8CD821" w:rsidR="00540A6D" w:rsidRDefault="00540A6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C433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306F75" w14:textId="77777777" w:rsidR="00540A6D" w:rsidRDefault="00540A6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9)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9)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9)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9)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091408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09140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09140257_GUID" w:val="98045896-6019-4091-9292-2f79123c6d71"/>
    <w:docVar w:name="WAFER_202412091408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9140829_GUID" w:val="436365c0-1ce6-43b0-889e-ddcc3101ca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59E7E142-9825-4EB4-BC1B-3548D2B3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1534</Characters>
  <Application>Microsoft Office Word</Application>
  <DocSecurity>0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9)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2025-06-18T03:17:00Z</dcterms:created>
  <dcterms:modified xsi:type="dcterms:W3CDTF">2025-06-18T03:17:00Z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55243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2024-12-10T16:00:00Z</vt:filetime>
  </property>
  <property fmtid="{D5CDD505-2E9C-101B-9397-08002B2CF9AE}" pid="8" name="CommencementYear">
    <vt:lpwstr>2024</vt:lpwstr>
  </property>
  <property fmtid="{D5CDD505-2E9C-101B-9397-08002B2CF9AE}" pid="9" name="SLAPId">
    <vt:lpwstr>2024/262</vt:lpwstr>
  </property>
  <property fmtid="{D5CDD505-2E9C-101B-9397-08002B2CF9AE}" pid="10" name="PublishDate">
    <vt:lpwstr>11 Dec 2024</vt:lpwstr>
  </property>
  <property fmtid="{D5CDD505-2E9C-101B-9397-08002B2CF9AE}" pid="11" name="CommencementDate">
    <vt:lpwstr>20241211</vt:lpwstr>
  </property>
</Properties>
</file>