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(Miscellaneous Provisions) Act 1911</w:t>
      </w:r>
      <w:r>
        <w:rPr>
          <w:noProof/>
        </w:rPr>
        <w:br/>
        <w:t>Medicines and Poisons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Regulations Amendment (Medicines and Poisons)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Regulations Amendment (Medicines and Poisons)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_Toc184724197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_Toc184724198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Medicines and Poisons Regulations 2016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_Toc184724200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_Toc184724201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Part 2 heading amended</w:t>
      </w:r>
      <w:r>
        <w:tab/>
      </w:r>
      <w:r>
        <w:fldChar w:fldCharType="begin"/>
      </w:r>
      <w:r>
        <w:instrText xml:space="preserve"> PAGEREF _Toc184724202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7A inserted</w:t>
      </w:r>
      <w:r>
        <w:tab/>
      </w:r>
      <w:r>
        <w:fldChar w:fldCharType="begin"/>
      </w:r>
      <w:r>
        <w:instrText xml:space="preserve"> PAGEREF _Toc184724203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7A.</w:t>
      </w:r>
      <w:r>
        <w:rPr>
          <w:noProof/>
        </w:rPr>
        <w:tab/>
        <w:t>Schedule 4 reportable poisons (s. 77(2))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_Toc184724204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10 amended</w:t>
      </w:r>
      <w:r>
        <w:tab/>
      </w:r>
      <w:r>
        <w:fldChar w:fldCharType="begin"/>
      </w:r>
      <w:r>
        <w:instrText xml:space="preserve"> PAGEREF _Toc184724205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_Toc184724206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Regulations 12 to 14 replaced</w:t>
      </w:r>
      <w:r>
        <w:tab/>
      </w:r>
      <w:r>
        <w:fldChar w:fldCharType="begin"/>
      </w:r>
      <w:r>
        <w:instrText xml:space="preserve"> PAGEREF _Toc184724207 \h </w:instrText>
      </w:r>
      <w:r>
        <w:fldChar w:fldCharType="separate"/>
      </w:r>
      <w:r>
        <w:t>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noProof/>
        </w:rPr>
        <w:tab/>
        <w:t>Medication chart for patient in hospital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_Toc184724208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noProof/>
        </w:rPr>
        <w:tab/>
        <w:t>Medication chart for patient discharged from hospital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_Toc184724209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noProof/>
        </w:rPr>
        <w:tab/>
        <w:t>Chart for person in residential care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_Toc184724210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Part 4 Division 4 inserted</w:t>
      </w:r>
      <w:r>
        <w:tab/>
      </w:r>
      <w:r>
        <w:fldChar w:fldCharType="begin"/>
      </w:r>
      <w:r>
        <w:instrText xml:space="preserve"> PAGEREF _Toc184724211 \h </w:instrText>
      </w:r>
      <w:r>
        <w:fldChar w:fldCharType="separate"/>
      </w:r>
      <w:r>
        <w:t>7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4 — Real</w:t>
      </w:r>
      <w:r>
        <w:noBreakHyphen/>
        <w:t>time prescription monitoring system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22A.</w:t>
      </w:r>
      <w:r>
        <w:rPr>
          <w:noProof/>
        </w:rPr>
        <w:tab/>
        <w:t>Requirement to register with real</w:t>
      </w:r>
      <w:r>
        <w:rPr>
          <w:noProof/>
        </w:rPr>
        <w:noBreakHyphen/>
        <w:t>time prescription monitoring system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_Toc184724213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23 amended</w:t>
      </w:r>
      <w:r>
        <w:tab/>
      </w:r>
      <w:r>
        <w:fldChar w:fldCharType="begin"/>
      </w:r>
      <w:r>
        <w:instrText xml:space="preserve"> PAGEREF _Toc184724214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24 amended</w:t>
      </w:r>
      <w:r>
        <w:tab/>
      </w:r>
      <w:r>
        <w:fldChar w:fldCharType="begin"/>
      </w:r>
      <w:r>
        <w:instrText xml:space="preserve"> PAGEREF _Toc184724215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 37 amended</w:t>
      </w:r>
      <w:r>
        <w:tab/>
      </w:r>
      <w:r>
        <w:fldChar w:fldCharType="begin"/>
      </w:r>
      <w:r>
        <w:instrText xml:space="preserve"> PAGEREF _Toc184724216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 80 amended</w:t>
      </w:r>
      <w:r>
        <w:tab/>
      </w:r>
      <w:r>
        <w:fldChar w:fldCharType="begin"/>
      </w:r>
      <w:r>
        <w:instrText xml:space="preserve"> PAGEREF _Toc184724217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15.</w:t>
      </w:r>
      <w:r>
        <w:tab/>
        <w:t>Part 11 heading replaced</w:t>
      </w:r>
      <w:r>
        <w:tab/>
      </w:r>
      <w:r>
        <w:fldChar w:fldCharType="begin"/>
      </w:r>
      <w:r>
        <w:instrText xml:space="preserve"> PAGEREF _Toc184724218 \h </w:instrText>
      </w:r>
      <w:r>
        <w:fldChar w:fldCharType="separate"/>
      </w:r>
      <w:r>
        <w:t>9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11 — Prescription and supply of medicines that are Schedule 4 reportable poisons or Schedule 8 poisons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Regulation 114 amended</w:t>
      </w:r>
      <w:r>
        <w:tab/>
      </w:r>
      <w:r>
        <w:fldChar w:fldCharType="begin"/>
      </w:r>
      <w:r>
        <w:instrText xml:space="preserve"> PAGEREF _Toc184724220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Regulation 115 amended</w:t>
      </w:r>
      <w:r>
        <w:tab/>
      </w:r>
      <w:r>
        <w:fldChar w:fldCharType="begin"/>
      </w:r>
      <w:r>
        <w:instrText xml:space="preserve"> PAGEREF _Toc184724221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Regulation 116 amended</w:t>
      </w:r>
      <w:r>
        <w:tab/>
      </w:r>
      <w:r>
        <w:fldChar w:fldCharType="begin"/>
      </w:r>
      <w:r>
        <w:instrText xml:space="preserve"> PAGEREF _Toc184724222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Part 11 Division 3 deleted</w:t>
      </w:r>
      <w:r>
        <w:tab/>
      </w:r>
      <w:r>
        <w:fldChar w:fldCharType="begin"/>
      </w:r>
      <w:r>
        <w:instrText xml:space="preserve"> PAGEREF _Toc184724223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Regulation 125 amended</w:t>
      </w:r>
      <w:r>
        <w:tab/>
      </w:r>
      <w:r>
        <w:fldChar w:fldCharType="begin"/>
      </w:r>
      <w:r>
        <w:instrText xml:space="preserve"> PAGEREF _Toc184724224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Regulation 126 amended</w:t>
      </w:r>
      <w:r>
        <w:tab/>
      </w:r>
      <w:r>
        <w:fldChar w:fldCharType="begin"/>
      </w:r>
      <w:r>
        <w:instrText xml:space="preserve"> PAGEREF _Toc184724225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22.</w:t>
      </w:r>
      <w:r>
        <w:tab/>
        <w:t>Regulation 128 amended</w:t>
      </w:r>
      <w:r>
        <w:tab/>
      </w:r>
      <w:r>
        <w:fldChar w:fldCharType="begin"/>
      </w:r>
      <w:r>
        <w:instrText xml:space="preserve"> PAGEREF _Toc184724226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23.</w:t>
      </w:r>
      <w:r>
        <w:tab/>
        <w:t>Regulation 129 deleted</w:t>
      </w:r>
      <w:r>
        <w:tab/>
      </w:r>
      <w:r>
        <w:fldChar w:fldCharType="begin"/>
      </w:r>
      <w:r>
        <w:instrText xml:space="preserve"> PAGEREF _Toc184724227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24.</w:t>
      </w:r>
      <w:r>
        <w:tab/>
        <w:t>Regulation 130 amended</w:t>
      </w:r>
      <w:r>
        <w:tab/>
      </w:r>
      <w:r>
        <w:fldChar w:fldCharType="begin"/>
      </w:r>
      <w:r>
        <w:instrText xml:space="preserve"> PAGEREF _Toc184724228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25.</w:t>
      </w:r>
      <w:r>
        <w:tab/>
        <w:t>Regulations 131 and 132 deleted</w:t>
      </w:r>
      <w:r>
        <w:tab/>
      </w:r>
      <w:r>
        <w:fldChar w:fldCharType="begin"/>
      </w:r>
      <w:r>
        <w:instrText xml:space="preserve"> PAGEREF _Toc184724229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26.</w:t>
      </w:r>
      <w:r>
        <w:tab/>
        <w:t>Regulation 143 amended</w:t>
      </w:r>
      <w:r>
        <w:tab/>
      </w:r>
      <w:r>
        <w:fldChar w:fldCharType="begin"/>
      </w:r>
      <w:r>
        <w:instrText xml:space="preserve"> PAGEREF _Toc184724230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27.</w:t>
      </w:r>
      <w:r>
        <w:tab/>
        <w:t>Regulation 143A amended</w:t>
      </w:r>
      <w:r>
        <w:tab/>
      </w:r>
      <w:r>
        <w:fldChar w:fldCharType="begin"/>
      </w:r>
      <w:r>
        <w:instrText xml:space="preserve"> PAGEREF _Toc184724231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28.</w:t>
      </w:r>
      <w:r>
        <w:tab/>
        <w:t>Regulation 155 amended</w:t>
      </w:r>
      <w:r>
        <w:tab/>
      </w:r>
      <w:r>
        <w:fldChar w:fldCharType="begin"/>
      </w:r>
      <w:r>
        <w:instrText xml:space="preserve"> PAGEREF _Toc184724232 \h </w:instrText>
      </w:r>
      <w:r>
        <w:fldChar w:fldCharType="separate"/>
      </w:r>
      <w:r>
        <w:t>14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29.</w:t>
      </w:r>
      <w:r>
        <w:tab/>
        <w:t>Schedule 6 inserted</w:t>
      </w:r>
      <w:r>
        <w:tab/>
      </w:r>
      <w:r>
        <w:fldChar w:fldCharType="begin"/>
      </w:r>
      <w:r>
        <w:instrText xml:space="preserve"> PAGEREF _Toc184724233 \h </w:instrText>
      </w:r>
      <w:r>
        <w:fldChar w:fldCharType="separate"/>
      </w:r>
      <w:r>
        <w:t>14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6 — List of Schedule 4 reportable poisons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Health (Notification of Stimulant Induced Psychosis) Regulations 2010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30.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_Toc184724236 \h </w:instrText>
      </w:r>
      <w:r>
        <w:fldChar w:fldCharType="separate"/>
      </w:r>
      <w:r>
        <w:t>15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31.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_Toc184724237 \h </w:instrText>
      </w:r>
      <w:r>
        <w:fldChar w:fldCharType="separate"/>
      </w:r>
      <w:r>
        <w:t>15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32.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_Toc184724238 \h </w:instrText>
      </w:r>
      <w:r>
        <w:fldChar w:fldCharType="separate"/>
      </w:r>
      <w:r>
        <w:t>15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33.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_Toc184724239 \h </w:instrText>
      </w:r>
      <w:r>
        <w:fldChar w:fldCharType="separate"/>
      </w:r>
      <w:r>
        <w:t>15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rPr>
          <w:iCs/>
        </w:rPr>
        <w:lastRenderedPageBreak/>
        <w:t>Health (Miscellaneous Provisions) Act 1911</w:t>
      </w:r>
      <w:r>
        <w:br/>
        <w:t>Medicines and Poisons Act 2014</w:t>
      </w:r>
    </w:p>
    <w:p>
      <w:pPr>
        <w:pStyle w:val="NameofActReg"/>
      </w:pPr>
      <w:r>
        <w:t>Health Regulations Amendment (Medicines and Poisons)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2" w:name="_Ref180587005"/>
      <w:bookmarkStart w:id="3" w:name="_Toc184300938"/>
      <w:bookmarkStart w:id="4" w:name="_Toc184301001"/>
      <w:bookmarkStart w:id="5" w:name="_Toc184301045"/>
      <w:bookmarkStart w:id="6" w:name="_Toc184301140"/>
      <w:bookmarkStart w:id="7" w:name="_Toc184724196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</w:p>
    <w:p>
      <w:pPr>
        <w:pStyle w:val="Heading5"/>
      </w:pPr>
      <w:bookmarkStart w:id="8" w:name="_Toc184300939"/>
      <w:bookmarkStart w:id="9" w:name="_Toc184724197"/>
      <w:r>
        <w:rPr>
          <w:rStyle w:val="CharSectno"/>
        </w:rPr>
        <w:t>1</w:t>
      </w:r>
      <w:r>
        <w:t>.</w:t>
      </w:r>
      <w:r>
        <w:tab/>
        <w:t>Citation</w:t>
      </w:r>
      <w:bookmarkEnd w:id="8"/>
      <w:bookmarkEnd w:id="9"/>
    </w:p>
    <w:p>
      <w:pPr>
        <w:pStyle w:val="Subsection"/>
      </w:pPr>
      <w:r>
        <w:tab/>
      </w:r>
      <w:r>
        <w:tab/>
      </w:r>
      <w:bookmarkStart w:id="10" w:name="Start_Cursor"/>
      <w:bookmarkEnd w:id="10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Health Regulations Amendment (Medicines and Poisons) Regulations 2024</w:t>
      </w:r>
      <w:r>
        <w:t>.</w:t>
      </w:r>
    </w:p>
    <w:p>
      <w:pPr>
        <w:pStyle w:val="Heading5"/>
        <w:rPr>
          <w:spacing w:val="-2"/>
        </w:rPr>
      </w:pPr>
      <w:bookmarkStart w:id="11" w:name="_Toc184300940"/>
      <w:bookmarkStart w:id="12" w:name="_Toc18472419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 (</w:t>
      </w:r>
      <w:r>
        <w:rPr>
          <w:rStyle w:val="CharDefText"/>
        </w:rPr>
        <w:t>publication day</w:t>
      </w:r>
      <w:r>
        <w:t>);</w:t>
      </w:r>
    </w:p>
    <w:p>
      <w:pPr>
        <w:pStyle w:val="Indenta"/>
      </w:pPr>
      <w:r>
        <w:tab/>
        <w:t>(b)</w:t>
      </w:r>
      <w:r>
        <w:tab/>
        <w:t>regulation 10 — on the day after the period of 6 months beginning on the day after publication day;</w:t>
      </w:r>
    </w:p>
    <w:p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publication day.</w:t>
      </w:r>
    </w:p>
    <w:p>
      <w:pPr>
        <w:pStyle w:val="Heading2"/>
      </w:pPr>
      <w:bookmarkStart w:id="13" w:name="_Toc184300941"/>
      <w:bookmarkStart w:id="14" w:name="_Toc184301004"/>
      <w:bookmarkStart w:id="15" w:name="_Toc184301048"/>
      <w:bookmarkStart w:id="16" w:name="_Toc184301143"/>
      <w:bookmarkStart w:id="17" w:name="_Toc184724199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Medicines and Poisons Regulations 2016</w:t>
      </w:r>
      <w:r>
        <w:rPr>
          <w:rStyle w:val="CharPartText"/>
        </w:rPr>
        <w:t xml:space="preserve"> amended</w:t>
      </w:r>
      <w:bookmarkEnd w:id="13"/>
      <w:bookmarkEnd w:id="14"/>
      <w:bookmarkEnd w:id="15"/>
      <w:bookmarkEnd w:id="16"/>
      <w:bookmarkEnd w:id="17"/>
    </w:p>
    <w:p>
      <w:pPr>
        <w:pStyle w:val="Heading5"/>
        <w:rPr>
          <w:snapToGrid w:val="0"/>
        </w:rPr>
      </w:pPr>
      <w:bookmarkStart w:id="18" w:name="_Toc184300942"/>
      <w:bookmarkStart w:id="19" w:name="_Toc18472420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8"/>
      <w:bookmarkEnd w:id="19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Medicines and Poisons Regulations 2016</w:t>
      </w:r>
      <w:r>
        <w:t>.</w:t>
      </w:r>
    </w:p>
    <w:p>
      <w:pPr>
        <w:pStyle w:val="Heading5"/>
      </w:pPr>
      <w:bookmarkStart w:id="20" w:name="_Toc184300943"/>
      <w:bookmarkStart w:id="21" w:name="_Toc184724201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20"/>
      <w:bookmarkEnd w:id="21"/>
    </w:p>
    <w:p>
      <w:pPr>
        <w:pStyle w:val="Subsection"/>
      </w:pPr>
      <w:r>
        <w:tab/>
        <w:t>(1)</w:t>
      </w:r>
      <w:r>
        <w:tab/>
        <w:t>In regulation 3(1)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dentist</w:t>
      </w:r>
      <w:r>
        <w:t xml:space="preserve"> means a person registered under the </w:t>
      </w:r>
      <w:r>
        <w:rPr>
          <w:i/>
        </w:rPr>
        <w:t>Health Practitioner Regulation National Law (Western Australia)</w:t>
      </w:r>
      <w:r>
        <w:t xml:space="preserve"> whose name is entered on the Dentists Division of the Register of Dental Practitioners kept under that Law;</w:t>
      </w:r>
    </w:p>
    <w:p>
      <w:pPr>
        <w:pStyle w:val="zDefstart"/>
      </w:pPr>
      <w:r>
        <w:tab/>
      </w:r>
      <w:r>
        <w:rPr>
          <w:rStyle w:val="CharDefText"/>
        </w:rPr>
        <w:t>endorsed midwife</w:t>
      </w:r>
      <w:r>
        <w:t xml:space="preserve"> means a person registered under the </w:t>
      </w:r>
      <w:r>
        <w:rPr>
          <w:i/>
        </w:rPr>
        <w:t>Health Practitioner Regulation National Law (Western Australia)</w:t>
      </w:r>
      <w:r>
        <w:t xml:space="preserve"> in the midwifery profession whose registration is endorsed under section 94 of that Law;</w:t>
      </w:r>
    </w:p>
    <w:p>
      <w:pPr>
        <w:pStyle w:val="zDefstart"/>
      </w:pPr>
      <w:r>
        <w:tab/>
      </w:r>
      <w:r>
        <w:rPr>
          <w:rStyle w:val="CharDefText"/>
        </w:rPr>
        <w:t>endorsed podiatrist</w:t>
      </w:r>
      <w:r>
        <w:t xml:space="preserve"> means a podiatrist whose registration is endorsed under the </w:t>
      </w:r>
      <w:r>
        <w:rPr>
          <w:i/>
        </w:rPr>
        <w:t xml:space="preserve">Health Practitioner Regulation National Law (Western Australia) </w:t>
      </w:r>
      <w:r>
        <w:t>section 94;</w:t>
      </w:r>
    </w:p>
    <w:p>
      <w:pPr>
        <w:pStyle w:val="zDefstart"/>
      </w:pPr>
      <w:r>
        <w:tab/>
      </w:r>
      <w:r>
        <w:rPr>
          <w:rStyle w:val="CharDefText"/>
        </w:rPr>
        <w:t>nurse practitioner</w:t>
      </w:r>
      <w:r>
        <w:t xml:space="preserve"> means a person registered under the </w:t>
      </w:r>
      <w:r>
        <w:rPr>
          <w:i/>
        </w:rPr>
        <w:t>Health Practitioner Regulation National Law (Western Australia)</w:t>
      </w:r>
      <w:r>
        <w:t xml:space="preserve"> in the nursing profession whose registration under that Law is endorsed as nurse practitioner;</w:t>
      </w:r>
    </w:p>
    <w:p>
      <w:pPr>
        <w:pStyle w:val="zDefstart"/>
      </w:pPr>
      <w:r>
        <w:tab/>
      </w:r>
      <w:r>
        <w:rPr>
          <w:rStyle w:val="CharDefText"/>
        </w:rPr>
        <w:t>podiatrist</w:t>
      </w:r>
      <w:r>
        <w:t xml:space="preserve"> means a person registered under the </w:t>
      </w:r>
      <w:r>
        <w:rPr>
          <w:i/>
          <w:iCs/>
        </w:rPr>
        <w:t>Health Practitioner Regulation National Law (Western Australia)</w:t>
      </w:r>
      <w:r>
        <w:t xml:space="preserve"> in the podiatry profession;</w:t>
      </w:r>
    </w:p>
    <w:p>
      <w:pPr>
        <w:pStyle w:val="zDefstart"/>
        <w:keepNext/>
      </w:pPr>
      <w:r>
        <w:lastRenderedPageBreak/>
        <w:tab/>
      </w:r>
      <w:r>
        <w:rPr>
          <w:rStyle w:val="CharDefText"/>
        </w:rPr>
        <w:t>Schedule 4 reportable poison</w:t>
      </w:r>
      <w:r>
        <w:t xml:space="preserve"> has the meaning given in section 77(1);</w:t>
      </w:r>
    </w:p>
    <w:p>
      <w:pPr>
        <w:pStyle w:val="zPermNoteHeading"/>
        <w:keepNext/>
      </w:pPr>
      <w:r>
        <w:tab/>
        <w:t>Note for this definition:</w:t>
      </w:r>
    </w:p>
    <w:p>
      <w:pPr>
        <w:pStyle w:val="zPermNoteText"/>
        <w:keepNext/>
      </w:pPr>
      <w:r>
        <w:tab/>
      </w:r>
      <w:r>
        <w:tab/>
        <w:t>See also regulation 7A.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3(1) in the definition of </w:t>
      </w:r>
      <w:r>
        <w:rPr>
          <w:b/>
          <w:bCs/>
          <w:i/>
          <w:iCs/>
        </w:rPr>
        <w:t>residential care chart</w:t>
      </w:r>
      <w:r>
        <w:t xml:space="preserve"> delete paragraph (b) and insert:</w:t>
      </w:r>
    </w:p>
    <w:p>
      <w:pPr>
        <w:pStyle w:val="BlankOpen"/>
      </w:pPr>
    </w:p>
    <w:p>
      <w:pPr>
        <w:pStyle w:val="zDefpara"/>
      </w:pPr>
      <w:r>
        <w:tab/>
        <w:t>(b)</w:t>
      </w:r>
      <w:r>
        <w:tab/>
        <w:t xml:space="preserve">a medication chart as defined in the </w:t>
      </w:r>
      <w:r>
        <w:rPr>
          <w:i/>
        </w:rPr>
        <w:t>National Health (Pharmaceutical Benefits) Regulations 2017</w:t>
      </w:r>
      <w:r>
        <w:t xml:space="preserve"> (Commonwealth) regulation 41(4);</w:t>
      </w:r>
    </w:p>
    <w:p>
      <w:pPr>
        <w:pStyle w:val="BlankClose"/>
      </w:pPr>
    </w:p>
    <w:p>
      <w:pPr>
        <w:pStyle w:val="Heading5"/>
      </w:pPr>
      <w:bookmarkStart w:id="22" w:name="_Toc184300944"/>
      <w:bookmarkStart w:id="23" w:name="_Toc184724202"/>
      <w:r>
        <w:rPr>
          <w:rStyle w:val="CharSectno"/>
        </w:rPr>
        <w:t>5</w:t>
      </w:r>
      <w:r>
        <w:t>.</w:t>
      </w:r>
      <w:r>
        <w:tab/>
        <w:t>Part 2 heading amended</w:t>
      </w:r>
      <w:bookmarkEnd w:id="22"/>
      <w:bookmarkEnd w:id="23"/>
    </w:p>
    <w:p>
      <w:pPr>
        <w:pStyle w:val="Subsection"/>
      </w:pPr>
      <w:r>
        <w:tab/>
      </w:r>
      <w:r>
        <w:tab/>
        <w:t>In the heading to Part 2 delete “</w:t>
      </w:r>
      <w:r>
        <w:rPr>
          <w:b/>
          <w:sz w:val="30"/>
        </w:rPr>
        <w:t>Classification of substances</w:t>
      </w:r>
      <w:r>
        <w:t>” and insert:</w:t>
      </w:r>
    </w:p>
    <w:p>
      <w:pPr>
        <w:pStyle w:val="BlankOpen"/>
      </w:pPr>
    </w:p>
    <w:p>
      <w:pPr>
        <w:pStyle w:val="Subsection"/>
        <w:rPr>
          <w:b/>
          <w:sz w:val="30"/>
        </w:rPr>
      </w:pPr>
      <w:r>
        <w:tab/>
      </w:r>
      <w:r>
        <w:tab/>
      </w:r>
      <w:r>
        <w:rPr>
          <w:b/>
          <w:sz w:val="30"/>
        </w:rPr>
        <w:t>Substances</w:t>
      </w:r>
    </w:p>
    <w:p>
      <w:pPr>
        <w:pStyle w:val="BlankClose"/>
      </w:pPr>
    </w:p>
    <w:p>
      <w:pPr>
        <w:pStyle w:val="Heading5"/>
      </w:pPr>
      <w:bookmarkStart w:id="24" w:name="_Toc184300945"/>
      <w:bookmarkStart w:id="25" w:name="_Toc184724203"/>
      <w:r>
        <w:rPr>
          <w:rStyle w:val="CharSectno"/>
        </w:rPr>
        <w:t>6</w:t>
      </w:r>
      <w:r>
        <w:t>.</w:t>
      </w:r>
      <w:r>
        <w:tab/>
        <w:t>Regulation 7A inserted</w:t>
      </w:r>
      <w:bookmarkEnd w:id="24"/>
      <w:bookmarkEnd w:id="25"/>
    </w:p>
    <w:p>
      <w:pPr>
        <w:pStyle w:val="Subsection"/>
      </w:pPr>
      <w:r>
        <w:tab/>
      </w:r>
      <w:r>
        <w:tab/>
        <w:t>At the end of Part 2 insert:</w:t>
      </w:r>
    </w:p>
    <w:p>
      <w:pPr>
        <w:pStyle w:val="BlankOpen"/>
      </w:pPr>
    </w:p>
    <w:p>
      <w:pPr>
        <w:pStyle w:val="zHeading5"/>
      </w:pPr>
      <w:bookmarkStart w:id="26" w:name="_Toc184300946"/>
      <w:bookmarkStart w:id="27" w:name="_Toc184724204"/>
      <w:r>
        <w:t>7A.</w:t>
      </w:r>
      <w:r>
        <w:tab/>
        <w:t>Schedule 4 reportable poisons (s. 77(2))</w:t>
      </w:r>
      <w:bookmarkEnd w:id="26"/>
      <w:bookmarkEnd w:id="27"/>
    </w:p>
    <w:p>
      <w:pPr>
        <w:pStyle w:val="zSubsection"/>
      </w:pPr>
      <w:r>
        <w:tab/>
      </w:r>
      <w:r>
        <w:tab/>
        <w:t xml:space="preserve">For the purposes of the definition of </w:t>
      </w:r>
      <w:r>
        <w:rPr>
          <w:b/>
          <w:bCs/>
          <w:i/>
          <w:iCs/>
        </w:rPr>
        <w:t>Schedule 4 reportable poison</w:t>
      </w:r>
      <w:r>
        <w:t xml:space="preserve"> in section 77(1), each Schedule 4 poison specified in Schedule 6 of these regulations is a drug of addiction.</w:t>
      </w:r>
    </w:p>
    <w:p>
      <w:pPr>
        <w:pStyle w:val="BlankClose"/>
      </w:pPr>
    </w:p>
    <w:p>
      <w:pPr>
        <w:pStyle w:val="Heading5"/>
      </w:pPr>
      <w:bookmarkStart w:id="28" w:name="_Toc184300947"/>
      <w:bookmarkStart w:id="29" w:name="_Toc184724205"/>
      <w:r>
        <w:rPr>
          <w:rStyle w:val="CharSectno"/>
        </w:rPr>
        <w:lastRenderedPageBreak/>
        <w:t>7</w:t>
      </w:r>
      <w:r>
        <w:t>.</w:t>
      </w:r>
      <w:r>
        <w:tab/>
        <w:t>Regulation 10 amended</w:t>
      </w:r>
      <w:bookmarkEnd w:id="28"/>
      <w:bookmarkEnd w:id="29"/>
    </w:p>
    <w:p>
      <w:pPr>
        <w:pStyle w:val="Subsection"/>
        <w:keepNext/>
      </w:pPr>
      <w:r>
        <w:tab/>
      </w:r>
      <w:r>
        <w:tab/>
        <w:t>After regulation 10(1)(a)(iii) insert:</w:t>
      </w:r>
    </w:p>
    <w:p>
      <w:pPr>
        <w:pStyle w:val="BlankOpen"/>
      </w:pPr>
    </w:p>
    <w:p>
      <w:pPr>
        <w:pStyle w:val="zIndenti"/>
      </w:pPr>
      <w:r>
        <w:tab/>
        <w:t>(iiia)</w:t>
      </w:r>
      <w:r>
        <w:tab/>
        <w:t>if the document is for the supply of a medicine that is a Schedule 4 poison and is not for veterinary use — the date of birth of the patient (unless the supplier otherwise verifies the date of birth of the patient when the medicine is supplied);</w:t>
      </w:r>
    </w:p>
    <w:p>
      <w:pPr>
        <w:pStyle w:val="BlankClose"/>
      </w:pPr>
    </w:p>
    <w:p>
      <w:pPr>
        <w:pStyle w:val="Heading5"/>
      </w:pPr>
      <w:bookmarkStart w:id="30" w:name="_Toc184300948"/>
      <w:bookmarkStart w:id="31" w:name="_Toc184724206"/>
      <w:r>
        <w:rPr>
          <w:rStyle w:val="CharSectno"/>
        </w:rPr>
        <w:t>8</w:t>
      </w:r>
      <w:r>
        <w:t>.</w:t>
      </w:r>
      <w:r>
        <w:tab/>
        <w:t>Regulation 11 amended</w:t>
      </w:r>
      <w:bookmarkEnd w:id="30"/>
      <w:bookmarkEnd w:id="31"/>
    </w:p>
    <w:p>
      <w:pPr>
        <w:pStyle w:val="Subsection"/>
      </w:pPr>
      <w:r>
        <w:tab/>
      </w:r>
      <w:r>
        <w:tab/>
        <w:t>In regulation 11(1)(b)(ii) and (c)(ii) after “signed”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in ink </w:t>
      </w:r>
    </w:p>
    <w:p>
      <w:pPr>
        <w:pStyle w:val="BlankClose"/>
      </w:pPr>
    </w:p>
    <w:p>
      <w:pPr>
        <w:pStyle w:val="Heading5"/>
      </w:pPr>
      <w:bookmarkStart w:id="32" w:name="_Toc184300949"/>
      <w:bookmarkStart w:id="33" w:name="_Toc184724207"/>
      <w:r>
        <w:rPr>
          <w:rStyle w:val="CharSectno"/>
        </w:rPr>
        <w:t>9</w:t>
      </w:r>
      <w:r>
        <w:t>.</w:t>
      </w:r>
      <w:r>
        <w:tab/>
        <w:t>Regulations 12 to 14 replaced</w:t>
      </w:r>
      <w:bookmarkEnd w:id="32"/>
      <w:bookmarkEnd w:id="33"/>
    </w:p>
    <w:p>
      <w:pPr>
        <w:pStyle w:val="Subsection"/>
      </w:pPr>
      <w:r>
        <w:tab/>
      </w:r>
      <w:r>
        <w:tab/>
        <w:t>Delete regulations 12 to 14 and insert:</w:t>
      </w:r>
    </w:p>
    <w:p>
      <w:pPr>
        <w:pStyle w:val="BlankOpen"/>
      </w:pPr>
    </w:p>
    <w:p>
      <w:pPr>
        <w:pStyle w:val="zHeading5"/>
      </w:pPr>
      <w:bookmarkStart w:id="34" w:name="_Toc184300950"/>
      <w:bookmarkStart w:id="35" w:name="_Toc184724208"/>
      <w:r>
        <w:t>12.</w:t>
      </w:r>
      <w:r>
        <w:tab/>
        <w:t>Medication chart for patient in hospital</w:t>
      </w:r>
      <w:bookmarkEnd w:id="34"/>
      <w:bookmarkEnd w:id="35"/>
    </w:p>
    <w:p>
      <w:pPr>
        <w:pStyle w:val="zSubsection"/>
      </w:pPr>
      <w:r>
        <w:tab/>
      </w:r>
      <w:r>
        <w:tab/>
        <w:t xml:space="preserve">For the purposes of paragraph (c) of the definition of </w:t>
      </w:r>
      <w:r>
        <w:rPr>
          <w:b/>
          <w:i/>
        </w:rPr>
        <w:t>prescription</w:t>
      </w:r>
      <w:r>
        <w:t xml:space="preserve"> in section 7(1), a document issued for the purpose of supplying a medicine that is a Schedule 4 or 8 poison for the use by a patient in a hospital can only be in the form of a medication chart if the chart meets the following requirements — </w:t>
      </w:r>
    </w:p>
    <w:p>
      <w:pPr>
        <w:pStyle w:val="zIndenta"/>
      </w:pPr>
      <w:r>
        <w:tab/>
        <w:t>(a)</w:t>
      </w:r>
      <w:r>
        <w:tab/>
        <w:t xml:space="preserve">all the details required by the chart about the patient and the medicine have been completed; </w:t>
      </w:r>
    </w:p>
    <w:p>
      <w:pPr>
        <w:pStyle w:val="zIndenta"/>
        <w:keepNext/>
        <w:keepLines/>
      </w:pPr>
      <w:r>
        <w:lastRenderedPageBreak/>
        <w:tab/>
        <w:t>(b)</w:t>
      </w:r>
      <w:r>
        <w:tab/>
        <w:t xml:space="preserve">for a medication chart completed in hard copy form — the prescriber has, in ink, signed and dated each entry in the chart about the medicine; </w:t>
      </w:r>
    </w:p>
    <w:p>
      <w:pPr>
        <w:pStyle w:val="zIndenta"/>
      </w:pPr>
      <w:r>
        <w:tab/>
        <w:t>(c)</w:t>
      </w:r>
      <w:r>
        <w:tab/>
        <w:t>for a medication chart completed in electronic form — the prescriber has completed the chart using an approved electronic prescribing system.</w:t>
      </w:r>
    </w:p>
    <w:p>
      <w:pPr>
        <w:pStyle w:val="zHeading5"/>
      </w:pPr>
      <w:bookmarkStart w:id="36" w:name="_Toc184300951"/>
      <w:bookmarkStart w:id="37" w:name="_Toc184724209"/>
      <w:r>
        <w:t>13.</w:t>
      </w:r>
      <w:r>
        <w:tab/>
        <w:t>Medication chart for patient discharged from hospital</w:t>
      </w:r>
      <w:bookmarkEnd w:id="36"/>
      <w:bookmarkEnd w:id="37"/>
    </w:p>
    <w:p>
      <w:pPr>
        <w:pStyle w:val="zSubsection"/>
      </w:pPr>
      <w:r>
        <w:tab/>
      </w:r>
      <w:r>
        <w:tab/>
        <w:t xml:space="preserve">For the purposes of paragraph (c) of the definition of </w:t>
      </w:r>
      <w:r>
        <w:rPr>
          <w:b/>
          <w:i/>
        </w:rPr>
        <w:t>prescription</w:t>
      </w:r>
      <w:r>
        <w:t xml:space="preserve"> in section 7(1), a document issued for the purpose of supplying a medicine that is a Schedule 4 or 8 poison when a patient is discharged from hospital can only be in the form of a medication chart if the chart meets the following requirements — </w:t>
      </w:r>
    </w:p>
    <w:p>
      <w:pPr>
        <w:pStyle w:val="zIndenta"/>
      </w:pPr>
      <w:r>
        <w:tab/>
        <w:t>(a)</w:t>
      </w:r>
      <w:r>
        <w:tab/>
        <w:t xml:space="preserve">all the details required by the chart about the patient and the medicine have been completed; </w:t>
      </w:r>
    </w:p>
    <w:p>
      <w:pPr>
        <w:pStyle w:val="zIndenta"/>
      </w:pPr>
      <w:r>
        <w:tab/>
        <w:t>(b)</w:t>
      </w:r>
      <w:r>
        <w:tab/>
        <w:t>for a medication chart completed in hard copy form — the prescriber has, in ink, written, signed and dated an authorisation for the medicine to be dispensed when the patient is discharged;</w:t>
      </w:r>
    </w:p>
    <w:p>
      <w:pPr>
        <w:pStyle w:val="zIndenta"/>
      </w:pPr>
      <w:r>
        <w:tab/>
        <w:t>(c)</w:t>
      </w:r>
      <w:r>
        <w:tab/>
        <w:t xml:space="preserve">for a medication chart completed in electronic form — </w:t>
      </w:r>
    </w:p>
    <w:p>
      <w:pPr>
        <w:pStyle w:val="zIndenti"/>
      </w:pPr>
      <w:r>
        <w:tab/>
        <w:t>(i)</w:t>
      </w:r>
      <w:r>
        <w:tab/>
        <w:t>the prescriber has electronically recorded on the chart an authorisation for the medicine to be dispensed when the patient is discharged; and</w:t>
      </w:r>
    </w:p>
    <w:p>
      <w:pPr>
        <w:pStyle w:val="zIndenti"/>
      </w:pPr>
      <w:r>
        <w:tab/>
        <w:t>(ii)</w:t>
      </w:r>
      <w:r>
        <w:tab/>
        <w:t>the prescriber has completed the chart using an approved electronic prescribing system.</w:t>
      </w:r>
    </w:p>
    <w:p>
      <w:pPr>
        <w:pStyle w:val="zHeading5"/>
      </w:pPr>
      <w:bookmarkStart w:id="38" w:name="_Toc184300952"/>
      <w:bookmarkStart w:id="39" w:name="_Toc184724210"/>
      <w:r>
        <w:lastRenderedPageBreak/>
        <w:t>14.</w:t>
      </w:r>
      <w:r>
        <w:tab/>
        <w:t>Chart for person in residential care</w:t>
      </w:r>
      <w:bookmarkEnd w:id="38"/>
      <w:bookmarkEnd w:id="39"/>
      <w:r>
        <w:t xml:space="preserve"> </w:t>
      </w:r>
    </w:p>
    <w:p>
      <w:pPr>
        <w:pStyle w:val="zSubsection"/>
      </w:pPr>
      <w:r>
        <w:tab/>
        <w:t>(1)</w:t>
      </w:r>
      <w:r>
        <w:tab/>
        <w:t xml:space="preserve">For the purposes of paragraph (c) of the definition of </w:t>
      </w:r>
      <w:r>
        <w:rPr>
          <w:b/>
          <w:i/>
        </w:rPr>
        <w:t>prescription</w:t>
      </w:r>
      <w:r>
        <w:t xml:space="preserve"> in section 7(1), a document issued for the purpose of supplying a medicine that is a Schedule 4 poison for the use of a person who is a care recipient in a residential care facility can only be in the form of a residential care chart if the chart meets the following requirements — </w:t>
      </w:r>
    </w:p>
    <w:p>
      <w:pPr>
        <w:pStyle w:val="zIndenta"/>
      </w:pPr>
      <w:r>
        <w:tab/>
        <w:t>(a)</w:t>
      </w:r>
      <w:r>
        <w:tab/>
        <w:t xml:space="preserve">for a residential care chart completed in hard copy form — </w:t>
      </w:r>
    </w:p>
    <w:p>
      <w:pPr>
        <w:pStyle w:val="zIndenti"/>
      </w:pPr>
      <w:r>
        <w:tab/>
        <w:t>(i)</w:t>
      </w:r>
      <w:r>
        <w:tab/>
        <w:t>all the details required by the chart about the person and the medicine have been completed in ink; and</w:t>
      </w:r>
    </w:p>
    <w:p>
      <w:pPr>
        <w:pStyle w:val="zIndenti"/>
      </w:pPr>
      <w:r>
        <w:tab/>
        <w:t>(ii)</w:t>
      </w:r>
      <w:r>
        <w:tab/>
        <w:t>each entry in the chart about the medicine has been completed in ink; and</w:t>
      </w:r>
    </w:p>
    <w:p>
      <w:pPr>
        <w:pStyle w:val="zIndenti"/>
      </w:pPr>
      <w:r>
        <w:tab/>
        <w:t>(iii)</w:t>
      </w:r>
      <w:r>
        <w:tab/>
        <w:t>the prescriber has, in ink, signed and dated each entry in the chart about the medicine;</w:t>
      </w:r>
    </w:p>
    <w:p>
      <w:pPr>
        <w:pStyle w:val="zIndenta"/>
      </w:pPr>
      <w:r>
        <w:tab/>
        <w:t>(b)</w:t>
      </w:r>
      <w:r>
        <w:tab/>
        <w:t xml:space="preserve">for a residential care chart completed in electronic form — </w:t>
      </w:r>
    </w:p>
    <w:p>
      <w:pPr>
        <w:pStyle w:val="zIndenti"/>
      </w:pPr>
      <w:r>
        <w:tab/>
        <w:t>(i)</w:t>
      </w:r>
      <w:r>
        <w:tab/>
        <w:t>all the details required by the chart about the person and the medicine have been completed; and</w:t>
      </w:r>
    </w:p>
    <w:p>
      <w:pPr>
        <w:pStyle w:val="zIndenti"/>
      </w:pPr>
      <w:r>
        <w:tab/>
        <w:t>(ii)</w:t>
      </w:r>
      <w:r>
        <w:tab/>
        <w:t>the prescriber has completed the chart using an approved electronic prescribing system.</w:t>
      </w:r>
    </w:p>
    <w:p>
      <w:pPr>
        <w:pStyle w:val="zSubsection"/>
        <w:keepNext/>
      </w:pPr>
      <w:r>
        <w:tab/>
        <w:t>(2)</w:t>
      </w:r>
      <w:r>
        <w:tab/>
        <w:t xml:space="preserve">For the purposes of paragraph (c) of the definition of </w:t>
      </w:r>
      <w:r>
        <w:rPr>
          <w:b/>
          <w:i/>
        </w:rPr>
        <w:t>prescription</w:t>
      </w:r>
      <w:r>
        <w:t xml:space="preserve"> in section 7(1), a document issued for the purpose of supplying a medicine that is a Schedule 8 poison for the use of a person who is a care recipient in a residential care facility can only be in the form of a </w:t>
      </w:r>
      <w:r>
        <w:lastRenderedPageBreak/>
        <w:t xml:space="preserve">residential care chart if the chart meets the following requirements — </w:t>
      </w:r>
    </w:p>
    <w:p>
      <w:pPr>
        <w:pStyle w:val="zIndenta"/>
      </w:pPr>
      <w:r>
        <w:tab/>
        <w:t>(a)</w:t>
      </w:r>
      <w:r>
        <w:tab/>
        <w:t>all the details required by the chart about the patient and the medicine have been completed;</w:t>
      </w:r>
    </w:p>
    <w:p>
      <w:pPr>
        <w:pStyle w:val="zIndenta"/>
      </w:pPr>
      <w:r>
        <w:tab/>
        <w:t>(b)</w:t>
      </w:r>
      <w:r>
        <w:tab/>
        <w:t>the prescriber has completed the chart using an approved electronic prescribing system.</w:t>
      </w:r>
    </w:p>
    <w:p>
      <w:pPr>
        <w:pStyle w:val="BlankClose"/>
      </w:pPr>
    </w:p>
    <w:p>
      <w:pPr>
        <w:pStyle w:val="Heading5"/>
      </w:pPr>
      <w:bookmarkStart w:id="40" w:name="_Toc184300953"/>
      <w:bookmarkStart w:id="41" w:name="_Toc184724211"/>
      <w:r>
        <w:rPr>
          <w:rStyle w:val="CharSectno"/>
        </w:rPr>
        <w:t>10</w:t>
      </w:r>
      <w:r>
        <w:t>.</w:t>
      </w:r>
      <w:r>
        <w:tab/>
        <w:t>Part 4 Division 4 inserted</w:t>
      </w:r>
      <w:bookmarkEnd w:id="40"/>
      <w:bookmarkEnd w:id="41"/>
    </w:p>
    <w:p>
      <w:pPr>
        <w:pStyle w:val="Subsection"/>
      </w:pPr>
      <w:r>
        <w:tab/>
      </w:r>
      <w:r>
        <w:tab/>
        <w:t>At the end of Part 4 insert:</w:t>
      </w:r>
    </w:p>
    <w:p>
      <w:pPr>
        <w:pStyle w:val="BlankOpen"/>
      </w:pPr>
    </w:p>
    <w:p>
      <w:pPr>
        <w:pStyle w:val="zHeading3"/>
      </w:pPr>
      <w:bookmarkStart w:id="42" w:name="_Toc184300954"/>
      <w:bookmarkStart w:id="43" w:name="_Toc184301017"/>
      <w:bookmarkStart w:id="44" w:name="_Toc184301061"/>
      <w:bookmarkStart w:id="45" w:name="_Toc184301156"/>
      <w:bookmarkStart w:id="46" w:name="_Toc184724212"/>
      <w:r>
        <w:t>Division 4 — Real</w:t>
      </w:r>
      <w:r>
        <w:noBreakHyphen/>
        <w:t>time prescription monitoring system</w:t>
      </w:r>
      <w:bookmarkEnd w:id="42"/>
      <w:bookmarkEnd w:id="43"/>
      <w:bookmarkEnd w:id="44"/>
      <w:bookmarkEnd w:id="45"/>
      <w:bookmarkEnd w:id="46"/>
    </w:p>
    <w:p>
      <w:pPr>
        <w:pStyle w:val="zHeading5"/>
      </w:pPr>
      <w:bookmarkStart w:id="47" w:name="_Toc184300955"/>
      <w:bookmarkStart w:id="48" w:name="_Toc184724213"/>
      <w:r>
        <w:t>22A.</w:t>
      </w:r>
      <w:r>
        <w:tab/>
        <w:t>Requirement to register with real</w:t>
      </w:r>
      <w:r>
        <w:noBreakHyphen/>
        <w:t>time prescription monitoring system</w:t>
      </w:r>
      <w:bookmarkEnd w:id="47"/>
      <w:bookmarkEnd w:id="48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real</w:t>
      </w:r>
      <w:r>
        <w:rPr>
          <w:rStyle w:val="CharDefText"/>
        </w:rPr>
        <w:noBreakHyphen/>
        <w:t>time prescription monitoring system</w:t>
      </w:r>
      <w:r>
        <w:t xml:space="preserve"> means an electronic system — </w:t>
      </w:r>
    </w:p>
    <w:p>
      <w:pPr>
        <w:pStyle w:val="zDefpara"/>
      </w:pPr>
      <w:r>
        <w:tab/>
        <w:t>(a)</w:t>
      </w:r>
      <w:r>
        <w:tab/>
        <w:t>operated by or on behalf of the Department; and</w:t>
      </w:r>
    </w:p>
    <w:p>
      <w:pPr>
        <w:pStyle w:val="zDefpara"/>
      </w:pPr>
      <w:r>
        <w:tab/>
        <w:t>(b)</w:t>
      </w:r>
      <w:r>
        <w:tab/>
        <w:t>used to monitor the dispensing and prescribing of relevant medicines;</w:t>
      </w:r>
    </w:p>
    <w:p>
      <w:pPr>
        <w:pStyle w:val="zDefstart"/>
      </w:pPr>
      <w:r>
        <w:tab/>
      </w:r>
      <w:r>
        <w:rPr>
          <w:rStyle w:val="CharDefText"/>
        </w:rPr>
        <w:t>relevant health professional</w:t>
      </w:r>
      <w:r>
        <w:t xml:space="preserve"> means a dentist, endorsed midwife, endorsed podiatrist, medical practitioner, nurse practitioner or pharmacist;</w:t>
      </w:r>
    </w:p>
    <w:p>
      <w:pPr>
        <w:pStyle w:val="zDefstart"/>
      </w:pPr>
      <w:r>
        <w:tab/>
      </w:r>
      <w:r>
        <w:rPr>
          <w:rStyle w:val="CharDefText"/>
        </w:rPr>
        <w:t>relevant medicine</w:t>
      </w:r>
      <w:r>
        <w:t xml:space="preserve"> means a medicine that is a Schedule 4 reportable poison or a Schedule 8 poison.</w:t>
      </w:r>
    </w:p>
    <w:p>
      <w:pPr>
        <w:pStyle w:val="zSubsection"/>
      </w:pPr>
      <w:r>
        <w:tab/>
        <w:t>(2)</w:t>
      </w:r>
      <w:r>
        <w:tab/>
        <w:t xml:space="preserve">This regulation applies to a relevant health professional who dispenses or prescribes a relevant medicine to a patient. </w:t>
      </w:r>
    </w:p>
    <w:p>
      <w:pPr>
        <w:pStyle w:val="zSubsection"/>
      </w:pPr>
      <w:r>
        <w:lastRenderedPageBreak/>
        <w:tab/>
        <w:t>(3)</w:t>
      </w:r>
      <w:r>
        <w:tab/>
        <w:t>Before dispensing or prescribing the medicine, the health professional must register with a real</w:t>
      </w:r>
      <w:r>
        <w:noBreakHyphen/>
        <w:t>time prescription monitoring system.</w:t>
      </w:r>
    </w:p>
    <w:p>
      <w:pPr>
        <w:pStyle w:val="zPenstart"/>
      </w:pPr>
      <w:r>
        <w:tab/>
        <w:t>Penalty for this subregulation: a fine of $1 000.</w:t>
      </w:r>
    </w:p>
    <w:p>
      <w:pPr>
        <w:pStyle w:val="BlankClose"/>
      </w:pPr>
    </w:p>
    <w:p>
      <w:pPr>
        <w:pStyle w:val="Heading5"/>
      </w:pPr>
      <w:bookmarkStart w:id="49" w:name="_Toc184300956"/>
      <w:bookmarkStart w:id="50" w:name="_Toc184724214"/>
      <w:r>
        <w:rPr>
          <w:rStyle w:val="CharSectno"/>
        </w:rPr>
        <w:t>11</w:t>
      </w:r>
      <w:r>
        <w:t>.</w:t>
      </w:r>
      <w:r>
        <w:tab/>
        <w:t>Regulation 23 amended</w:t>
      </w:r>
      <w:bookmarkEnd w:id="49"/>
      <w:bookmarkEnd w:id="50"/>
    </w:p>
    <w:p>
      <w:pPr>
        <w:pStyle w:val="Subsection"/>
      </w:pPr>
      <w:r>
        <w:tab/>
      </w:r>
      <w:r>
        <w:tab/>
        <w:t>In regulation 23(1):</w:t>
      </w:r>
    </w:p>
    <w:p>
      <w:pPr>
        <w:pStyle w:val="Indenta"/>
      </w:pPr>
      <w:r>
        <w:tab/>
        <w:t>(a)</w:t>
      </w:r>
      <w:r>
        <w:tab/>
        <w:t xml:space="preserve">in paragraph (e) delete “poison —” and insert: 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poison not issued using an approved electronic prescribing system — 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(e)(ii) delete “with the approval of the CEO,”.</w:t>
      </w:r>
    </w:p>
    <w:p>
      <w:pPr>
        <w:pStyle w:val="Heading5"/>
      </w:pPr>
      <w:bookmarkStart w:id="51" w:name="_Toc184300957"/>
      <w:bookmarkStart w:id="52" w:name="_Toc184724215"/>
      <w:r>
        <w:rPr>
          <w:rStyle w:val="CharSectno"/>
        </w:rPr>
        <w:t>12</w:t>
      </w:r>
      <w:r>
        <w:t>.</w:t>
      </w:r>
      <w:r>
        <w:tab/>
        <w:t>Regulation 24 amended</w:t>
      </w:r>
      <w:bookmarkEnd w:id="51"/>
      <w:bookmarkEnd w:id="52"/>
    </w:p>
    <w:p>
      <w:pPr>
        <w:pStyle w:val="Subsection"/>
      </w:pPr>
      <w:r>
        <w:tab/>
      </w:r>
      <w:r>
        <w:tab/>
        <w:t>After regulation 24(3) insert:</w:t>
      </w:r>
    </w:p>
    <w:p>
      <w:pPr>
        <w:pStyle w:val="BlankOpen"/>
      </w:pPr>
    </w:p>
    <w:p>
      <w:pPr>
        <w:pStyle w:val="zSubsection"/>
      </w:pPr>
      <w:r>
        <w:tab/>
        <w:t>(4)</w:t>
      </w:r>
      <w:r>
        <w:tab/>
        <w:t>This regulation does not apply to a prescription for the supply of a medicine that is a Schedule 4 or 8 poison if that prescription is issued using an approved electronic prescribing system.</w:t>
      </w:r>
    </w:p>
    <w:p>
      <w:pPr>
        <w:pStyle w:val="BlankClose"/>
      </w:pPr>
    </w:p>
    <w:p>
      <w:pPr>
        <w:pStyle w:val="Heading5"/>
      </w:pPr>
      <w:bookmarkStart w:id="53" w:name="_Toc184300958"/>
      <w:bookmarkStart w:id="54" w:name="_Toc184724216"/>
      <w:r>
        <w:rPr>
          <w:rStyle w:val="CharSectno"/>
        </w:rPr>
        <w:t>13</w:t>
      </w:r>
      <w:r>
        <w:t>.</w:t>
      </w:r>
      <w:r>
        <w:tab/>
        <w:t>Regulation 37 amended</w:t>
      </w:r>
      <w:bookmarkEnd w:id="53"/>
      <w:bookmarkEnd w:id="54"/>
    </w:p>
    <w:p>
      <w:pPr>
        <w:pStyle w:val="Subsection"/>
      </w:pPr>
      <w:r>
        <w:tab/>
      </w:r>
      <w:r>
        <w:tab/>
        <w:t>In regulation 37 delete the definitions of: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dentist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endorsed midwife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endorsed podiatrist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nurse practitioner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podiatrist</w:t>
      </w:r>
    </w:p>
    <w:p>
      <w:pPr>
        <w:pStyle w:val="Heading5"/>
      </w:pPr>
      <w:bookmarkStart w:id="55" w:name="_Toc184300959"/>
      <w:bookmarkStart w:id="56" w:name="_Toc184724217"/>
      <w:r>
        <w:rPr>
          <w:rStyle w:val="CharSectno"/>
        </w:rPr>
        <w:lastRenderedPageBreak/>
        <w:t>14</w:t>
      </w:r>
      <w:r>
        <w:t>.</w:t>
      </w:r>
      <w:r>
        <w:tab/>
        <w:t>Regulation 80 amended</w:t>
      </w:r>
      <w:bookmarkEnd w:id="55"/>
      <w:bookmarkEnd w:id="56"/>
    </w:p>
    <w:p>
      <w:pPr>
        <w:pStyle w:val="Subsection"/>
      </w:pPr>
      <w:r>
        <w:tab/>
      </w:r>
      <w:r>
        <w:tab/>
        <w:t>In regulation 80(2)(a) after “signed”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in ink</w:t>
      </w:r>
    </w:p>
    <w:p>
      <w:pPr>
        <w:pStyle w:val="BlankClose"/>
      </w:pPr>
    </w:p>
    <w:p>
      <w:pPr>
        <w:pStyle w:val="Heading5"/>
      </w:pPr>
      <w:bookmarkStart w:id="57" w:name="_Toc184300960"/>
      <w:bookmarkStart w:id="58" w:name="_Toc184724218"/>
      <w:r>
        <w:rPr>
          <w:rStyle w:val="CharSectno"/>
        </w:rPr>
        <w:t>15</w:t>
      </w:r>
      <w:r>
        <w:t>.</w:t>
      </w:r>
      <w:r>
        <w:tab/>
        <w:t>Part 11 heading replaced</w:t>
      </w:r>
      <w:bookmarkEnd w:id="57"/>
      <w:bookmarkEnd w:id="58"/>
    </w:p>
    <w:p>
      <w:pPr>
        <w:pStyle w:val="Subsection"/>
      </w:pPr>
      <w:r>
        <w:tab/>
      </w:r>
      <w:r>
        <w:tab/>
        <w:t>Delete the heading to Part 11 and insert:</w:t>
      </w:r>
    </w:p>
    <w:p>
      <w:pPr>
        <w:pStyle w:val="BlankOpen"/>
      </w:pPr>
    </w:p>
    <w:p>
      <w:pPr>
        <w:pStyle w:val="zHeading2"/>
      </w:pPr>
      <w:bookmarkStart w:id="59" w:name="_Toc184300961"/>
      <w:bookmarkStart w:id="60" w:name="_Toc184301024"/>
      <w:bookmarkStart w:id="61" w:name="_Toc184301068"/>
      <w:bookmarkStart w:id="62" w:name="_Toc184301163"/>
      <w:bookmarkStart w:id="63" w:name="_Toc184724219"/>
      <w:r>
        <w:t>Part 11 — Prescription and supply of medicines that are Schedule 4 reportable poisons or Schedule 8 poisons</w:t>
      </w:r>
      <w:bookmarkEnd w:id="59"/>
      <w:bookmarkEnd w:id="60"/>
      <w:bookmarkEnd w:id="61"/>
      <w:bookmarkEnd w:id="62"/>
      <w:bookmarkEnd w:id="63"/>
    </w:p>
    <w:p>
      <w:pPr>
        <w:pStyle w:val="BlankClose"/>
      </w:pPr>
    </w:p>
    <w:p>
      <w:pPr>
        <w:pStyle w:val="Heading5"/>
      </w:pPr>
      <w:bookmarkStart w:id="64" w:name="_Toc184300962"/>
      <w:bookmarkStart w:id="65" w:name="_Toc184724220"/>
      <w:r>
        <w:rPr>
          <w:rStyle w:val="CharSectno"/>
        </w:rPr>
        <w:t>16</w:t>
      </w:r>
      <w:r>
        <w:t>.</w:t>
      </w:r>
      <w:r>
        <w:tab/>
        <w:t>Regulation 114 amended</w:t>
      </w:r>
      <w:bookmarkEnd w:id="64"/>
      <w:bookmarkEnd w:id="65"/>
    </w:p>
    <w:p>
      <w:pPr>
        <w:pStyle w:val="Subsection"/>
      </w:pPr>
      <w:r>
        <w:tab/>
        <w:t>(1)</w:t>
      </w:r>
      <w:r>
        <w:tab/>
        <w:t>In regulation 114 delete the definition of “</w:t>
      </w:r>
      <w:r>
        <w:rPr>
          <w:b/>
          <w:bCs/>
          <w:i/>
          <w:iCs/>
        </w:rPr>
        <w:t>cannabis</w:t>
      </w:r>
      <w:r>
        <w:rPr>
          <w:b/>
          <w:bCs/>
          <w:i/>
          <w:iCs/>
        </w:rPr>
        <w:noBreakHyphen/>
        <w:t>based produc</w:t>
      </w:r>
      <w:r>
        <w:rPr>
          <w:b/>
          <w:bCs/>
          <w:i/>
          <w:iCs/>
          <w:spacing w:val="20"/>
        </w:rPr>
        <w:t>t</w:t>
      </w:r>
      <w:r>
        <w:t>”.</w:t>
      </w:r>
    </w:p>
    <w:p>
      <w:pPr>
        <w:pStyle w:val="Subsection"/>
      </w:pPr>
      <w:r>
        <w:tab/>
        <w:t>(2)</w:t>
      </w:r>
      <w:r>
        <w:tab/>
        <w:t xml:space="preserve">In regulation 114 in the definition of </w:t>
      </w:r>
      <w:r>
        <w:rPr>
          <w:b/>
          <w:bCs/>
          <w:i/>
          <w:iCs/>
        </w:rPr>
        <w:t>prescribing code</w:t>
      </w:r>
      <w:r>
        <w:t xml:space="preserve"> delete “</w:t>
      </w:r>
      <w:r>
        <w:rPr>
          <w:i/>
        </w:rPr>
        <w:t>Schedule 8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</w:rPr>
      </w:pPr>
      <w:r>
        <w:tab/>
      </w:r>
      <w:r>
        <w:tab/>
      </w:r>
      <w:r>
        <w:rPr>
          <w:i/>
        </w:rPr>
        <w:t>Monitored</w:t>
      </w:r>
    </w:p>
    <w:p>
      <w:pPr>
        <w:pStyle w:val="BlankClose"/>
      </w:pPr>
    </w:p>
    <w:p>
      <w:pPr>
        <w:pStyle w:val="Heading5"/>
      </w:pPr>
      <w:bookmarkStart w:id="66" w:name="_Toc184300963"/>
      <w:bookmarkStart w:id="67" w:name="_Toc184724221"/>
      <w:r>
        <w:rPr>
          <w:rStyle w:val="CharSectno"/>
        </w:rPr>
        <w:t>17</w:t>
      </w:r>
      <w:r>
        <w:t>.</w:t>
      </w:r>
      <w:r>
        <w:tab/>
        <w:t>Regulation 115 amended</w:t>
      </w:r>
      <w:bookmarkEnd w:id="66"/>
      <w:bookmarkEnd w:id="67"/>
    </w:p>
    <w:p>
      <w:pPr>
        <w:pStyle w:val="Subsection"/>
      </w:pPr>
      <w:r>
        <w:tab/>
      </w:r>
      <w:r>
        <w:tab/>
        <w:t>In regulation 115 delete “Schedule 8”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Schedule 4 reportable poison or a Schedule 8</w:t>
      </w:r>
    </w:p>
    <w:p>
      <w:pPr>
        <w:pStyle w:val="BlankClose"/>
      </w:pPr>
    </w:p>
    <w:p>
      <w:pPr>
        <w:pStyle w:val="Heading5"/>
      </w:pPr>
      <w:bookmarkStart w:id="68" w:name="_Toc184300964"/>
      <w:bookmarkStart w:id="69" w:name="_Toc184724222"/>
      <w:r>
        <w:rPr>
          <w:rStyle w:val="CharSectno"/>
        </w:rPr>
        <w:lastRenderedPageBreak/>
        <w:t>18</w:t>
      </w:r>
      <w:r>
        <w:t>.</w:t>
      </w:r>
      <w:r>
        <w:tab/>
        <w:t>Regulation 116 amended</w:t>
      </w:r>
      <w:bookmarkEnd w:id="68"/>
      <w:bookmarkEnd w:id="69"/>
    </w:p>
    <w:p>
      <w:pPr>
        <w:pStyle w:val="Subsection"/>
        <w:keepNext/>
      </w:pPr>
      <w:r>
        <w:tab/>
      </w:r>
      <w:r>
        <w:tab/>
        <w:t xml:space="preserve">In regulation 116(2): </w:t>
      </w:r>
    </w:p>
    <w:p>
      <w:pPr>
        <w:pStyle w:val="Indenta"/>
      </w:pPr>
      <w:r>
        <w:tab/>
        <w:t>(a)</w:t>
      </w:r>
      <w:r>
        <w:tab/>
        <w:t>delete “Schedule 8”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Schedule 4 reportable poison or a Schedule 8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(a) delete “a cannabis</w:t>
      </w:r>
      <w:r>
        <w:noBreakHyphen/>
        <w:t>based product or”;</w:t>
      </w:r>
    </w:p>
    <w:p>
      <w:pPr>
        <w:pStyle w:val="Indenta"/>
      </w:pPr>
      <w:r>
        <w:tab/>
        <w:t>(c)</w:t>
      </w:r>
      <w:r>
        <w:tab/>
        <w:t>delete paragraph (b).</w:t>
      </w:r>
    </w:p>
    <w:p>
      <w:pPr>
        <w:pStyle w:val="SectAltNote"/>
      </w:pPr>
      <w:r>
        <w:tab/>
        <w:t>Note: The heading to amended regulation 116 is to read:</w:t>
      </w:r>
    </w:p>
    <w:p>
      <w:pPr>
        <w:pStyle w:val="SectAltHeading"/>
      </w:pPr>
      <w:r>
        <w:tab/>
      </w:r>
      <w:r>
        <w:tab/>
        <w:t>Requirements for prescription or supply of medicine that is Schedule 4 reportable poison or Schedule 8 poison</w:t>
      </w:r>
    </w:p>
    <w:p>
      <w:pPr>
        <w:pStyle w:val="Heading5"/>
      </w:pPr>
      <w:bookmarkStart w:id="70" w:name="_Toc184300965"/>
      <w:bookmarkStart w:id="71" w:name="_Toc184724223"/>
      <w:r>
        <w:rPr>
          <w:rStyle w:val="CharSectno"/>
        </w:rPr>
        <w:t>19</w:t>
      </w:r>
      <w:r>
        <w:t>.</w:t>
      </w:r>
      <w:r>
        <w:tab/>
        <w:t>Part 11 Division 3 deleted</w:t>
      </w:r>
      <w:bookmarkEnd w:id="70"/>
      <w:bookmarkEnd w:id="71"/>
    </w:p>
    <w:p>
      <w:pPr>
        <w:pStyle w:val="Subsection"/>
      </w:pPr>
      <w:r>
        <w:tab/>
      </w:r>
      <w:r>
        <w:tab/>
        <w:t>Delete Part 11 Division 3.</w:t>
      </w:r>
    </w:p>
    <w:p>
      <w:pPr>
        <w:pStyle w:val="Heading5"/>
      </w:pPr>
      <w:bookmarkStart w:id="72" w:name="_Toc184300966"/>
      <w:bookmarkStart w:id="73" w:name="_Toc184724224"/>
      <w:r>
        <w:rPr>
          <w:rStyle w:val="CharSectno"/>
        </w:rPr>
        <w:t>20</w:t>
      </w:r>
      <w:r>
        <w:t>.</w:t>
      </w:r>
      <w:r>
        <w:tab/>
        <w:t>Regulation 125 amended</w:t>
      </w:r>
      <w:bookmarkEnd w:id="72"/>
      <w:bookmarkEnd w:id="73"/>
    </w:p>
    <w:p>
      <w:pPr>
        <w:pStyle w:val="Subsection"/>
      </w:pPr>
      <w:r>
        <w:tab/>
        <w:t>(1)</w:t>
      </w:r>
      <w:r>
        <w:tab/>
        <w:t>In regulation 125 delete the definitions of: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current stimulant clinic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current stimulant prescriber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stimulant co</w:t>
      </w:r>
      <w:r>
        <w:rPr>
          <w:b/>
          <w:bCs/>
          <w:i/>
          <w:iCs/>
        </w:rPr>
        <w:noBreakHyphen/>
        <w:t>prescriber</w:t>
      </w:r>
    </w:p>
    <w:p>
      <w:pPr>
        <w:pStyle w:val="Subsection"/>
      </w:pPr>
      <w:r>
        <w:tab/>
        <w:t>(2)</w:t>
      </w:r>
      <w:r>
        <w:tab/>
        <w:t xml:space="preserve">In regulation 125 in the definition of </w:t>
      </w:r>
      <w:r>
        <w:rPr>
          <w:b/>
          <w:bCs/>
          <w:i/>
          <w:iCs/>
        </w:rPr>
        <w:t>stimulant prescriber</w:t>
      </w:r>
      <w:r>
        <w:t xml:space="preserve"> delete “designated as a stimulant prescriber”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or a person within a class of medical practitioners designated</w:t>
      </w:r>
    </w:p>
    <w:p>
      <w:pPr>
        <w:pStyle w:val="BlankClose"/>
      </w:pPr>
    </w:p>
    <w:p>
      <w:pPr>
        <w:pStyle w:val="Heading5"/>
      </w:pPr>
      <w:bookmarkStart w:id="74" w:name="_Toc184300967"/>
      <w:bookmarkStart w:id="75" w:name="_Toc184724225"/>
      <w:r>
        <w:rPr>
          <w:rStyle w:val="CharSectno"/>
        </w:rPr>
        <w:t>21</w:t>
      </w:r>
      <w:r>
        <w:t>.</w:t>
      </w:r>
      <w:r>
        <w:tab/>
        <w:t>Regulation 126 amended</w:t>
      </w:r>
      <w:bookmarkEnd w:id="74"/>
      <w:bookmarkEnd w:id="75"/>
    </w:p>
    <w:p>
      <w:pPr>
        <w:pStyle w:val="Subsection"/>
      </w:pPr>
      <w:r>
        <w:tab/>
        <w:t>(1)</w:t>
      </w:r>
      <w:r>
        <w:tab/>
        <w:t>Delete regulation 126(2)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 xml:space="preserve">If a medical practitioner has prescribed or supplied a stimulant for the treatment of a patient, an authorised </w:t>
      </w:r>
      <w:r>
        <w:lastRenderedPageBreak/>
        <w:t xml:space="preserve">health professional is authorised to prescribe or supply the stimulant for the continued treatment of the patient with the stimulant if — </w:t>
      </w:r>
    </w:p>
    <w:p>
      <w:pPr>
        <w:pStyle w:val="zIndenta"/>
      </w:pPr>
      <w:r>
        <w:tab/>
        <w:t>(a)</w:t>
      </w:r>
      <w:r>
        <w:tab/>
        <w:t>the patient is under regular treatment with the stimulant by the medical practitioner; and</w:t>
      </w:r>
    </w:p>
    <w:p>
      <w:pPr>
        <w:pStyle w:val="zIndenta"/>
      </w:pPr>
      <w:r>
        <w:tab/>
        <w:t>(b)</w:t>
      </w:r>
      <w:r>
        <w:tab/>
        <w:t>the medical practitioner has not made a notification under regulation 130(1A) in relation to the patient’s treatment with the stimulant; and</w:t>
      </w:r>
    </w:p>
    <w:p>
      <w:pPr>
        <w:pStyle w:val="zIndenta"/>
      </w:pPr>
      <w:r>
        <w:tab/>
        <w:t>(c)</w:t>
      </w:r>
      <w:r>
        <w:tab/>
        <w:t>the health professional’s prescription or supply of the stimulant is in accordance with the requirements for the stimulant set out in the prescribing code; and</w:t>
      </w:r>
    </w:p>
    <w:p>
      <w:pPr>
        <w:pStyle w:val="zIndenta"/>
      </w:pPr>
      <w:r>
        <w:tab/>
        <w:t>(d)</w:t>
      </w:r>
      <w:r>
        <w:tab/>
        <w:t xml:space="preserve">the health professional’s prescription or supply of the stimulant — </w:t>
      </w:r>
    </w:p>
    <w:p>
      <w:pPr>
        <w:pStyle w:val="zIndenti"/>
      </w:pPr>
      <w:r>
        <w:tab/>
        <w:t>(i)</w:t>
      </w:r>
      <w:r>
        <w:tab/>
        <w:t>is in accordance with a written instruction from the medical practitioner to the health professional; or</w:t>
      </w:r>
    </w:p>
    <w:p>
      <w:pPr>
        <w:pStyle w:val="zIndenti"/>
      </w:pPr>
      <w:r>
        <w:tab/>
        <w:t>(ii)</w:t>
      </w:r>
      <w:r>
        <w:tab/>
        <w:t>is consistent with the form and dosage of the stimulant previously prescribed or supplied by the medical practitioner for the treatment of the patient.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126(3):</w:t>
      </w:r>
    </w:p>
    <w:p>
      <w:pPr>
        <w:pStyle w:val="Indenta"/>
      </w:pPr>
      <w:r>
        <w:tab/>
        <w:t>(a)</w:t>
      </w:r>
      <w:r>
        <w:tab/>
        <w:t>in paragraph (a) delete “has previously been treated using stimulants; and”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is under regular treatment with the stimulant; and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“previous”.</w:t>
      </w:r>
    </w:p>
    <w:p>
      <w:pPr>
        <w:pStyle w:val="Heading5"/>
      </w:pPr>
      <w:bookmarkStart w:id="76" w:name="_Toc184300968"/>
      <w:bookmarkStart w:id="77" w:name="_Toc184724226"/>
      <w:r>
        <w:rPr>
          <w:rStyle w:val="CharSectno"/>
        </w:rPr>
        <w:lastRenderedPageBreak/>
        <w:t>22</w:t>
      </w:r>
      <w:r>
        <w:t>.</w:t>
      </w:r>
      <w:r>
        <w:tab/>
        <w:t>Regulation 128 amended</w:t>
      </w:r>
      <w:bookmarkEnd w:id="76"/>
      <w:bookmarkEnd w:id="77"/>
    </w:p>
    <w:p>
      <w:pPr>
        <w:pStyle w:val="Subsection"/>
        <w:keepNext/>
      </w:pPr>
      <w:r>
        <w:tab/>
        <w:t>(1)</w:t>
      </w:r>
      <w:r>
        <w:tab/>
        <w:t>Delete regulation 128(1) and insert:</w:t>
      </w:r>
    </w:p>
    <w:p>
      <w:pPr>
        <w:pStyle w:val="BlankOpen"/>
      </w:pPr>
    </w:p>
    <w:p>
      <w:pPr>
        <w:pStyle w:val="zSubsection"/>
        <w:keepNext/>
      </w:pPr>
      <w:r>
        <w:tab/>
        <w:t>(1)</w:t>
      </w:r>
      <w:r>
        <w:tab/>
        <w:t>The CEO may designate —</w:t>
      </w:r>
    </w:p>
    <w:p>
      <w:pPr>
        <w:pStyle w:val="zIndenta"/>
      </w:pPr>
      <w:r>
        <w:tab/>
        <w:t>(a)</w:t>
      </w:r>
      <w:r>
        <w:tab/>
        <w:t>a medical practitioner as a stimulant prescriber; or</w:t>
      </w:r>
    </w:p>
    <w:p>
      <w:pPr>
        <w:pStyle w:val="zIndenta"/>
      </w:pPr>
      <w:r>
        <w:tab/>
        <w:t>(b)</w:t>
      </w:r>
      <w:r>
        <w:tab/>
        <w:t>a class of medical practitioners, and each person within that class is a stimulant prescriber.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After regulation 128(2) insert:</w:t>
      </w:r>
    </w:p>
    <w:p>
      <w:pPr>
        <w:pStyle w:val="BlankOpen"/>
      </w:pPr>
    </w:p>
    <w:p>
      <w:pPr>
        <w:pStyle w:val="zSubsection"/>
      </w:pPr>
      <w:r>
        <w:tab/>
        <w:t>(3)</w:t>
      </w:r>
      <w:r>
        <w:tab/>
        <w:t>A designation under subregulation (1)(b), and any amendment, suspension or revocation under subregulation (2)(c), must be published as soon as is practicable on the Department’s website.</w:t>
      </w:r>
    </w:p>
    <w:p>
      <w:pPr>
        <w:pStyle w:val="BlankClose"/>
      </w:pPr>
    </w:p>
    <w:p>
      <w:pPr>
        <w:pStyle w:val="Heading5"/>
      </w:pPr>
      <w:bookmarkStart w:id="78" w:name="_Toc184300969"/>
      <w:bookmarkStart w:id="79" w:name="_Toc184724227"/>
      <w:r>
        <w:rPr>
          <w:rStyle w:val="CharSectno"/>
        </w:rPr>
        <w:t>23</w:t>
      </w:r>
      <w:r>
        <w:t>.</w:t>
      </w:r>
      <w:r>
        <w:tab/>
        <w:t>Regulation 129 deleted</w:t>
      </w:r>
      <w:bookmarkEnd w:id="78"/>
      <w:bookmarkEnd w:id="79"/>
    </w:p>
    <w:p>
      <w:pPr>
        <w:pStyle w:val="Subsection"/>
      </w:pPr>
      <w:r>
        <w:tab/>
      </w:r>
      <w:r>
        <w:tab/>
        <w:t xml:space="preserve">Delete regulation 129. </w:t>
      </w:r>
    </w:p>
    <w:p>
      <w:pPr>
        <w:pStyle w:val="Heading5"/>
      </w:pPr>
      <w:bookmarkStart w:id="80" w:name="_Toc184300970"/>
      <w:bookmarkStart w:id="81" w:name="_Toc184724228"/>
      <w:r>
        <w:rPr>
          <w:rStyle w:val="CharSectno"/>
        </w:rPr>
        <w:t>24</w:t>
      </w:r>
      <w:r>
        <w:t>.</w:t>
      </w:r>
      <w:r>
        <w:tab/>
        <w:t>Regulation 130 amended</w:t>
      </w:r>
      <w:bookmarkEnd w:id="80"/>
      <w:bookmarkEnd w:id="81"/>
    </w:p>
    <w:p>
      <w:pPr>
        <w:pStyle w:val="Subsection"/>
      </w:pPr>
      <w:r>
        <w:tab/>
        <w:t>(1)</w:t>
      </w:r>
      <w:r>
        <w:tab/>
        <w:t>Delete regulation 130(1)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 xml:space="preserve">This regulation applies if a medical practitioner — </w:t>
      </w:r>
    </w:p>
    <w:p>
      <w:pPr>
        <w:pStyle w:val="zIndenta"/>
      </w:pPr>
      <w:r>
        <w:tab/>
        <w:t>(a)</w:t>
      </w:r>
      <w:r>
        <w:tab/>
        <w:t>stops the treatment of a patient with a stimulant; and</w:t>
      </w:r>
    </w:p>
    <w:p>
      <w:pPr>
        <w:pStyle w:val="zIndenta"/>
      </w:pPr>
      <w:r>
        <w:tab/>
        <w:t>(b)</w:t>
      </w:r>
      <w:r>
        <w:tab/>
        <w:t xml:space="preserve">considers that an authorisation under regulation 118 would be required to continue the treatment of the patient with the stimulant. </w:t>
      </w:r>
    </w:p>
    <w:p>
      <w:pPr>
        <w:pStyle w:val="zSubsection"/>
      </w:pPr>
      <w:r>
        <w:lastRenderedPageBreak/>
        <w:tab/>
        <w:t>(1A)</w:t>
      </w:r>
      <w:r>
        <w:tab/>
        <w:t>The medical practitioner must notify the CEO as soon as is practicable in accordance with subregulation (2).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130(2):</w:t>
      </w:r>
    </w:p>
    <w:p>
      <w:pPr>
        <w:pStyle w:val="Indenta"/>
      </w:pPr>
      <w:r>
        <w:tab/>
        <w:t>(a)</w:t>
      </w:r>
      <w:r>
        <w:tab/>
        <w:t>in paragraph (b) delete “stimulant.”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stimulant;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(b) insert:</w:t>
      </w:r>
    </w:p>
    <w:p>
      <w:pPr>
        <w:pStyle w:val="BlankOpen"/>
      </w:pPr>
    </w:p>
    <w:p>
      <w:pPr>
        <w:pStyle w:val="zIndenta"/>
      </w:pPr>
      <w:r>
        <w:tab/>
        <w:t>(c)</w:t>
      </w:r>
      <w:r>
        <w:tab/>
        <w:t>the reason the medical practitioner stopped the treatment of the patient with the stimulant.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130 is to read:</w:t>
      </w:r>
    </w:p>
    <w:p>
      <w:pPr>
        <w:pStyle w:val="SectAltHeading"/>
      </w:pPr>
      <w:r>
        <w:tab/>
      </w:r>
      <w:r>
        <w:tab/>
        <w:t>Stimulant prescriber to notify CEO if patient’s stimulant treatment stops</w:t>
      </w:r>
    </w:p>
    <w:p>
      <w:pPr>
        <w:pStyle w:val="Heading5"/>
      </w:pPr>
      <w:bookmarkStart w:id="82" w:name="_Toc184300971"/>
      <w:bookmarkStart w:id="83" w:name="_Toc184724229"/>
      <w:r>
        <w:rPr>
          <w:rStyle w:val="CharSectno"/>
        </w:rPr>
        <w:t>25</w:t>
      </w:r>
      <w:r>
        <w:t>.</w:t>
      </w:r>
      <w:r>
        <w:tab/>
        <w:t>Regulations 131 and 132 deleted</w:t>
      </w:r>
      <w:bookmarkEnd w:id="82"/>
      <w:bookmarkEnd w:id="83"/>
    </w:p>
    <w:p>
      <w:pPr>
        <w:pStyle w:val="Subsection"/>
      </w:pPr>
      <w:r>
        <w:tab/>
      </w:r>
      <w:r>
        <w:tab/>
        <w:t>Delete regulations 131 and 132.</w:t>
      </w:r>
    </w:p>
    <w:p>
      <w:pPr>
        <w:pStyle w:val="Heading5"/>
        <w:keepLines w:val="0"/>
      </w:pPr>
      <w:bookmarkStart w:id="84" w:name="_Toc184300972"/>
      <w:bookmarkStart w:id="85" w:name="_Toc184724230"/>
      <w:r>
        <w:rPr>
          <w:rStyle w:val="CharSectno"/>
        </w:rPr>
        <w:t>26</w:t>
      </w:r>
      <w:r>
        <w:t>.</w:t>
      </w:r>
      <w:r>
        <w:tab/>
        <w:t>Regulation 143 amended</w:t>
      </w:r>
      <w:bookmarkEnd w:id="84"/>
      <w:bookmarkEnd w:id="85"/>
    </w:p>
    <w:p>
      <w:pPr>
        <w:pStyle w:val="Subsection"/>
      </w:pPr>
      <w:r>
        <w:tab/>
      </w:r>
      <w:r>
        <w:tab/>
        <w:t>In regulation 143(1):</w:t>
      </w:r>
    </w:p>
    <w:p>
      <w:pPr>
        <w:pStyle w:val="Indenta"/>
      </w:pPr>
      <w:r>
        <w:tab/>
        <w:t>(a)</w:t>
      </w:r>
      <w:r>
        <w:tab/>
        <w:t>in paragraph (e) delete “a Schedule 8 poison”;</w:t>
      </w:r>
    </w:p>
    <w:p>
      <w:pPr>
        <w:pStyle w:val="Indenta"/>
      </w:pPr>
      <w:r>
        <w:tab/>
        <w:t>(b)</w:t>
      </w:r>
      <w:r>
        <w:tab/>
        <w:t>in paragraph (f) delete “Schedule 8”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Schedule 4 reportable poison or a Schedule 8 </w:t>
      </w:r>
    </w:p>
    <w:p>
      <w:pPr>
        <w:pStyle w:val="BlankClose"/>
      </w:pPr>
    </w:p>
    <w:p>
      <w:pPr>
        <w:pStyle w:val="Heading5"/>
      </w:pPr>
      <w:bookmarkStart w:id="86" w:name="_Toc184300973"/>
      <w:bookmarkStart w:id="87" w:name="_Toc184724231"/>
      <w:r>
        <w:rPr>
          <w:rStyle w:val="CharSectno"/>
        </w:rPr>
        <w:t>27</w:t>
      </w:r>
      <w:r>
        <w:t>.</w:t>
      </w:r>
      <w:r>
        <w:tab/>
        <w:t>Regulation 143A amended</w:t>
      </w:r>
      <w:bookmarkEnd w:id="86"/>
      <w:bookmarkEnd w:id="87"/>
    </w:p>
    <w:p>
      <w:pPr>
        <w:pStyle w:val="Subsection"/>
      </w:pPr>
      <w:r>
        <w:tab/>
      </w:r>
      <w:r>
        <w:tab/>
        <w:t>In regulation 143A(1)(c)(ii) delete “if the medicine is a Schedule 8 poison —”.</w:t>
      </w:r>
    </w:p>
    <w:p>
      <w:pPr>
        <w:pStyle w:val="Heading5"/>
      </w:pPr>
      <w:bookmarkStart w:id="88" w:name="_Toc184300974"/>
      <w:bookmarkStart w:id="89" w:name="_Toc184724232"/>
      <w:r>
        <w:rPr>
          <w:rStyle w:val="CharSectno"/>
        </w:rPr>
        <w:lastRenderedPageBreak/>
        <w:t>28</w:t>
      </w:r>
      <w:r>
        <w:t>.</w:t>
      </w:r>
      <w:r>
        <w:tab/>
        <w:t>Regulation 155 amended</w:t>
      </w:r>
      <w:bookmarkEnd w:id="88"/>
      <w:bookmarkEnd w:id="89"/>
    </w:p>
    <w:p>
      <w:pPr>
        <w:pStyle w:val="Subsection"/>
      </w:pPr>
      <w:r>
        <w:tab/>
      </w:r>
      <w:r>
        <w:tab/>
        <w:t>In regulation 155 in the Table delete item 11.</w:t>
      </w:r>
    </w:p>
    <w:p>
      <w:pPr>
        <w:pStyle w:val="Heading5"/>
      </w:pPr>
      <w:bookmarkStart w:id="90" w:name="_Toc184300975"/>
      <w:bookmarkStart w:id="91" w:name="_Toc184724233"/>
      <w:r>
        <w:rPr>
          <w:rStyle w:val="CharSectno"/>
        </w:rPr>
        <w:t>29</w:t>
      </w:r>
      <w:r>
        <w:t>.</w:t>
      </w:r>
      <w:r>
        <w:tab/>
        <w:t>Schedule 6 inserted</w:t>
      </w:r>
      <w:bookmarkEnd w:id="90"/>
      <w:bookmarkEnd w:id="91"/>
    </w:p>
    <w:p>
      <w:pPr>
        <w:pStyle w:val="Subsection"/>
      </w:pPr>
      <w:r>
        <w:tab/>
      </w:r>
      <w:r>
        <w:tab/>
        <w:t>After Schedule 5 insert:</w:t>
      </w:r>
    </w:p>
    <w:p>
      <w:pPr>
        <w:pStyle w:val="BlankOpen"/>
      </w:pPr>
    </w:p>
    <w:p>
      <w:pPr>
        <w:pStyle w:val="zyScheduleHeading"/>
        <w:rPr>
          <w:sz w:val="28"/>
        </w:rPr>
      </w:pPr>
      <w:bookmarkStart w:id="92" w:name="_Toc184300976"/>
      <w:bookmarkStart w:id="93" w:name="_Toc184301039"/>
      <w:bookmarkStart w:id="94" w:name="_Toc184301083"/>
      <w:bookmarkStart w:id="95" w:name="_Toc184301178"/>
      <w:bookmarkStart w:id="96" w:name="_Toc184724234"/>
      <w:r>
        <w:rPr>
          <w:sz w:val="28"/>
        </w:rPr>
        <w:t>Schedule 6 — List of Schedule 4 reportable poisons</w:t>
      </w:r>
      <w:bookmarkEnd w:id="92"/>
      <w:bookmarkEnd w:id="93"/>
      <w:bookmarkEnd w:id="94"/>
      <w:bookmarkEnd w:id="95"/>
      <w:bookmarkEnd w:id="96"/>
    </w:p>
    <w:p>
      <w:pPr>
        <w:pStyle w:val="zyShoulderClause"/>
      </w:pPr>
      <w:r>
        <w:t>[r. 7A]</w:t>
      </w:r>
    </w:p>
    <w:tbl>
      <w:tblPr>
        <w:tblW w:w="68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596"/>
        <w:gridCol w:w="6237"/>
      </w:tblGrid>
      <w:tr>
        <w:trPr>
          <w:cantSplit/>
        </w:trPr>
        <w:tc>
          <w:tcPr>
            <w:tcW w:w="596" w:type="dxa"/>
          </w:tcPr>
          <w:p>
            <w:pPr>
              <w:pStyle w:val="zyTableNAm"/>
              <w:rPr>
                <w:bCs/>
              </w:rPr>
            </w:pPr>
            <w:r>
              <w:t>1.</w:t>
            </w:r>
          </w:p>
        </w:tc>
        <w:tc>
          <w:tcPr>
            <w:tcW w:w="6237" w:type="dxa"/>
          </w:tcPr>
          <w:p>
            <w:pPr>
              <w:pStyle w:val="zyTableNAm"/>
              <w:rPr>
                <w:rStyle w:val="DraftersNotes"/>
              </w:rPr>
            </w:pPr>
            <w:r>
              <w:t>All benzodiazepines as specified in the current Poisons Standard Schedule 4</w:t>
            </w:r>
          </w:p>
        </w:tc>
      </w:tr>
      <w:tr>
        <w:trPr>
          <w:cantSplit/>
        </w:trPr>
        <w:tc>
          <w:tcPr>
            <w:tcW w:w="596" w:type="dxa"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6237" w:type="dxa"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All benzodiazepine derivatives as specified in the current Poisons Standard Schedule 4</w:t>
            </w:r>
          </w:p>
        </w:tc>
      </w:tr>
      <w:tr>
        <w:trPr>
          <w:cantSplit/>
        </w:trPr>
        <w:tc>
          <w:tcPr>
            <w:tcW w:w="596" w:type="dxa"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6237" w:type="dxa"/>
          </w:tcPr>
          <w:p>
            <w:pPr>
              <w:pStyle w:val="zyTableNAm"/>
            </w:pPr>
            <w:r>
              <w:t>Codeine as specified in the current Poisons Standard Schedule 4</w:t>
            </w:r>
          </w:p>
        </w:tc>
      </w:tr>
      <w:tr>
        <w:trPr>
          <w:cantSplit/>
        </w:trPr>
        <w:tc>
          <w:tcPr>
            <w:tcW w:w="596" w:type="dxa"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6237" w:type="dxa"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Gabapentin</w:t>
            </w:r>
          </w:p>
        </w:tc>
      </w:tr>
      <w:tr>
        <w:trPr>
          <w:cantSplit/>
        </w:trPr>
        <w:tc>
          <w:tcPr>
            <w:tcW w:w="596" w:type="dxa"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6237" w:type="dxa"/>
          </w:tcPr>
          <w:p>
            <w:pPr>
              <w:pStyle w:val="zyTableNAm"/>
            </w:pPr>
            <w:r>
              <w:t>Pregabalin</w:t>
            </w:r>
          </w:p>
        </w:tc>
      </w:tr>
      <w:tr>
        <w:trPr>
          <w:cantSplit/>
        </w:trPr>
        <w:tc>
          <w:tcPr>
            <w:tcW w:w="596" w:type="dxa"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6237" w:type="dxa"/>
          </w:tcPr>
          <w:p>
            <w:pPr>
              <w:pStyle w:val="zyTableNAm"/>
            </w:pPr>
            <w:r>
              <w:t>Quetiapine</w:t>
            </w:r>
          </w:p>
        </w:tc>
      </w:tr>
      <w:tr>
        <w:trPr>
          <w:cantSplit/>
        </w:trPr>
        <w:tc>
          <w:tcPr>
            <w:tcW w:w="596" w:type="dxa"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6237" w:type="dxa"/>
          </w:tcPr>
          <w:p>
            <w:pPr>
              <w:pStyle w:val="zyTableNAm"/>
            </w:pPr>
            <w:r>
              <w:t>Tramadol</w:t>
            </w:r>
          </w:p>
        </w:tc>
      </w:tr>
      <w:tr>
        <w:trPr>
          <w:cantSplit/>
        </w:trPr>
        <w:tc>
          <w:tcPr>
            <w:tcW w:w="596" w:type="dxa"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6237" w:type="dxa"/>
          </w:tcPr>
          <w:p>
            <w:pPr>
              <w:pStyle w:val="zyTableNAm"/>
            </w:pPr>
            <w:r>
              <w:t>Zolpidem</w:t>
            </w:r>
          </w:p>
        </w:tc>
      </w:tr>
      <w:tr>
        <w:trPr>
          <w:cantSplit/>
        </w:trPr>
        <w:tc>
          <w:tcPr>
            <w:tcW w:w="596" w:type="dxa"/>
          </w:tcPr>
          <w:p>
            <w:pPr>
              <w:pStyle w:val="zyTableNAm"/>
              <w:rPr>
                <w:snapToGrid w:val="0"/>
              </w:rPr>
            </w:pPr>
            <w:r>
              <w:t>9.</w:t>
            </w:r>
          </w:p>
        </w:tc>
        <w:tc>
          <w:tcPr>
            <w:tcW w:w="6237" w:type="dxa"/>
          </w:tcPr>
          <w:p>
            <w:pPr>
              <w:pStyle w:val="zyTableNAm"/>
            </w:pPr>
            <w:r>
              <w:t>Zopiclone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97" w:name="_Toc184300977"/>
      <w:bookmarkStart w:id="98" w:name="_Toc184301040"/>
      <w:bookmarkStart w:id="99" w:name="_Toc184301084"/>
      <w:bookmarkStart w:id="100" w:name="_Toc184301179"/>
      <w:bookmarkStart w:id="101" w:name="_Toc184724235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Health (Notification of Stimulant Induced Psychosis) Regulations 2010</w:t>
      </w:r>
      <w:r>
        <w:rPr>
          <w:rStyle w:val="CharPartText"/>
        </w:rPr>
        <w:t xml:space="preserve"> amended</w:t>
      </w:r>
      <w:bookmarkEnd w:id="97"/>
      <w:bookmarkEnd w:id="98"/>
      <w:bookmarkEnd w:id="99"/>
      <w:bookmarkEnd w:id="100"/>
      <w:bookmarkEnd w:id="101"/>
    </w:p>
    <w:p>
      <w:pPr>
        <w:pStyle w:val="Heading5"/>
      </w:pPr>
      <w:bookmarkStart w:id="102" w:name="_Toc184300978"/>
      <w:bookmarkStart w:id="103" w:name="_Toc184724236"/>
      <w:r>
        <w:rPr>
          <w:rStyle w:val="CharSectno"/>
        </w:rPr>
        <w:t>30</w:t>
      </w:r>
      <w:r>
        <w:t>.</w:t>
      </w:r>
      <w:r>
        <w:tab/>
        <w:t>Regulations amended</w:t>
      </w:r>
      <w:bookmarkEnd w:id="102"/>
      <w:bookmarkEnd w:id="103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Health (Notification of Stimulant Induced Psychosis) Regulations 2010</w:t>
      </w:r>
      <w:r>
        <w:t>.</w:t>
      </w:r>
    </w:p>
    <w:p>
      <w:pPr>
        <w:pStyle w:val="Heading5"/>
      </w:pPr>
      <w:bookmarkStart w:id="104" w:name="_Toc184300979"/>
      <w:bookmarkStart w:id="105" w:name="_Toc184724237"/>
      <w:r>
        <w:rPr>
          <w:rStyle w:val="CharSectno"/>
        </w:rPr>
        <w:t>31</w:t>
      </w:r>
      <w:r>
        <w:t>.</w:t>
      </w:r>
      <w:r>
        <w:tab/>
        <w:t>Regulation 3 amended</w:t>
      </w:r>
      <w:bookmarkEnd w:id="104"/>
      <w:bookmarkEnd w:id="105"/>
    </w:p>
    <w:p>
      <w:pPr>
        <w:pStyle w:val="Subsection"/>
      </w:pPr>
      <w:r>
        <w:tab/>
      </w:r>
      <w:r>
        <w:tab/>
        <w:t>In regulation 3 delete the definitions of: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current stimulant clinic</w:t>
      </w:r>
    </w:p>
    <w:p>
      <w:pPr>
        <w:pStyle w:val="DeleteListSub"/>
        <w:rPr>
          <w:b/>
          <w:bCs/>
          <w:i/>
          <w:iCs/>
        </w:rPr>
      </w:pPr>
      <w:r>
        <w:rPr>
          <w:b/>
          <w:bCs/>
          <w:i/>
          <w:iCs/>
        </w:rPr>
        <w:t>current stimulant prescriber</w:t>
      </w:r>
    </w:p>
    <w:p>
      <w:pPr>
        <w:pStyle w:val="Heading5"/>
      </w:pPr>
      <w:bookmarkStart w:id="106" w:name="_Toc184300980"/>
      <w:bookmarkStart w:id="107" w:name="_Toc184724238"/>
      <w:r>
        <w:rPr>
          <w:rStyle w:val="CharSectno"/>
        </w:rPr>
        <w:t>32</w:t>
      </w:r>
      <w:r>
        <w:t>.</w:t>
      </w:r>
      <w:r>
        <w:tab/>
        <w:t>Regulation 7 amended</w:t>
      </w:r>
      <w:bookmarkEnd w:id="106"/>
      <w:bookmarkEnd w:id="107"/>
    </w:p>
    <w:p>
      <w:pPr>
        <w:pStyle w:val="Subsection"/>
      </w:pPr>
      <w:r>
        <w:tab/>
      </w:r>
      <w:r>
        <w:tab/>
        <w:t>In regulation 7(2) delete “who, at the time the notification is received, has a current stimulant prescriber or a current stimulant clinic.”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who has been prescribed or supplied a stimulant under the </w:t>
      </w:r>
      <w:r>
        <w:rPr>
          <w:i/>
        </w:rPr>
        <w:t>Medicines and Poisons Regulations 2016</w:t>
      </w:r>
      <w:r>
        <w:t xml:space="preserve"> regulation 126 in the previous 6 months.</w:t>
      </w:r>
    </w:p>
    <w:p>
      <w:pPr>
        <w:pStyle w:val="BlankClose"/>
      </w:pPr>
    </w:p>
    <w:p>
      <w:pPr>
        <w:pStyle w:val="Heading5"/>
      </w:pPr>
      <w:bookmarkStart w:id="108" w:name="_Toc184300981"/>
      <w:bookmarkStart w:id="109" w:name="_Toc184724239"/>
      <w:r>
        <w:rPr>
          <w:rStyle w:val="CharSectno"/>
        </w:rPr>
        <w:t>33</w:t>
      </w:r>
      <w:r>
        <w:t>.</w:t>
      </w:r>
      <w:r>
        <w:tab/>
        <w:t>Regulation 8 amended</w:t>
      </w:r>
      <w:bookmarkEnd w:id="108"/>
      <w:bookmarkEnd w:id="109"/>
    </w:p>
    <w:p>
      <w:pPr>
        <w:pStyle w:val="Subsection"/>
      </w:pPr>
      <w:r>
        <w:tab/>
      </w:r>
      <w:r>
        <w:tab/>
        <w:t>Delete regulation 8(b) and insert:</w:t>
      </w:r>
    </w:p>
    <w:p>
      <w:pPr>
        <w:pStyle w:val="BlankOpen"/>
      </w:pPr>
    </w:p>
    <w:p>
      <w:pPr>
        <w:pStyle w:val="zIndenta"/>
      </w:pPr>
      <w:r>
        <w:tab/>
        <w:t>(b)</w:t>
      </w:r>
      <w:r>
        <w:tab/>
        <w:t xml:space="preserve">is to a medical practitioner or authorised health professional who — </w:t>
      </w:r>
    </w:p>
    <w:p>
      <w:pPr>
        <w:pStyle w:val="zIndenti"/>
      </w:pPr>
      <w:r>
        <w:tab/>
        <w:t>(i)</w:t>
      </w:r>
      <w:r>
        <w:tab/>
        <w:t xml:space="preserve">is authorised under the </w:t>
      </w:r>
      <w:r>
        <w:rPr>
          <w:i/>
          <w:iCs/>
        </w:rPr>
        <w:t>Medicines and Poisons Regulations 2016</w:t>
      </w:r>
      <w:r>
        <w:t xml:space="preserve"> regulation 126 to prescribe or supply a stimulant for the treatment of the person to whom the information relates; and</w:t>
      </w:r>
    </w:p>
    <w:p>
      <w:pPr>
        <w:pStyle w:val="zIndenti"/>
      </w:pPr>
      <w:r>
        <w:lastRenderedPageBreak/>
        <w:tab/>
        <w:t>(ii)</w:t>
      </w:r>
      <w:r>
        <w:tab/>
        <w:t>has prescribed or supplied the stimulant to the person.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DF7C4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25BCB63" w14:textId="6F5E6324" w:rsidR="00A81F7B" w:rsidRDefault="00A81F7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7284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69687E8" w14:textId="77777777" w:rsidR="00A81F7B" w:rsidRDefault="00A81F7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7E89B56" w14:textId="06F248EC" w:rsidR="00A81F7B" w:rsidRDefault="00A81F7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7284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9BF3BB" w14:textId="77777777" w:rsidR="00A81F7B" w:rsidRDefault="00A81F7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Regulations Amendment (Medicines and Poisons)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Regulations Amendment (Medicines and Poisons)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Regulations Amendment (Medicines and Poisons)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Regulations Amendment (Medicines and Poisons)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0" w:name="Coversheet"/>
    <w:bookmarkEnd w:id="1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514211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241028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24102843_GUID" w:val="715342b4-516a-4c7c-a9e7-c4e077911949"/>
    <w:docVar w:name="WAFER_202410251449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25144903_GUID" w:val="6bba2693-e238-407c-a8ad-e23df25489a5"/>
    <w:docVar w:name="WAFER_202411201306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20130611_GUID" w:val="7f72e553-1c15-4967-8ab4-06639ad57238"/>
    <w:docVar w:name="WAFER_202412051421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5142113_GUID" w:val="67e7ea2e-2a8d-4678-bc14-011402c2dc1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5:docId w15:val="{1C6AE132-9D4F-43D8-8254-E7D644406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2759</Words>
  <Characters>14679</Characters>
  <Application>Microsoft Office Word</Application>
  <DocSecurity>0</DocSecurity>
  <Lines>564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Regulations Amendment (Medicines and Poisons) Regulations 2024 - 00-00-00</dc:title>
  <dc:subject/>
  <dc:creator/>
  <cp:keywords/>
  <dc:description/>
  <cp:lastModifiedBy>Master Repository Process</cp:lastModifiedBy>
  <cp:revision>4</cp:revision>
  <cp:lastPrinted>2024-10-30T06:25:00Z</cp:lastPrinted>
  <dcterms:created xsi:type="dcterms:W3CDTF">2025-06-26T02:45:00Z</dcterms:created>
  <dcterms:modified xsi:type="dcterms:W3CDTF">2025-06-26T02:45:00Z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54639</vt:lpwstr>
  </property>
  <property fmtid="{D5CDD505-2E9C-101B-9397-08002B2CF9AE}" pid="3" name="DocumentType">
    <vt:lpwstr>Reg</vt:lpwstr>
  </property>
  <property fmtid="{D5CDD505-2E9C-101B-9397-08002B2CF9AE}" pid="4" name="AsAtDate">
    <vt:lpwstr>11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2024/265</vt:lpwstr>
  </property>
  <property fmtid="{D5CDD505-2E9C-101B-9397-08002B2CF9AE}" pid="8" name="PublishDate">
    <vt:lpwstr>11 Dec 2024</vt:lpwstr>
  </property>
  <property fmtid="{D5CDD505-2E9C-101B-9397-08002B2CF9AE}" pid="9" name="CommencementDate">
    <vt:lpwstr>20241211</vt:lpwstr>
  </property>
  <property fmtid="{D5CDD505-2E9C-101B-9397-08002B2CF9AE}" pid="10" name="CommencementAsAt">
    <vt:filetime>2024-12-10T16:00:00Z</vt:filetime>
  </property>
  <property fmtid="{D5CDD505-2E9C-101B-9397-08002B2CF9AE}" pid="11" name="CommencementYear">
    <vt:lpwstr>2024</vt:lpwstr>
  </property>
</Properties>
</file>