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_Toc184378394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_Toc184378395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_Toc184378396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_Toc184378397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_Toc184378398 \h </w:instrText>
      </w:r>
      <w:r>
        <w:fldChar w:fldCharType="separate"/>
      </w:r>
      <w:r>
        <w:t>2</w:t>
      </w:r>
      <w:r>
        <w:fldChar w:fldCharType="end"/>
      </w:r>
    </w:p>
    <w:p>
      <w:pPr>
        <w:pStyle w:val="TOC8"/>
        <w:rPr>
          <w:rFonts w:asciiTheme="minorHAnsi" w:eastAsiaTheme="minorEastAsia" w:hAnsiTheme="minorHAnsi" w:cstheme="minorBidi"/>
          <w:szCs w:val="22"/>
        </w:rPr>
      </w:pPr>
      <w:r>
        <w:t>6.</w:t>
      </w:r>
      <w:r>
        <w:tab/>
        <w:t>Certain fees subject to conditions</w:t>
      </w:r>
      <w:r>
        <w:tab/>
      </w:r>
      <w:r>
        <w:fldChar w:fldCharType="begin"/>
      </w:r>
      <w:r>
        <w:instrText xml:space="preserve"> PAGEREF _Toc184378399 \h </w:instrText>
      </w:r>
      <w:r>
        <w:fldChar w:fldCharType="separate"/>
      </w:r>
      <w:r>
        <w:t>3</w:t>
      </w:r>
      <w:r>
        <w:fldChar w:fldCharType="end"/>
      </w:r>
    </w:p>
    <w:p>
      <w:pPr>
        <w:pStyle w:val="TOC8"/>
        <w:rPr>
          <w:rFonts w:asciiTheme="minorHAnsi" w:eastAsiaTheme="minorEastAsia" w:hAnsiTheme="minorHAnsi" w:cstheme="minorBidi"/>
          <w:szCs w:val="22"/>
        </w:rPr>
      </w:pPr>
      <w:r>
        <w:t>6AA.</w:t>
      </w:r>
      <w:r>
        <w:tab/>
        <w:t>Certain application and transcript fees must be waived</w:t>
      </w:r>
      <w:r>
        <w:tab/>
      </w:r>
      <w:r>
        <w:fldChar w:fldCharType="begin"/>
      </w:r>
      <w:r>
        <w:instrText xml:space="preserve"> PAGEREF _Toc184378400 \h </w:instrText>
      </w:r>
      <w:r>
        <w:fldChar w:fldCharType="separate"/>
      </w:r>
      <w:r>
        <w:t>4</w:t>
      </w:r>
      <w:r>
        <w:fldChar w:fldCharType="end"/>
      </w:r>
    </w:p>
    <w:p>
      <w:pPr>
        <w:pStyle w:val="TOC8"/>
        <w:rPr>
          <w:rFonts w:asciiTheme="minorHAnsi" w:eastAsiaTheme="minorEastAsia" w:hAnsiTheme="minorHAnsi" w:cstheme="minorBidi"/>
          <w:szCs w:val="22"/>
        </w:rPr>
      </w:pPr>
      <w:r>
        <w:t>6A.</w:t>
      </w:r>
      <w:r>
        <w:tab/>
        <w:t>Certain application fees may be waived</w:t>
      </w:r>
      <w:r>
        <w:tab/>
      </w:r>
      <w:r>
        <w:fldChar w:fldCharType="begin"/>
      </w:r>
      <w:r>
        <w:instrText xml:space="preserve"> PAGEREF _Toc184378401 \h </w:instrText>
      </w:r>
      <w:r>
        <w:fldChar w:fldCharType="separate"/>
      </w:r>
      <w:r>
        <w:t>5</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_Toc184378402 \h </w:instrText>
      </w:r>
      <w:r>
        <w:fldChar w:fldCharType="separate"/>
      </w:r>
      <w:r>
        <w:t>5</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_Toc184378403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_Toc184378404 \h </w:instrText>
      </w:r>
      <w:r>
        <w:fldChar w:fldCharType="separate"/>
      </w:r>
      <w:r>
        <w:t>7</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_Toc184378405 \h </w:instrText>
      </w:r>
      <w:r>
        <w:fldChar w:fldCharType="separate"/>
      </w:r>
      <w:r>
        <w:t>7</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_Toc184378406 \h </w:instrText>
      </w:r>
      <w:r>
        <w:fldChar w:fldCharType="separate"/>
      </w:r>
      <w:r>
        <w:t>8</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_Toc184378407 \h </w:instrText>
      </w:r>
      <w:r>
        <w:fldChar w:fldCharType="separate"/>
      </w:r>
      <w:r>
        <w:t>8</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_Toc184378408 \h </w:instrText>
      </w:r>
      <w:r>
        <w:fldChar w:fldCharType="separate"/>
      </w:r>
      <w:r>
        <w:t>9</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_Toc184378409 \h </w:instrText>
      </w:r>
      <w:r>
        <w:fldChar w:fldCharType="separate"/>
      </w:r>
      <w:r>
        <w:t>9</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_Toc184378410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_Toc184378416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2" w:name="_Toc184378394"/>
      <w:r>
        <w:rPr>
          <w:rStyle w:val="CharSectno"/>
        </w:rPr>
        <w:t>1</w:t>
      </w:r>
      <w:r>
        <w:t>.</w:t>
      </w:r>
      <w:r>
        <w:tab/>
        <w:t>Citation</w:t>
      </w:r>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184378395"/>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4" w:name="_Toc184378396"/>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5" w:name="_Toc184378397"/>
      <w:r>
        <w:rPr>
          <w:rStyle w:val="CharSectno"/>
        </w:rPr>
        <w:t>4</w:t>
      </w:r>
      <w:r>
        <w:t>.</w:t>
      </w:r>
      <w:r>
        <w:tab/>
      </w:r>
      <w:r>
        <w:rPr>
          <w:snapToGrid w:val="0"/>
        </w:rPr>
        <w:t>Fees to be charged (Act s. 53)</w:t>
      </w:r>
      <w:bookmarkEnd w:id="5"/>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6" w:name="_Toc184378398"/>
      <w:r>
        <w:rPr>
          <w:rStyle w:val="CharSectno"/>
        </w:rPr>
        <w:t>5</w:t>
      </w:r>
      <w:r>
        <w:t>.</w:t>
      </w:r>
      <w:r>
        <w:tab/>
        <w:t>Exemptions</w:t>
      </w:r>
      <w:bookmarkEnd w:id="6"/>
    </w:p>
    <w:p>
      <w:pPr>
        <w:pStyle w:val="Subsection"/>
      </w:pPr>
      <w:r>
        <w:tab/>
      </w:r>
      <w:r>
        <w:tab/>
        <w:t>A person is not required to pay a fee in respect of the following —</w:t>
      </w:r>
    </w:p>
    <w:p>
      <w:pPr>
        <w:pStyle w:val="Indenta"/>
      </w:pPr>
      <w:r>
        <w:tab/>
        <w:t>(a)</w:t>
      </w:r>
      <w:r>
        <w:tab/>
        <w:t xml:space="preserve">an application under the </w:t>
      </w:r>
      <w:r>
        <w:rPr>
          <w:i/>
          <w:iCs/>
        </w:rPr>
        <w:t xml:space="preserve">Restraining Orders Act 1997 </w:t>
      </w:r>
      <w:r>
        <w:t>for a family violence restraining order or violence restraining order or to vary or cancel a family violence restraining order or violence restraining order;</w:t>
      </w:r>
    </w:p>
    <w:p>
      <w:pPr>
        <w:pStyle w:val="Indenta"/>
      </w:pPr>
      <w:r>
        <w:tab/>
        <w:t>(b)</w:t>
      </w:r>
      <w:r>
        <w:tab/>
        <w:t xml:space="preserve">an application under the </w:t>
      </w:r>
      <w:r>
        <w:rPr>
          <w:i/>
          <w:iCs/>
        </w:rPr>
        <w:t xml:space="preserve">Prohibited Behaviour Orders Act 2010 </w:t>
      </w:r>
      <w:r>
        <w:t>for a prohibited behaviour order or to vary or cancel a prohibited behaviour order;</w:t>
      </w:r>
    </w:p>
    <w:p>
      <w:pPr>
        <w:pStyle w:val="Indenta"/>
      </w:pPr>
      <w:r>
        <w:tab/>
        <w:t>(c)</w:t>
      </w:r>
      <w:r>
        <w:tab/>
        <w:t xml:space="preserve">civil proceedings under the </w:t>
      </w:r>
      <w:r>
        <w:rPr>
          <w:i/>
        </w:rPr>
        <w:t>Criminal Law (Mental Impairment) Act 2023</w:t>
      </w:r>
      <w:r>
        <w:t>;</w:t>
      </w:r>
    </w:p>
    <w:p>
      <w:pPr>
        <w:pStyle w:val="Indenta"/>
        <w:keepNext/>
      </w:pPr>
      <w:r>
        <w:lastRenderedPageBreak/>
        <w:tab/>
        <w:t>(d)</w:t>
      </w:r>
      <w:r>
        <w:tab/>
        <w:t>a matter if —</w:t>
      </w:r>
    </w:p>
    <w:p>
      <w:pPr>
        <w:pStyle w:val="Indenti"/>
      </w:pPr>
      <w:r>
        <w:tab/>
        <w:t>(i)</w:t>
      </w:r>
      <w:r>
        <w:tab/>
        <w:t>a written law provides that the person is not required to pay a fee in respect of a matter of that type; or</w:t>
      </w:r>
    </w:p>
    <w:p>
      <w:pPr>
        <w:pStyle w:val="Indenti"/>
      </w:pPr>
      <w:r>
        <w:tab/>
        <w:t>(ii)</w:t>
      </w:r>
      <w:r>
        <w:tab/>
        <w:t>the person has not reached 18 years of age on the day the fee would otherwise be payable.</w:t>
      </w:r>
    </w:p>
    <w:p>
      <w:pPr>
        <w:pStyle w:val="Footnotesection"/>
      </w:pPr>
      <w:r>
        <w:tab/>
        <w:t>[Regulation 5 inserted: SL 2024/174 r. 4.]</w:t>
      </w:r>
    </w:p>
    <w:p>
      <w:pPr>
        <w:pStyle w:val="Heading5"/>
        <w:spacing w:before="200"/>
      </w:pPr>
      <w:bookmarkStart w:id="7" w:name="_Toc184378399"/>
      <w:r>
        <w:rPr>
          <w:rStyle w:val="CharSectno"/>
        </w:rPr>
        <w:t>6</w:t>
      </w:r>
      <w:r>
        <w:t>.</w:t>
      </w:r>
      <w:r>
        <w:tab/>
        <w:t>Certain fees subject to conditions</w:t>
      </w:r>
      <w:bookmarkEnd w:id="7"/>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Ednotesubsection"/>
      </w:pPr>
      <w:r>
        <w:tab/>
        <w:t>[(4)</w:t>
      </w:r>
      <w:r>
        <w:tab/>
        <w:t>deleted]</w:t>
      </w:r>
    </w:p>
    <w:p>
      <w:pPr>
        <w:pStyle w:val="Footnotesection"/>
      </w:pPr>
      <w:r>
        <w:tab/>
        <w:t>[Regulation 6 amended: SL 2024/254 r. 4.]</w:t>
      </w:r>
    </w:p>
    <w:p>
      <w:pPr>
        <w:pStyle w:val="Heading5"/>
      </w:pPr>
      <w:bookmarkStart w:id="8" w:name="_Toc184297617"/>
      <w:bookmarkStart w:id="9" w:name="_Toc184297783"/>
      <w:bookmarkStart w:id="10" w:name="_Toc184378400"/>
      <w:r>
        <w:rPr>
          <w:rStyle w:val="CharSectno"/>
        </w:rPr>
        <w:lastRenderedPageBreak/>
        <w:t>6AA</w:t>
      </w:r>
      <w:r>
        <w:t>.</w:t>
      </w:r>
      <w:r>
        <w:tab/>
        <w:t>Certain application and transcript fees must be waived</w:t>
      </w:r>
      <w:bookmarkEnd w:id="8"/>
      <w:bookmarkEnd w:id="9"/>
      <w:bookmarkEnd w:id="10"/>
    </w:p>
    <w:p>
      <w:pPr>
        <w:pStyle w:val="Subsection"/>
      </w:pPr>
      <w:r>
        <w:tab/>
        <w:t>(1)</w:t>
      </w:r>
      <w:r>
        <w:tab/>
        <w:t xml:space="preserve">In this regulation — </w:t>
      </w:r>
    </w:p>
    <w:p>
      <w:pPr>
        <w:pStyle w:val="Defstart"/>
      </w:pPr>
      <w:r>
        <w:tab/>
      </w:r>
      <w:r>
        <w:rPr>
          <w:rStyle w:val="CharDefText"/>
        </w:rPr>
        <w:t>applicant</w:t>
      </w:r>
      <w:r>
        <w:t xml:space="preserve">, in relation to an application for an FVRO or a VRO — </w:t>
      </w:r>
    </w:p>
    <w:p>
      <w:pPr>
        <w:pStyle w:val="Defpara"/>
      </w:pPr>
      <w:r>
        <w:tab/>
        <w:t>(a)</w:t>
      </w:r>
      <w:r>
        <w:tab/>
        <w:t>means the person who made the application; and</w:t>
      </w:r>
    </w:p>
    <w:p>
      <w:pPr>
        <w:pStyle w:val="Defpara"/>
      </w:pPr>
      <w:r>
        <w:tab/>
        <w:t>(b)</w:t>
      </w:r>
      <w:r>
        <w:tab/>
        <w:t>if the application was made on behalf of another person — includes that person;</w:t>
      </w:r>
    </w:p>
    <w:p>
      <w:pPr>
        <w:pStyle w:val="Defstart"/>
      </w:pPr>
      <w:r>
        <w:tab/>
      </w:r>
      <w:r>
        <w:rPr>
          <w:rStyle w:val="CharDefText"/>
        </w:rPr>
        <w:t>FVRO</w:t>
      </w:r>
      <w:r>
        <w:t xml:space="preserve"> means a family violence restraining order made under the </w:t>
      </w:r>
      <w:r>
        <w:rPr>
          <w:i/>
        </w:rPr>
        <w:t>Restraining Orders Act 1997</w:t>
      </w:r>
      <w:r>
        <w:t>;</w:t>
      </w:r>
    </w:p>
    <w:p>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pPr>
        <w:pStyle w:val="Defstart"/>
      </w:pPr>
      <w:r>
        <w:tab/>
      </w:r>
      <w:r>
        <w:rPr>
          <w:rStyle w:val="CharDefText"/>
        </w:rPr>
        <w:t>VRO</w:t>
      </w:r>
      <w:r>
        <w:t xml:space="preserve"> means a violence restraining order under the </w:t>
      </w:r>
      <w:r>
        <w:rPr>
          <w:i/>
        </w:rPr>
        <w:t>Restraining Orders Act 1997</w:t>
      </w:r>
      <w:r>
        <w:t>.</w:t>
      </w:r>
    </w:p>
    <w:p>
      <w:pPr>
        <w:pStyle w:val="Subsection"/>
      </w:pPr>
      <w:r>
        <w:tab/>
        <w:t>(2)</w:t>
      </w:r>
      <w:r>
        <w:tab/>
        <w:t xml:space="preserve">Subregulation (3) applies in relation to an application for an FVRO or a VRO </w:t>
      </w:r>
      <w:r>
        <w:rPr>
          <w:iCs/>
          <w:szCs w:val="24"/>
        </w:rPr>
        <w:t xml:space="preserve">if — </w:t>
      </w:r>
    </w:p>
    <w:p>
      <w:pPr>
        <w:pStyle w:val="Indenta"/>
      </w:pPr>
      <w:r>
        <w:tab/>
        <w:t>(a)</w:t>
      </w:r>
      <w:r>
        <w:tab/>
        <w:t>no decision has been made on the application; or</w:t>
      </w:r>
    </w:p>
    <w:p>
      <w:pPr>
        <w:pStyle w:val="Indenta"/>
      </w:pPr>
      <w:r>
        <w:tab/>
        <w:t>(b)</w:t>
      </w:r>
      <w:r>
        <w:tab/>
        <w:t>the application was dismissed; or</w:t>
      </w:r>
    </w:p>
    <w:p>
      <w:pPr>
        <w:pStyle w:val="Indenta"/>
      </w:pPr>
      <w:r>
        <w:tab/>
        <w:t>(c)</w:t>
      </w:r>
      <w:r>
        <w:tab/>
        <w:t>an interim order was made and the order is still in force.</w:t>
      </w:r>
    </w:p>
    <w:p>
      <w:pPr>
        <w:pStyle w:val="Subsection"/>
      </w:pPr>
      <w:r>
        <w:tab/>
        <w:t>(3)</w:t>
      </w:r>
      <w:r>
        <w:tab/>
        <w:t>A registrar must waive the fee under Schedule 1 Division 1 item 6(a) for a copy of the application when requested by the applicant or the respondent if the applicant or respondent (as is relevant) has not previously obtained a copy of the application.</w:t>
      </w:r>
    </w:p>
    <w:p>
      <w:pPr>
        <w:pStyle w:val="Subsection"/>
        <w:rPr>
          <w:iCs/>
          <w:szCs w:val="24"/>
        </w:rPr>
      </w:pPr>
      <w:r>
        <w:tab/>
        <w:t>(4)</w:t>
      </w:r>
      <w:r>
        <w:tab/>
        <w:t xml:space="preserve">Subregulation (5) applies in relation to the hearing of an application for an FVRO or a VRO </w:t>
      </w:r>
      <w:r>
        <w:rPr>
          <w:iCs/>
          <w:szCs w:val="24"/>
        </w:rPr>
        <w:t xml:space="preserve">at which — </w:t>
      </w:r>
    </w:p>
    <w:p>
      <w:pPr>
        <w:pStyle w:val="Indenta"/>
      </w:pPr>
      <w:r>
        <w:tab/>
        <w:t>(a)</w:t>
      </w:r>
      <w:r>
        <w:tab/>
        <w:t>the application was dismissed; or</w:t>
      </w:r>
    </w:p>
    <w:p>
      <w:pPr>
        <w:pStyle w:val="Indenta"/>
        <w:rPr>
          <w:iCs/>
          <w:szCs w:val="24"/>
        </w:rPr>
      </w:pPr>
      <w:r>
        <w:tab/>
        <w:t>(b)</w:t>
      </w:r>
      <w:r>
        <w:tab/>
      </w:r>
      <w:r>
        <w:rPr>
          <w:iCs/>
          <w:szCs w:val="24"/>
        </w:rPr>
        <w:t>an interim order was made and the order —</w:t>
      </w:r>
    </w:p>
    <w:p>
      <w:pPr>
        <w:pStyle w:val="Indenti"/>
      </w:pPr>
      <w:r>
        <w:tab/>
        <w:t>(i)</w:t>
      </w:r>
      <w:r>
        <w:tab/>
        <w:t>is still in force; or</w:t>
      </w:r>
    </w:p>
    <w:p>
      <w:pPr>
        <w:pStyle w:val="Indenti"/>
      </w:pPr>
      <w:r>
        <w:lastRenderedPageBreak/>
        <w:tab/>
        <w:t>(ii)</w:t>
      </w:r>
      <w:r>
        <w:tab/>
        <w:t xml:space="preserve">has become a final order under the </w:t>
      </w:r>
      <w:r>
        <w:rPr>
          <w:i/>
        </w:rPr>
        <w:t>Restraining Orders Act 1997</w:t>
      </w:r>
      <w:r>
        <w:rPr>
          <w:iCs/>
        </w:rPr>
        <w:t xml:space="preserve"> </w:t>
      </w:r>
      <w:r>
        <w:t>section 32(2).</w:t>
      </w:r>
    </w:p>
    <w:p>
      <w:pPr>
        <w:pStyle w:val="Subsection"/>
      </w:pPr>
      <w:r>
        <w:tab/>
        <w:t>(5)</w:t>
      </w:r>
      <w:r>
        <w:tab/>
        <w:t>A registrar must waive the fee under Schedule 1 Division 1 item 7(a) for a copy of the transcript of the hearing, or a part of the transcript, when requested by the applicant or the respondent if the applicant or respondent (as is relevant) has not previously obtained a copy of the transcript or part.</w:t>
      </w:r>
    </w:p>
    <w:p>
      <w:pPr>
        <w:pStyle w:val="Footnotesection"/>
      </w:pPr>
      <w:r>
        <w:tab/>
        <w:t>[Regulation 6AA inserted: SL 2024/254 r. 5.]</w:t>
      </w:r>
    </w:p>
    <w:p>
      <w:pPr>
        <w:pStyle w:val="Heading5"/>
      </w:pPr>
      <w:bookmarkStart w:id="11" w:name="_Toc184378401"/>
      <w:r>
        <w:rPr>
          <w:rStyle w:val="CharSectno"/>
        </w:rPr>
        <w:t>6A</w:t>
      </w:r>
      <w:r>
        <w:t>.</w:t>
      </w:r>
      <w:r>
        <w:tab/>
        <w:t>Certain application fees may be waived</w:t>
      </w:r>
      <w:bookmarkEnd w:id="11"/>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2" w:name="_Toc184378402"/>
      <w:r>
        <w:rPr>
          <w:rStyle w:val="CharSectno"/>
        </w:rPr>
        <w:t>7</w:t>
      </w:r>
      <w:r>
        <w:t>.</w:t>
      </w:r>
      <w:r>
        <w:tab/>
      </w:r>
      <w:r>
        <w:rPr>
          <w:rStyle w:val="CharSectno"/>
        </w:rPr>
        <w:t>F</w:t>
      </w:r>
      <w:r>
        <w:rPr>
          <w:snapToGrid w:val="0"/>
        </w:rPr>
        <w:t>ees to be paid before documents etc. filed in civil cases</w:t>
      </w:r>
      <w:bookmarkEnd w:id="12"/>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3" w:name="_Toc184378403"/>
      <w:r>
        <w:rPr>
          <w:rStyle w:val="CharSectno"/>
        </w:rPr>
        <w:lastRenderedPageBreak/>
        <w:t>8</w:t>
      </w:r>
      <w:r>
        <w:t>.</w:t>
      </w:r>
      <w:r>
        <w:tab/>
        <w:t>Who is an eligible individual</w:t>
      </w:r>
      <w:bookmarkEnd w:id="13"/>
      <w:r>
        <w:t xml:space="preserve"> </w:t>
      </w:r>
    </w:p>
    <w:p>
      <w:pPr>
        <w:pStyle w:val="Subsection"/>
        <w:keepNext/>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4" w:name="_Toc184378404"/>
      <w:r>
        <w:rPr>
          <w:rStyle w:val="CharSectno"/>
        </w:rPr>
        <w:lastRenderedPageBreak/>
        <w:t>9A</w:t>
      </w:r>
      <w:r>
        <w:t>.</w:t>
      </w:r>
      <w:r>
        <w:tab/>
        <w:t>Application to be recognised as eligible individual</w:t>
      </w:r>
      <w:bookmarkEnd w:id="14"/>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15" w:name="_Toc184378405"/>
      <w:r>
        <w:rPr>
          <w:rStyle w:val="CharSectno"/>
        </w:rPr>
        <w:t>9B</w:t>
      </w:r>
      <w:r>
        <w:t>.</w:t>
      </w:r>
      <w:r>
        <w:tab/>
        <w:t>Recognition as eligible individual</w:t>
      </w:r>
      <w:bookmarkEnd w:id="15"/>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6" w:name="_Toc184378406"/>
      <w:r>
        <w:rPr>
          <w:rStyle w:val="CharSectno"/>
        </w:rPr>
        <w:lastRenderedPageBreak/>
        <w:t>9C</w:t>
      </w:r>
      <w:r>
        <w:t>.</w:t>
      </w:r>
      <w:r>
        <w:tab/>
        <w:t>False or misleading statements</w:t>
      </w:r>
      <w:bookmarkEnd w:id="16"/>
    </w:p>
    <w:p>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7" w:name="_Toc184378407"/>
      <w:r>
        <w:rPr>
          <w:rStyle w:val="CharSectno"/>
        </w:rPr>
        <w:t>9D</w:t>
      </w:r>
      <w:r>
        <w:t>.</w:t>
      </w:r>
      <w:r>
        <w:tab/>
        <w:t>Refunds</w:t>
      </w:r>
      <w:bookmarkEnd w:id="17"/>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keepNext/>
      </w:pPr>
      <w:r>
        <w:lastRenderedPageBreak/>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8" w:name="_Toc184378408"/>
      <w:r>
        <w:rPr>
          <w:rStyle w:val="CharSectno"/>
        </w:rPr>
        <w:t>9</w:t>
      </w:r>
      <w:r>
        <w:t>.</w:t>
      </w:r>
      <w:r>
        <w:tab/>
        <w:t>Waiving fee for copy of document or transcript</w:t>
      </w:r>
      <w:bookmarkEnd w:id="18"/>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Pr>
      <w:bookmarkStart w:id="19" w:name="_Toc184378409"/>
      <w:r>
        <w:rPr>
          <w:rStyle w:val="CharSectno"/>
        </w:rPr>
        <w:t>10</w:t>
      </w:r>
      <w:r>
        <w:t>.</w:t>
      </w:r>
      <w:r>
        <w:tab/>
        <w:t>Disputes as to fees, determination of</w:t>
      </w:r>
      <w:bookmarkEnd w:id="1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20" w:name="_Toc184378410"/>
      <w:r>
        <w:rPr>
          <w:rStyle w:val="CharSectno"/>
        </w:rPr>
        <w:t>11</w:t>
      </w:r>
      <w:r>
        <w:t>.</w:t>
      </w:r>
      <w:r>
        <w:tab/>
        <w:t>Unpaid fees, recovery of</w:t>
      </w:r>
      <w:bookmarkEnd w:id="20"/>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1" w:name="_Toc184306851"/>
      <w:bookmarkStart w:id="22" w:name="_Toc184306876"/>
      <w:bookmarkStart w:id="23" w:name="_Toc184378411"/>
      <w:r>
        <w:rPr>
          <w:rStyle w:val="CharSchNo"/>
        </w:rPr>
        <w:lastRenderedPageBreak/>
        <w:t>Schedule 1</w:t>
      </w:r>
      <w:r>
        <w:t> — </w:t>
      </w:r>
      <w:r>
        <w:rPr>
          <w:rStyle w:val="CharSchText"/>
        </w:rPr>
        <w:t>Fees</w:t>
      </w:r>
      <w:bookmarkEnd w:id="21"/>
      <w:bookmarkEnd w:id="22"/>
      <w:bookmarkEnd w:id="23"/>
    </w:p>
    <w:p>
      <w:pPr>
        <w:pStyle w:val="yShoulderClause"/>
      </w:pPr>
      <w:r>
        <w:t>[r. 4]</w:t>
      </w:r>
    </w:p>
    <w:p>
      <w:pPr>
        <w:pStyle w:val="yFootnoteheading"/>
      </w:pPr>
      <w:r>
        <w:tab/>
        <w:t>[Heading inserted: SL 2024/113 r. 6.]</w:t>
      </w:r>
    </w:p>
    <w:p>
      <w:pPr>
        <w:pStyle w:val="yHeading3"/>
      </w:pPr>
      <w:bookmarkStart w:id="24" w:name="_Toc184306852"/>
      <w:bookmarkStart w:id="25" w:name="_Toc184306877"/>
      <w:bookmarkStart w:id="26" w:name="_Toc184378412"/>
      <w:r>
        <w:rPr>
          <w:rStyle w:val="CharSDivNo"/>
        </w:rPr>
        <w:t>Division 1</w:t>
      </w:r>
      <w:r>
        <w:t> — </w:t>
      </w:r>
      <w:r>
        <w:rPr>
          <w:rStyle w:val="CharSDivText"/>
        </w:rPr>
        <w:t>General</w:t>
      </w:r>
      <w:bookmarkEnd w:id="24"/>
      <w:bookmarkEnd w:id="25"/>
      <w:bookmarkEnd w:id="26"/>
    </w:p>
    <w:p>
      <w:pPr>
        <w:pStyle w:val="yFootnoteheading"/>
      </w:pPr>
      <w:r>
        <w:tab/>
        <w:t>[Heading inserted: SL 2024/113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25.40</w:t>
            </w:r>
          </w:p>
        </w:tc>
        <w:tc>
          <w:tcPr>
            <w:tcW w:w="1310" w:type="dxa"/>
            <w:tcBorders>
              <w:top w:val="single" w:sz="4" w:space="0" w:color="auto"/>
            </w:tcBorders>
            <w:noWrap/>
            <w:vAlign w:val="bottom"/>
          </w:tcPr>
          <w:p>
            <w:pPr>
              <w:pStyle w:val="yTableNAm"/>
              <w:tabs>
                <w:tab w:val="clear" w:pos="567"/>
              </w:tabs>
              <w:ind w:right="268"/>
              <w:jc w:val="right"/>
            </w:pPr>
            <w:r>
              <w:t>7.60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25.40</w:t>
            </w:r>
          </w:p>
        </w:tc>
        <w:tc>
          <w:tcPr>
            <w:tcW w:w="1310" w:type="dxa"/>
            <w:noWrap/>
            <w:vAlign w:val="bottom"/>
          </w:tcPr>
          <w:p>
            <w:pPr>
              <w:pStyle w:val="yTableNAm"/>
              <w:tabs>
                <w:tab w:val="clear" w:pos="567"/>
              </w:tabs>
              <w:ind w:right="268"/>
              <w:jc w:val="right"/>
            </w:pPr>
            <w:r>
              <w:t>7.60</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111.50</w:t>
            </w:r>
          </w:p>
        </w:tc>
        <w:tc>
          <w:tcPr>
            <w:tcW w:w="1310" w:type="dxa"/>
            <w:noWrap/>
            <w:vAlign w:val="bottom"/>
          </w:tcPr>
          <w:p>
            <w:pPr>
              <w:pStyle w:val="yTableNAm"/>
              <w:tabs>
                <w:tab w:val="clear" w:pos="567"/>
              </w:tabs>
              <w:ind w:right="268"/>
              <w:jc w:val="right"/>
            </w:pPr>
            <w:r>
              <w:t>111.50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2.60</w:t>
            </w:r>
          </w:p>
        </w:tc>
        <w:tc>
          <w:tcPr>
            <w:tcW w:w="1310" w:type="dxa"/>
            <w:noWrap/>
            <w:vAlign w:val="bottom"/>
          </w:tcPr>
          <w:p>
            <w:pPr>
              <w:pStyle w:val="yTableNAm"/>
              <w:tabs>
                <w:tab w:val="clear" w:pos="567"/>
              </w:tabs>
              <w:ind w:right="382"/>
              <w:jc w:val="right"/>
            </w:pPr>
            <w:r>
              <w:t>2.60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2.90</w:t>
            </w:r>
          </w:p>
        </w:tc>
        <w:tc>
          <w:tcPr>
            <w:tcW w:w="1310" w:type="dxa"/>
            <w:noWrap/>
            <w:vAlign w:val="bottom"/>
          </w:tcPr>
          <w:p>
            <w:pPr>
              <w:pStyle w:val="yTableNAm"/>
              <w:tabs>
                <w:tab w:val="clear" w:pos="567"/>
              </w:tabs>
              <w:ind w:right="382"/>
              <w:jc w:val="right"/>
            </w:pPr>
            <w:r>
              <w:t>2.90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157.00</w:t>
            </w:r>
          </w:p>
        </w:tc>
        <w:tc>
          <w:tcPr>
            <w:tcW w:w="1310" w:type="dxa"/>
            <w:noWrap/>
            <w:vAlign w:val="bottom"/>
          </w:tcPr>
          <w:p>
            <w:pPr>
              <w:pStyle w:val="yTableNAm"/>
              <w:tabs>
                <w:tab w:val="clear" w:pos="567"/>
              </w:tabs>
              <w:ind w:right="382"/>
              <w:jc w:val="right"/>
            </w:pPr>
            <w:r>
              <w:t>47.10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r>
              <w:t>94.50</w:t>
            </w:r>
          </w:p>
        </w:tc>
        <w:tc>
          <w:tcPr>
            <w:tcW w:w="1310" w:type="dxa"/>
            <w:noWrap/>
            <w:vAlign w:val="bottom"/>
          </w:tcPr>
          <w:p>
            <w:pPr>
              <w:pStyle w:val="yTableNAm"/>
              <w:tabs>
                <w:tab w:val="clear" w:pos="567"/>
              </w:tabs>
              <w:ind w:right="382"/>
              <w:jc w:val="right"/>
            </w:pPr>
            <w:r>
              <w:t>28.30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r>
              <w:t>142.50</w:t>
            </w:r>
          </w:p>
        </w:tc>
        <w:tc>
          <w:tcPr>
            <w:tcW w:w="1310" w:type="dxa"/>
            <w:noWrap/>
            <w:vAlign w:val="bottom"/>
          </w:tcPr>
          <w:p>
            <w:pPr>
              <w:pStyle w:val="yTableNAm"/>
              <w:tabs>
                <w:tab w:val="clear" w:pos="567"/>
                <w:tab w:val="left" w:pos="788"/>
              </w:tabs>
              <w:ind w:right="382"/>
              <w:jc w:val="right"/>
            </w:pPr>
            <w:r>
              <w:t>42.80</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2.70</w:t>
            </w:r>
          </w:p>
        </w:tc>
        <w:tc>
          <w:tcPr>
            <w:tcW w:w="1310" w:type="dxa"/>
            <w:noWrap/>
            <w:vAlign w:val="bottom"/>
          </w:tcPr>
          <w:p>
            <w:pPr>
              <w:pStyle w:val="yTableNAm"/>
              <w:tabs>
                <w:tab w:val="clear" w:pos="567"/>
                <w:tab w:val="left" w:pos="788"/>
              </w:tabs>
              <w:ind w:right="382"/>
              <w:jc w:val="right"/>
            </w:pPr>
            <w:r>
              <w:t>0.80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2.85</w:t>
            </w:r>
          </w:p>
        </w:tc>
        <w:tc>
          <w:tcPr>
            <w:tcW w:w="1310" w:type="dxa"/>
            <w:noWrap/>
            <w:vAlign w:val="bottom"/>
          </w:tcPr>
          <w:p>
            <w:pPr>
              <w:pStyle w:val="yTableNAm"/>
              <w:tabs>
                <w:tab w:val="clear" w:pos="567"/>
                <w:tab w:val="left" w:pos="788"/>
              </w:tabs>
              <w:ind w:right="382"/>
              <w:jc w:val="right"/>
            </w:pPr>
            <w:r>
              <w:t>0.85</w:t>
            </w:r>
          </w:p>
        </w:tc>
      </w:tr>
      <w:tr>
        <w:trPr>
          <w:cantSplit/>
        </w:trPr>
        <w:tc>
          <w:tcPr>
            <w:tcW w:w="709" w:type="dxa"/>
            <w:noWrap/>
          </w:tcPr>
          <w:p>
            <w:pPr>
              <w:pStyle w:val="yTableNAm"/>
              <w:keepNext/>
            </w:pPr>
          </w:p>
        </w:tc>
        <w:tc>
          <w:tcPr>
            <w:tcW w:w="3544" w:type="dxa"/>
            <w:noWrap/>
          </w:tcPr>
          <w:p>
            <w:pPr>
              <w:pStyle w:val="yTableNAm"/>
              <w:keepNext/>
              <w:tabs>
                <w:tab w:val="clear" w:pos="567"/>
              </w:tabs>
              <w:ind w:left="491" w:hanging="491"/>
            </w:pPr>
            <w:r>
              <w:t>(c)</w:t>
            </w:r>
            <w:r>
              <w:tab/>
              <w:t>Additional fee for certifying that a document is a true copy</w:t>
            </w:r>
          </w:p>
        </w:tc>
        <w:tc>
          <w:tcPr>
            <w:tcW w:w="1417" w:type="dxa"/>
            <w:noWrap/>
            <w:vAlign w:val="bottom"/>
          </w:tcPr>
          <w:p>
            <w:pPr>
              <w:pStyle w:val="yTableNAm"/>
              <w:keepNext/>
              <w:tabs>
                <w:tab w:val="clear" w:pos="567"/>
              </w:tabs>
              <w:ind w:right="382"/>
              <w:jc w:val="right"/>
            </w:pPr>
            <w:r>
              <w:t>29.50</w:t>
            </w:r>
          </w:p>
        </w:tc>
        <w:tc>
          <w:tcPr>
            <w:tcW w:w="1310" w:type="dxa"/>
            <w:noWrap/>
            <w:vAlign w:val="bottom"/>
          </w:tcPr>
          <w:p>
            <w:pPr>
              <w:pStyle w:val="yTableNAm"/>
              <w:keepNext/>
              <w:tabs>
                <w:tab w:val="clear" w:pos="567"/>
              </w:tabs>
              <w:ind w:right="382"/>
              <w:jc w:val="right"/>
            </w:pPr>
            <w:r>
              <w:t>8.85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29.70 plus</w:t>
            </w:r>
            <w:r>
              <w:br/>
              <w:t>12.25 per page</w:t>
            </w:r>
          </w:p>
        </w:tc>
        <w:tc>
          <w:tcPr>
            <w:tcW w:w="1310" w:type="dxa"/>
            <w:noWrap/>
          </w:tcPr>
          <w:p>
            <w:pPr>
              <w:pStyle w:val="yTableNAm"/>
              <w:ind w:left="209"/>
            </w:pPr>
            <w:r>
              <w:t xml:space="preserve">8.90 plus </w:t>
            </w:r>
            <w:r>
              <w:br/>
              <w:t>3.65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29.70 plus</w:t>
            </w:r>
            <w:r>
              <w:br/>
              <w:t>11.25 per page</w:t>
            </w:r>
          </w:p>
        </w:tc>
        <w:tc>
          <w:tcPr>
            <w:tcW w:w="1310" w:type="dxa"/>
            <w:noWrap/>
          </w:tcPr>
          <w:p>
            <w:pPr>
              <w:pStyle w:val="yTableNAm"/>
              <w:ind w:left="209"/>
            </w:pPr>
            <w:r>
              <w:t xml:space="preserve">8.90 plus </w:t>
            </w:r>
            <w:r>
              <w:br/>
              <w:t>3.40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29.70 plus</w:t>
            </w:r>
            <w:r>
              <w:br/>
              <w:t>10.60 per page</w:t>
            </w:r>
          </w:p>
        </w:tc>
        <w:tc>
          <w:tcPr>
            <w:tcW w:w="1310" w:type="dxa"/>
            <w:noWrap/>
          </w:tcPr>
          <w:p>
            <w:pPr>
              <w:pStyle w:val="yTableNAm"/>
              <w:ind w:left="209"/>
            </w:pPr>
            <w:r>
              <w:t xml:space="preserve">8.90 plus </w:t>
            </w:r>
            <w:r>
              <w:br/>
              <w:t>3.20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29.70 plus </w:t>
            </w:r>
            <w:r>
              <w:br/>
              <w:t>10.25 per page</w:t>
            </w:r>
          </w:p>
        </w:tc>
        <w:tc>
          <w:tcPr>
            <w:tcW w:w="1310" w:type="dxa"/>
            <w:noWrap/>
          </w:tcPr>
          <w:p>
            <w:pPr>
              <w:pStyle w:val="yTableNAm"/>
              <w:ind w:left="209"/>
            </w:pPr>
            <w:r>
              <w:t xml:space="preserve">8.90 plus </w:t>
            </w:r>
            <w:r>
              <w:br/>
              <w:t>3.05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29.70 plus </w:t>
            </w:r>
            <w:r>
              <w:br/>
              <w:t>8.65 per page</w:t>
            </w:r>
          </w:p>
        </w:tc>
        <w:tc>
          <w:tcPr>
            <w:tcW w:w="1310" w:type="dxa"/>
            <w:noWrap/>
          </w:tcPr>
          <w:p>
            <w:pPr>
              <w:pStyle w:val="yTableNAm"/>
              <w:ind w:left="209"/>
            </w:pPr>
            <w:r>
              <w:t xml:space="preserve">8.90 plus </w:t>
            </w:r>
            <w:r>
              <w:br/>
              <w:t>2.60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29.70 plus </w:t>
            </w:r>
            <w:r>
              <w:br/>
              <w:t>13.00 per page</w:t>
            </w:r>
          </w:p>
        </w:tc>
        <w:tc>
          <w:tcPr>
            <w:tcW w:w="1310" w:type="dxa"/>
            <w:noWrap/>
          </w:tcPr>
          <w:p>
            <w:pPr>
              <w:pStyle w:val="yTableNAm"/>
              <w:ind w:left="209"/>
            </w:pPr>
            <w:r>
              <w:t xml:space="preserve">8.90 plus </w:t>
            </w:r>
            <w:r>
              <w:br/>
              <w:t>3.90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31.00 per copy</w:t>
            </w:r>
          </w:p>
        </w:tc>
        <w:tc>
          <w:tcPr>
            <w:tcW w:w="1310" w:type="dxa"/>
            <w:noWrap/>
          </w:tcPr>
          <w:p>
            <w:pPr>
              <w:pStyle w:val="yTableNAm"/>
              <w:ind w:left="209"/>
            </w:pPr>
            <w:r>
              <w:t>9.30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3.10 per page</w:t>
            </w:r>
          </w:p>
        </w:tc>
        <w:tc>
          <w:tcPr>
            <w:tcW w:w="1310" w:type="dxa"/>
            <w:noWrap/>
          </w:tcPr>
          <w:p>
            <w:pPr>
              <w:pStyle w:val="yTableNAm"/>
              <w:ind w:left="209"/>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2024/113 r. 6.</w:t>
      </w:r>
    </w:p>
    <w:p>
      <w:pPr>
        <w:pStyle w:val="yHeading3"/>
      </w:pPr>
      <w:bookmarkStart w:id="27" w:name="_Toc184306853"/>
      <w:bookmarkStart w:id="28" w:name="_Toc184306878"/>
      <w:bookmarkStart w:id="29" w:name="_Toc184378413"/>
      <w:r>
        <w:rPr>
          <w:rStyle w:val="CharSDivNo"/>
        </w:rPr>
        <w:t>Division 2</w:t>
      </w:r>
      <w:r>
        <w:t> — </w:t>
      </w:r>
      <w:r>
        <w:rPr>
          <w:rStyle w:val="CharSDivText"/>
        </w:rPr>
        <w:t>Civil jurisdiction</w:t>
      </w:r>
      <w:bookmarkEnd w:id="27"/>
      <w:bookmarkEnd w:id="28"/>
      <w:bookmarkEnd w:id="29"/>
    </w:p>
    <w:p>
      <w:pPr>
        <w:pStyle w:val="yFootnoteheading"/>
      </w:pPr>
      <w:r>
        <w:tab/>
        <w:t>[Heading inserted: SL 2024/113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185.50</w:t>
            </w:r>
          </w:p>
        </w:tc>
        <w:tc>
          <w:tcPr>
            <w:tcW w:w="1384" w:type="dxa"/>
            <w:tcBorders>
              <w:top w:val="single" w:sz="4" w:space="0" w:color="auto"/>
            </w:tcBorders>
            <w:noWrap/>
            <w:vAlign w:val="bottom"/>
          </w:tcPr>
          <w:p>
            <w:pPr>
              <w:pStyle w:val="yTableNAm"/>
              <w:tabs>
                <w:tab w:val="clear" w:pos="567"/>
              </w:tabs>
              <w:ind w:right="352"/>
              <w:jc w:val="right"/>
            </w:pPr>
            <w:r>
              <w:t>55.50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205.00</w:t>
            </w:r>
          </w:p>
        </w:tc>
        <w:tc>
          <w:tcPr>
            <w:tcW w:w="1384" w:type="dxa"/>
            <w:noWrap/>
            <w:vAlign w:val="bottom"/>
          </w:tcPr>
          <w:p>
            <w:pPr>
              <w:pStyle w:val="yTableNAm"/>
              <w:tabs>
                <w:tab w:val="clear" w:pos="567"/>
              </w:tabs>
              <w:ind w:right="352"/>
              <w:jc w:val="right"/>
            </w:pPr>
            <w:r>
              <w:t>205.00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203.00</w:t>
            </w:r>
          </w:p>
        </w:tc>
        <w:tc>
          <w:tcPr>
            <w:tcW w:w="1384" w:type="dxa"/>
            <w:noWrap/>
            <w:vAlign w:val="bottom"/>
          </w:tcPr>
          <w:p>
            <w:pPr>
              <w:pStyle w:val="yTableNAm"/>
              <w:tabs>
                <w:tab w:val="clear" w:pos="567"/>
              </w:tabs>
              <w:ind w:right="352"/>
              <w:jc w:val="right"/>
            </w:pPr>
            <w:r>
              <w:t>203.00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53.50</w:t>
            </w:r>
          </w:p>
        </w:tc>
        <w:tc>
          <w:tcPr>
            <w:tcW w:w="1384" w:type="dxa"/>
            <w:noWrap/>
            <w:vAlign w:val="bottom"/>
          </w:tcPr>
          <w:p>
            <w:pPr>
              <w:pStyle w:val="yTableNAm"/>
              <w:tabs>
                <w:tab w:val="clear" w:pos="567"/>
              </w:tabs>
              <w:ind w:right="352"/>
              <w:jc w:val="right"/>
            </w:pPr>
            <w:r>
              <w:t>53.50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r>
        <w:tab/>
        <w:t>[Division 2 inserted: SL 2024/113 r. 6.</w:t>
      </w:r>
    </w:p>
    <w:p>
      <w:pPr>
        <w:pStyle w:val="yHeading3"/>
      </w:pPr>
      <w:bookmarkStart w:id="30" w:name="_Toc184306854"/>
      <w:bookmarkStart w:id="31" w:name="_Toc184306879"/>
      <w:bookmarkStart w:id="32" w:name="_Toc184378414"/>
      <w:r>
        <w:rPr>
          <w:rStyle w:val="CharSDivNo"/>
        </w:rPr>
        <w:lastRenderedPageBreak/>
        <w:t>Division 3</w:t>
      </w:r>
      <w:r>
        <w:t> — </w:t>
      </w:r>
      <w:r>
        <w:rPr>
          <w:rStyle w:val="CharSDivText"/>
        </w:rPr>
        <w:t>Criminal jurisdiction</w:t>
      </w:r>
      <w:bookmarkEnd w:id="30"/>
      <w:bookmarkEnd w:id="31"/>
      <w:bookmarkEnd w:id="32"/>
    </w:p>
    <w:p>
      <w:pPr>
        <w:pStyle w:val="yFootnoteheading"/>
        <w:keepNext/>
      </w:pPr>
      <w:r>
        <w:tab/>
        <w:t>[Heading inserted: SL 2024/113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30.00</w:t>
            </w:r>
          </w:p>
        </w:tc>
        <w:tc>
          <w:tcPr>
            <w:tcW w:w="1559" w:type="dxa"/>
            <w:noWrap/>
            <w:vAlign w:val="bottom"/>
          </w:tcPr>
          <w:p>
            <w:pPr>
              <w:pStyle w:val="yTableNAm"/>
              <w:tabs>
                <w:tab w:val="clear" w:pos="567"/>
              </w:tabs>
              <w:ind w:right="177"/>
              <w:jc w:val="right"/>
            </w:pPr>
            <w:r>
              <w:t>9.00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execution of warrant</w:t>
            </w:r>
          </w:p>
        </w:tc>
        <w:tc>
          <w:tcPr>
            <w:tcW w:w="1276" w:type="dxa"/>
            <w:noWrap/>
            <w:vAlign w:val="bottom"/>
          </w:tcPr>
          <w:p>
            <w:pPr>
              <w:pStyle w:val="yTableNAm"/>
              <w:tabs>
                <w:tab w:val="clear" w:pos="567"/>
              </w:tabs>
              <w:ind w:right="177"/>
              <w:jc w:val="right"/>
            </w:pPr>
            <w:r>
              <w:t>203.00</w:t>
            </w:r>
          </w:p>
        </w:tc>
        <w:tc>
          <w:tcPr>
            <w:tcW w:w="1559" w:type="dxa"/>
            <w:noWrap/>
            <w:vAlign w:val="bottom"/>
          </w:tcPr>
          <w:p>
            <w:pPr>
              <w:pStyle w:val="yTableNAm"/>
              <w:tabs>
                <w:tab w:val="clear" w:pos="567"/>
              </w:tabs>
              <w:ind w:right="177"/>
              <w:jc w:val="right"/>
            </w:pPr>
            <w:r>
              <w:t>203.00</w:t>
            </w:r>
          </w:p>
        </w:tc>
      </w:tr>
    </w:tbl>
    <w:p>
      <w:pPr>
        <w:pStyle w:val="yFootnotesection"/>
      </w:pPr>
      <w:r>
        <w:tab/>
        <w:t>[Division 3 inserted: SL 2024/113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4" w:name="_Toc184306855"/>
      <w:bookmarkStart w:id="35" w:name="_Toc184306880"/>
      <w:bookmarkStart w:id="36" w:name="_Toc184378415"/>
      <w:r>
        <w:lastRenderedPageBreak/>
        <w:t>Notes</w:t>
      </w:r>
      <w:bookmarkEnd w:id="34"/>
      <w:bookmarkEnd w:id="35"/>
      <w:bookmarkEnd w:id="36"/>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37" w:name="_Toc184378416"/>
      <w:r>
        <w:t>Compilation table</w:t>
      </w:r>
      <w:bookmarkEnd w:id="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2011</w:t>
            </w:r>
          </w:p>
        </w:tc>
        <w:tc>
          <w:tcPr>
            <w:tcW w:w="1276" w:type="dxa"/>
          </w:tcPr>
          <w:p>
            <w:pPr>
              <w:pStyle w:val="nTable"/>
              <w:spacing w:after="40"/>
            </w:pPr>
            <w:r>
              <w:t>8 Mar 2011 p. 791</w:t>
            </w:r>
            <w:r>
              <w:noBreakHyphen/>
              <w:t>2</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2</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lastRenderedPageBreak/>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Cs/>
              </w:rPr>
            </w:pPr>
            <w:r>
              <w:rPr>
                <w:i/>
              </w:rPr>
              <w:t xml:space="preserve">Attorney General Regulations Amendment (Fees and Charges) Regulations 2024 </w:t>
            </w:r>
            <w:r>
              <w:rPr>
                <w:iCs/>
              </w:rPr>
              <w:t>Pt. 3</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8" w:type="dxa"/>
            <w:tcBorders>
              <w:top w:val="nil"/>
              <w:bottom w:val="nil"/>
            </w:tcBorders>
            <w:shd w:val="clear" w:color="auto" w:fill="auto"/>
          </w:tcPr>
          <w:p>
            <w:pPr>
              <w:pStyle w:val="nTable"/>
              <w:spacing w:after="40"/>
              <w:rPr>
                <w:i/>
              </w:rPr>
            </w:pPr>
            <w:r>
              <w:rPr>
                <w:i/>
                <w:noProof/>
              </w:rPr>
              <w:t xml:space="preserve">Court Fees Regulation Amendment Regulations 2024 </w:t>
            </w:r>
            <w:r>
              <w:rPr>
                <w:iCs/>
                <w:noProof/>
              </w:rPr>
              <w:t>Pt. 2</w:t>
            </w:r>
          </w:p>
        </w:tc>
        <w:tc>
          <w:tcPr>
            <w:tcW w:w="1276" w:type="dxa"/>
            <w:tcBorders>
              <w:top w:val="nil"/>
              <w:bottom w:val="nil"/>
            </w:tcBorders>
            <w:shd w:val="clear" w:color="auto" w:fill="auto"/>
          </w:tcPr>
          <w:p>
            <w:pPr>
              <w:pStyle w:val="nTable"/>
              <w:spacing w:after="40"/>
            </w:pPr>
            <w:r>
              <w:t>SL 2024/174 21 Aug 2024</w:t>
            </w:r>
          </w:p>
        </w:tc>
        <w:tc>
          <w:tcPr>
            <w:tcW w:w="2693" w:type="dxa"/>
            <w:tcBorders>
              <w:top w:val="nil"/>
              <w:bottom w:val="nil"/>
            </w:tcBorders>
            <w:shd w:val="clear" w:color="auto" w:fill="auto"/>
          </w:tcPr>
          <w:p>
            <w:pPr>
              <w:pStyle w:val="nTable"/>
              <w:spacing w:after="40"/>
            </w:pPr>
            <w:r>
              <w:t>1 Sep 2024 (see r. 2(b))</w:t>
            </w:r>
          </w:p>
        </w:tc>
      </w:tr>
      <w:tr>
        <w:tc>
          <w:tcPr>
            <w:tcW w:w="3118" w:type="dxa"/>
            <w:tcBorders>
              <w:top w:val="nil"/>
            </w:tcBorders>
            <w:shd w:val="clear" w:color="auto" w:fill="auto"/>
          </w:tcPr>
          <w:p>
            <w:pPr>
              <w:pStyle w:val="nTable"/>
              <w:keepNext/>
              <w:spacing w:after="40"/>
              <w:rPr>
                <w:i/>
                <w:noProof/>
              </w:rPr>
            </w:pPr>
            <w:r>
              <w:rPr>
                <w:i/>
                <w:noProof/>
              </w:rPr>
              <w:lastRenderedPageBreak/>
              <w:t xml:space="preserve">Attorney General Regulations Amendment (Fees) Regulations 2024 </w:t>
            </w:r>
            <w:r>
              <w:rPr>
                <w:iCs/>
                <w:noProof/>
              </w:rPr>
              <w:t>Pt. 2</w:t>
            </w:r>
          </w:p>
        </w:tc>
        <w:tc>
          <w:tcPr>
            <w:tcW w:w="1276" w:type="dxa"/>
            <w:tcBorders>
              <w:top w:val="nil"/>
            </w:tcBorders>
            <w:shd w:val="clear" w:color="auto" w:fill="auto"/>
          </w:tcPr>
          <w:p>
            <w:pPr>
              <w:pStyle w:val="nTable"/>
              <w:keepNext/>
              <w:spacing w:after="40"/>
            </w:pPr>
            <w:r>
              <w:t>SL 2024/254 11 Dec 2024</w:t>
            </w:r>
          </w:p>
        </w:tc>
        <w:tc>
          <w:tcPr>
            <w:tcW w:w="2693" w:type="dxa"/>
            <w:tcBorders>
              <w:top w:val="nil"/>
            </w:tcBorders>
            <w:shd w:val="clear" w:color="auto" w:fill="auto"/>
          </w:tcPr>
          <w:p>
            <w:pPr>
              <w:pStyle w:val="nTable"/>
              <w:keepNext/>
              <w:spacing w:after="40"/>
            </w:pPr>
            <w:r>
              <w:t>12 Dec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9" w:name="_Toc184378417"/>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6AA(1)</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FVRO</w:t>
      </w:r>
      <w:r>
        <w:tab/>
        <w:t>6AA(1)</w:t>
      </w:r>
    </w:p>
    <w:p>
      <w:pPr>
        <w:pStyle w:val="DefinedTerms"/>
      </w:pPr>
      <w:r>
        <w:t>interim order</w:t>
      </w:r>
      <w:r>
        <w:tab/>
        <w:t>6AA(1)</w:t>
      </w:r>
    </w:p>
    <w:p>
      <w:pPr>
        <w:pStyle w:val="DefinedTerms"/>
      </w:pPr>
      <w:r>
        <w:t>prosecution notice</w:t>
      </w:r>
      <w:r>
        <w:tab/>
        <w:t>3</w:t>
      </w:r>
    </w:p>
    <w:p>
      <w:pPr>
        <w:pStyle w:val="DefinedTerms"/>
      </w:pPr>
      <w:r>
        <w:t>respondent</w:t>
      </w:r>
      <w:r>
        <w:tab/>
        <w:t>6(2), 6AA(1)</w:t>
      </w:r>
    </w:p>
    <w:p>
      <w:pPr>
        <w:pStyle w:val="DefinedTerms"/>
      </w:pPr>
      <w:r>
        <w:t>VRO</w:t>
      </w:r>
      <w:r>
        <w:tab/>
        <w:t>6AA(1)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 w:name="DefinedTerms"/>
    <w:bookmarkEnd w:id="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5149"/>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 w:name="WAFER_2024082109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1227_GUID" w:val="ef93e3ad-f349-4bd3-b84f-db17da520a77"/>
    <w:docVar w:name="WAFER_2024120515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5149_GUID" w:val="ea29c0ec-bfc9-4a25-a175-5e070e219c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4502</Words>
  <Characters>21119</Characters>
  <Application>Microsoft Office Word</Application>
  <DocSecurity>0</DocSecurity>
  <Lines>959</Lines>
  <Paragraphs>569</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2005 - 03-o0-00</dc:title>
  <dc:subject/>
  <dc:creator/>
  <cp:keywords/>
  <dc:description/>
  <cp:lastModifiedBy>Master Repository Process</cp:lastModifiedBy>
  <cp:revision>4</cp:revision>
  <cp:lastPrinted>2018-09-04T01:15:00Z</cp:lastPrinted>
  <dcterms:created xsi:type="dcterms:W3CDTF">2025-06-17T03:06:00Z</dcterms:created>
  <dcterms:modified xsi:type="dcterms:W3CDTF">2025-06-17T03:06:00Z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12 Dec 2024</vt:lpwstr>
  </property>
  <property fmtid="{D5CDD505-2E9C-101B-9397-08002B2CF9AE}" pid="8" name="Suffix">
    <vt:lpwstr>03-o0-00</vt:lpwstr>
  </property>
  <property fmtid="{D5CDD505-2E9C-101B-9397-08002B2CF9AE}" pid="9" name="Official">
    <vt:lpwstr/>
  </property>
  <property fmtid="{D5CDD505-2E9C-101B-9397-08002B2CF9AE}" pid="10" name="CommencementDate">
    <vt:lpwstr>20241212</vt:lpwstr>
  </property>
  <property fmtid="{D5CDD505-2E9C-101B-9397-08002B2CF9AE}" pid="11" name="CommencementAsAt">
    <vt:filetime>2024-12-11T16:00:00Z</vt:filetime>
  </property>
  <property fmtid="{D5CDD505-2E9C-101B-9397-08002B2CF9AE}" pid="12" name="CommencementYear">
    <vt:lpwstr>2024</vt:lpwstr>
  </property>
</Properties>
</file>