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_Toc184381867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_Toc184381868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_Toc184381869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_Toc184381870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_Toc184381871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_Toc184381872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_Toc184381873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_Toc184381874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_Toc184381875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_Toc184381876 \h </w:instrText>
      </w:r>
      <w:r>
        <w:fldChar w:fldCharType="separate"/>
      </w:r>
      <w:r>
        <w:t>4</w:t>
      </w:r>
      <w:r>
        <w:fldChar w:fldCharType="end"/>
      </w:r>
    </w:p>
    <w:p>
      <w:pPr>
        <w:pStyle w:val="TOC8"/>
        <w:rPr>
          <w:rFonts w:asciiTheme="minorHAnsi" w:eastAsiaTheme="minorEastAsia" w:hAnsiTheme="minorHAnsi" w:cstheme="minorBidi"/>
          <w:szCs w:val="22"/>
        </w:rPr>
      </w:pPr>
      <w:r>
        <w:t>4.</w:t>
      </w:r>
      <w:r>
        <w:tab/>
        <w:t xml:space="preserve">Orders under </w:t>
      </w:r>
      <w:r>
        <w:rPr>
          <w:i/>
          <w:iCs/>
        </w:rPr>
        <w:t>Workers Compensation and Injury Management Act 2023</w:t>
      </w:r>
      <w:r>
        <w:t xml:space="preserve"> s. 207(1) are fines (Act s. 28(1))</w:t>
      </w:r>
      <w:r>
        <w:tab/>
      </w:r>
      <w:r>
        <w:fldChar w:fldCharType="begin"/>
      </w:r>
      <w:r>
        <w:instrText xml:space="preserve"> PAGEREF _Toc184381877 \h </w:instrText>
      </w:r>
      <w:r>
        <w:fldChar w:fldCharType="separate"/>
      </w:r>
      <w:r>
        <w:t>7</w:t>
      </w:r>
      <w:r>
        <w:fldChar w:fldCharType="end"/>
      </w:r>
    </w:p>
    <w:p>
      <w:pPr>
        <w:pStyle w:val="TOC8"/>
        <w:rPr>
          <w:rFonts w:asciiTheme="minorHAnsi" w:eastAsiaTheme="minorEastAsia" w:hAnsiTheme="minorHAnsi" w:cstheme="minorBidi"/>
          <w:szCs w:val="22"/>
        </w:rPr>
      </w:pPr>
      <w:r>
        <w:t>5.</w:t>
      </w:r>
      <w:r>
        <w:tab/>
      </w:r>
      <w:r>
        <w:rPr>
          <w:i/>
          <w:iCs/>
        </w:rPr>
        <w:t>Workers Compensation and Injury Management Act 2023</w:t>
      </w:r>
      <w:r>
        <w:t xml:space="preserve"> is prescribed enactment (Act s. 31)</w:t>
      </w:r>
      <w:r>
        <w:tab/>
      </w:r>
      <w:r>
        <w:fldChar w:fldCharType="begin"/>
      </w:r>
      <w:r>
        <w:instrText xml:space="preserve"> PAGEREF _Toc184381878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_Toc184381879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_Toc184381880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_Toc184381881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_Toc184381882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_Toc184381883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6AE.</w:t>
      </w:r>
      <w:r>
        <w:tab/>
        <w:t>Rates to be used to assign value to activities (Act s. 46N)</w:t>
      </w:r>
      <w:r>
        <w:tab/>
      </w:r>
      <w:r>
        <w:fldChar w:fldCharType="begin"/>
      </w:r>
      <w:r>
        <w:instrText xml:space="preserve"> PAGEREF _Toc184381884 \h </w:instrText>
      </w:r>
      <w:r>
        <w:fldChar w:fldCharType="separate"/>
      </w:r>
      <w:r>
        <w:t>10</w:t>
      </w:r>
      <w:r>
        <w:fldChar w:fldCharType="end"/>
      </w:r>
    </w:p>
    <w:p>
      <w:pPr>
        <w:pStyle w:val="TOC8"/>
        <w:rPr>
          <w:rFonts w:asciiTheme="minorHAnsi" w:eastAsiaTheme="minorEastAsia" w:hAnsiTheme="minorHAnsi" w:cstheme="minorBidi"/>
          <w:szCs w:val="22"/>
        </w:rPr>
      </w:pPr>
      <w:r>
        <w:t>6AF.</w:t>
      </w:r>
      <w:r>
        <w:tab/>
        <w:t>False or misleading information</w:t>
      </w:r>
      <w:r>
        <w:tab/>
      </w:r>
      <w:r>
        <w:fldChar w:fldCharType="begin"/>
      </w:r>
      <w:r>
        <w:instrText xml:space="preserve"> PAGEREF _Toc184381885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_Toc184381886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_Toc184381887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_Toc184381888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_Toc184381889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_Toc184381890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_Toc184381891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_Toc184381892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_Toc184381893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_Toc184381894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_Toc184381895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_Toc184381896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_Toc184381897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_Toc184381898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_Toc184381899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_Toc184381900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_Toc184381901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_Toc184381902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_Toc184381903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_Toc184381904 \h </w:instrText>
      </w:r>
      <w:r>
        <w:fldChar w:fldCharType="separate"/>
      </w:r>
      <w:r>
        <w:t>22</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_Toc184381905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_Toc184381906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_Toc184381907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_Toc184381908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Methods of payment</w:t>
      </w:r>
      <w:r>
        <w:tab/>
      </w:r>
      <w:r>
        <w:fldChar w:fldCharType="begin"/>
      </w:r>
      <w:r>
        <w:instrText xml:space="preserve"> PAGEREF _Toc184381909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_Toc184381910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_Toc184381917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_Toc184381918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_Toc184381919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_Toc184381920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_Toc184381921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_Toc184381922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_Toc184381923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_Toc184381924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_Toc184381925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_Toc184381926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_Toc184381927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_Toc184381928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_Toc184381929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_Toc184381930 \h </w:instrText>
      </w:r>
      <w:r>
        <w:fldChar w:fldCharType="separate"/>
      </w:r>
      <w:r>
        <w:t>55</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_Toc184381931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_Toc184381933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_Toc184381934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8438186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438186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84381869"/>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84381870"/>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84381871"/>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84381872"/>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84381873"/>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9" w:name="_Toc184381874"/>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84381875"/>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84381876"/>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o:ole="">
            <v:imagedata r:id="rId21" o:title=""/>
          </v:shape>
          <o:OLEObject Type="Embed" ProgID="Equation.3" ShapeID="_x0000_i1025" DrawAspect="Content" ObjectID="_1813144005"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12" w:name="_Toc184381877"/>
      <w:r>
        <w:rPr>
          <w:rStyle w:val="CharSectno"/>
        </w:rPr>
        <w:t>4</w:t>
      </w:r>
      <w:r>
        <w:t>.</w:t>
      </w:r>
      <w:r>
        <w:tab/>
        <w:t xml:space="preserve">Orders under </w:t>
      </w:r>
      <w:r>
        <w:rPr>
          <w:i/>
          <w:iCs/>
        </w:rPr>
        <w:t>Workers Compensation and Injury Management Act 2023</w:t>
      </w:r>
      <w:r>
        <w:t xml:space="preserve"> s. 207(1) are fines (Act s. 28(1))</w:t>
      </w:r>
      <w:bookmarkEnd w:id="1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13" w:name="_Toc184381878"/>
      <w:r>
        <w:rPr>
          <w:rStyle w:val="CharSectno"/>
        </w:rPr>
        <w:t>5</w:t>
      </w:r>
      <w:r>
        <w:t>.</w:t>
      </w:r>
      <w:r>
        <w:tab/>
      </w:r>
      <w:r>
        <w:rPr>
          <w:i/>
          <w:iCs/>
        </w:rPr>
        <w:t>Workers Compensation and Injury Management Act 2023</w:t>
      </w:r>
      <w:r>
        <w:t xml:space="preserve"> is prescribed enactment (Act s. 31)</w:t>
      </w:r>
      <w:bookmarkEnd w:id="13"/>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14" w:name="_Toc184381879"/>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lastRenderedPageBreak/>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84381880"/>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84381881"/>
      <w:r>
        <w:rPr>
          <w:rStyle w:val="CharSectno"/>
        </w:rPr>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84381882"/>
      <w:r>
        <w:rPr>
          <w:rStyle w:val="CharSectno"/>
        </w:rPr>
        <w:lastRenderedPageBreak/>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84381883"/>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84381884"/>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lastRenderedPageBreak/>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84381885"/>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84381886"/>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lastRenderedPageBreak/>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84381887"/>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84381888"/>
      <w:r>
        <w:rPr>
          <w:rStyle w:val="CharSectno"/>
        </w:rPr>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84381889"/>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84381890"/>
      <w:r>
        <w:rPr>
          <w:rStyle w:val="CharSectno"/>
        </w:rPr>
        <w:lastRenderedPageBreak/>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84381891"/>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84381892"/>
      <w:r>
        <w:rPr>
          <w:rStyle w:val="CharSectno"/>
        </w:rPr>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84381893"/>
      <w:r>
        <w:rPr>
          <w:rStyle w:val="CharSectno"/>
        </w:rPr>
        <w:lastRenderedPageBreak/>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84381894"/>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lastRenderedPageBreak/>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30" w:name="_Toc184381895"/>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 xml:space="preserve">For the purposes of section 75(d), ordinary tools of trade, plant and equipment, professional instruments and reference books to </w:t>
      </w:r>
      <w:r>
        <w:lastRenderedPageBreak/>
        <w:t>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84381896"/>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lastRenderedPageBreak/>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84381897"/>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84381898"/>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lastRenderedPageBreak/>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84381899"/>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84381900"/>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lastRenderedPageBreak/>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84381901"/>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84381902"/>
      <w:r>
        <w:rPr>
          <w:rStyle w:val="CharSectno"/>
        </w:rPr>
        <w:lastRenderedPageBreak/>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w:t>
      </w:r>
      <w:r>
        <w:rPr>
          <w:snapToGrid w:val="0"/>
        </w:rPr>
        <w:lastRenderedPageBreak/>
        <w:t xml:space="preserve">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84381903"/>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lastRenderedPageBreak/>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84381904"/>
      <w:r>
        <w:rPr>
          <w:rStyle w:val="CharSectno"/>
        </w:rPr>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lastRenderedPageBreak/>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40" w:name="_Toc184381905"/>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84381906"/>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84381907"/>
      <w:r>
        <w:rPr>
          <w:rStyle w:val="CharSectno"/>
        </w:rPr>
        <w:lastRenderedPageBreak/>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84381908"/>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84381909"/>
      <w:r>
        <w:rPr>
          <w:rStyle w:val="CharSectno"/>
        </w:rPr>
        <w:lastRenderedPageBreak/>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45" w:name="_Toc184381910"/>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84371038"/>
      <w:bookmarkStart w:id="47" w:name="_Toc184371785"/>
      <w:bookmarkStart w:id="48" w:name="_Toc184381911"/>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rPr>
                <w:i/>
                <w:iCs/>
              </w:rPr>
            </w:pPr>
            <w:r>
              <w:rPr>
                <w:i/>
                <w:iCs/>
              </w:rPr>
              <w:t>Towing Services Act 2024</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lastRenderedPageBreak/>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w:t>
      </w:r>
    </w:p>
    <w:p>
      <w:pPr>
        <w:pStyle w:val="yScheduleHeading"/>
      </w:pPr>
      <w:bookmarkStart w:id="49" w:name="_Toc184371039"/>
      <w:bookmarkStart w:id="50" w:name="_Toc184371786"/>
      <w:bookmarkStart w:id="51" w:name="_Toc184381912"/>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2024/113 r. 19.]</w:t>
      </w:r>
    </w:p>
    <w:p>
      <w:pPr>
        <w:pStyle w:val="yHeading3"/>
      </w:pPr>
      <w:bookmarkStart w:id="52" w:name="_Toc184371040"/>
      <w:bookmarkStart w:id="53" w:name="_Toc184371787"/>
      <w:bookmarkStart w:id="54" w:name="_Toc184381913"/>
      <w:r>
        <w:rPr>
          <w:rStyle w:val="CharSDivNo"/>
        </w:rPr>
        <w:t>Division 1</w:t>
      </w:r>
      <w:r>
        <w:t> — </w:t>
      </w:r>
      <w:r>
        <w:rPr>
          <w:rStyle w:val="CharSDivText"/>
        </w:rPr>
        <w:t>Enforcement fees for Act Pt. 3</w:t>
      </w:r>
      <w:bookmarkEnd w:id="52"/>
      <w:bookmarkEnd w:id="53"/>
      <w:bookmarkEnd w:id="54"/>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55" w:name="_Toc184371041"/>
      <w:bookmarkStart w:id="56" w:name="_Toc184371788"/>
      <w:bookmarkStart w:id="57" w:name="_Toc184381914"/>
      <w:r>
        <w:rPr>
          <w:rStyle w:val="CharSDivNo"/>
        </w:rPr>
        <w:t>Division 2</w:t>
      </w:r>
      <w:r>
        <w:t> — </w:t>
      </w:r>
      <w:r>
        <w:rPr>
          <w:rStyle w:val="CharSDivText"/>
        </w:rPr>
        <w:t>Enforcement fees for Act Pt. 4</w:t>
      </w:r>
      <w:bookmarkEnd w:id="55"/>
      <w:bookmarkEnd w:id="56"/>
      <w:bookmarkEnd w:id="5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58" w:name="_Toc184371042"/>
      <w:bookmarkStart w:id="59" w:name="_Toc184371789"/>
      <w:bookmarkStart w:id="60" w:name="_Toc184381915"/>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84371043"/>
      <w:bookmarkStart w:id="63" w:name="_Toc184371790"/>
      <w:bookmarkStart w:id="64" w:name="_Toc184381916"/>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84381917"/>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84381918"/>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67" w:name="_Toc184381919"/>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84381920"/>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84381921"/>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84381922"/>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84381923"/>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84381924"/>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84381925"/>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84381926"/>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84381927"/>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84381928"/>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77" w:name="_Toc184381929"/>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lastRenderedPageBreak/>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84381930"/>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79" w:name="_Toc184381931"/>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84371059"/>
      <w:bookmarkStart w:id="81" w:name="_Toc184371806"/>
      <w:bookmarkStart w:id="82" w:name="_Toc184381932"/>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84381933"/>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bCs/>
                <w:i/>
              </w:rPr>
            </w:pPr>
            <w:r>
              <w:rPr>
                <w:i/>
              </w:rPr>
              <w:t xml:space="preserve">Attorney General Regulations Amendment (Towing Services) Regulations 2024 </w:t>
            </w:r>
            <w:r>
              <w:rPr>
                <w:iCs/>
              </w:rPr>
              <w:t>Pt. 3</w:t>
            </w:r>
          </w:p>
        </w:tc>
        <w:tc>
          <w:tcPr>
            <w:tcW w:w="1276" w:type="dxa"/>
            <w:tcBorders>
              <w:bottom w:val="single" w:sz="4" w:space="0" w:color="auto"/>
            </w:tcBorders>
            <w:shd w:val="clear" w:color="auto" w:fill="auto"/>
          </w:tcPr>
          <w:p>
            <w:pPr>
              <w:pStyle w:val="nTable"/>
              <w:spacing w:after="40"/>
            </w:pPr>
            <w:r>
              <w:t>SL 2024/260 11 Dec 2024</w:t>
            </w:r>
          </w:p>
        </w:tc>
        <w:tc>
          <w:tcPr>
            <w:tcW w:w="2693" w:type="dxa"/>
            <w:tcBorders>
              <w:bottom w:val="single" w:sz="4" w:space="0" w:color="auto"/>
            </w:tcBorders>
            <w:shd w:val="clear" w:color="auto" w:fill="auto"/>
          </w:tcPr>
          <w:p>
            <w:pPr>
              <w:pStyle w:val="nTable"/>
              <w:spacing w:after="40"/>
            </w:pPr>
            <w:r>
              <w:t>12 Dec 2024 (see r. 2(b))</w:t>
            </w:r>
          </w:p>
        </w:tc>
      </w:tr>
    </w:tbl>
    <w:p>
      <w:pPr>
        <w:pStyle w:val="nHeading3"/>
      </w:pPr>
      <w:bookmarkStart w:id="84" w:name="_Toc184381934"/>
      <w:r>
        <w:t>Other notes</w:t>
      </w:r>
      <w:bookmarkEnd w:id="84"/>
    </w:p>
    <w:p>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lastRenderedPageBreak/>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84371062"/>
      <w:bookmarkStart w:id="87" w:name="_Toc184371809"/>
      <w:bookmarkStart w:id="88" w:name="_Toc184381935"/>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C968B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C49FA71" w14:textId="464C6BB2" w:rsidR="00C64DF7" w:rsidRDefault="000752B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0C3C">
                        <w:rPr>
                          <w:sz w:val="16"/>
                        </w:rPr>
                        <w:t>2024</w:t>
                      </w:r>
                      <w:r>
                        <w:rPr>
                          <w:sz w:val="16"/>
                        </w:rPr>
                        <w:fldChar w:fldCharType="end"/>
                      </w:r>
                      <w:r>
                        <w:rPr>
                          <w:sz w:val="16"/>
                        </w:rPr>
                        <w:t>.</w:t>
                      </w:r>
                    </w:p>
                    <w:p w14:paraId="7D19A321" w14:textId="77777777" w:rsidR="00C64DF7" w:rsidRDefault="000752B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942046" w14:textId="56BBFF83" w:rsidR="00C64DF7" w:rsidRDefault="000752B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0C3C">
                        <w:rPr>
                          <w:sz w:val="16"/>
                        </w:rPr>
                        <w:t>2024</w:t>
                      </w:r>
                      <w:r>
                        <w:rPr>
                          <w:sz w:val="16"/>
                        </w:rPr>
                        <w:fldChar w:fldCharType="end"/>
                      </w:r>
                      <w:r>
                        <w:rPr>
                          <w:sz w:val="16"/>
                        </w:rPr>
                        <w:t>.</w:t>
                      </w:r>
                    </w:p>
                    <w:p w14:paraId="5CA6FDDC" w14:textId="77777777" w:rsidR="00C64DF7" w:rsidRDefault="000752B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09441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16607</Words>
  <Characters>83867</Characters>
  <Application>Microsoft Office Word</Application>
  <DocSecurity>0</DocSecurity>
  <Lines>3106</Lines>
  <Paragraphs>1762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1994 - 08-af0-00</dc:title>
  <dc:subject/>
  <dc:creator/>
  <cp:keywords/>
  <dc:description/>
  <cp:lastModifiedBy>Master Repository Process</cp:lastModifiedBy>
  <cp:revision>4</cp:revision>
  <cp:lastPrinted>2021-07-29T05:22:00Z</cp:lastPrinted>
  <dcterms:created xsi:type="dcterms:W3CDTF">2025-07-04T06:19:00Z</dcterms:created>
  <dcterms:modified xsi:type="dcterms:W3CDTF">2025-07-04T06:20:00Z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12 Dec 2024</vt:lpwstr>
  </property>
  <property fmtid="{D5CDD505-2E9C-101B-9397-08002B2CF9AE}" pid="8" name="Suffix">
    <vt:lpwstr>08-af0-00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