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_Toc184629109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_Toc184629110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_Toc184629111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_Toc184629112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_Toc184629113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_Toc184629114 \h </w:instrText>
      </w:r>
      <w:r>
        <w:fldChar w:fldCharType="separate"/>
      </w:r>
      <w:r>
        <w:t>5</w:t>
      </w:r>
      <w:r>
        <w:fldChar w:fldCharType="end"/>
      </w:r>
    </w:p>
    <w:p>
      <w:pPr>
        <w:pStyle w:val="TOC8"/>
        <w:rPr>
          <w:rFonts w:asciiTheme="minorHAnsi" w:eastAsiaTheme="minorEastAsia" w:hAnsiTheme="minorHAnsi" w:cstheme="minorBidi"/>
          <w:szCs w:val="22"/>
        </w:rPr>
      </w:pPr>
      <w:r>
        <w:t>6.</w:t>
      </w:r>
      <w:r>
        <w:tab/>
        <w:t>Certain fees subject to conditions</w:t>
      </w:r>
      <w:r>
        <w:tab/>
      </w:r>
      <w:r>
        <w:fldChar w:fldCharType="begin"/>
      </w:r>
      <w:r>
        <w:instrText xml:space="preserve"> PAGEREF _Toc184629115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application and transcript fees must be waived</w:t>
      </w:r>
      <w:r>
        <w:tab/>
      </w:r>
      <w:r>
        <w:fldChar w:fldCharType="begin"/>
      </w:r>
      <w:r>
        <w:instrText xml:space="preserve"> PAGEREF _Toc184629116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_Toc184629117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_Toc184629118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_Toc184629119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_Toc184629120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_Toc184629121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_Toc184629122 \h </w:instrText>
      </w:r>
      <w:r>
        <w:fldChar w:fldCharType="separate"/>
      </w:r>
      <w:r>
        <w:t>12</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_Toc184629123 \h </w:instrText>
      </w:r>
      <w:r>
        <w:fldChar w:fldCharType="separate"/>
      </w:r>
      <w:r>
        <w:t>13</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_Toc184629124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_Toc184629125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_Toc184629126 \h </w:instrText>
      </w:r>
      <w:r>
        <w:fldChar w:fldCharType="separate"/>
      </w:r>
      <w:r>
        <w:t>14</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_Toc184629127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_Toc184629128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_Toc184629129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_Toc184629135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_Toc184629136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_Toc184629138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_Toc184629139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184629109"/>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84629110"/>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184629111"/>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184629112"/>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lastRenderedPageBreak/>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6" w:name="_Toc184629113"/>
      <w:r>
        <w:rPr>
          <w:rStyle w:val="CharSectno"/>
        </w:rPr>
        <w:t>5A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lastRenderedPageBreak/>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184629114"/>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pPr>
        <w:pStyle w:val="Indenta"/>
      </w:pPr>
      <w:r>
        <w:lastRenderedPageBreak/>
        <w:tab/>
        <w:t>(d)</w:t>
      </w:r>
      <w:r>
        <w:tab/>
        <w:t xml:space="preserve">civil proceedings under the </w:t>
      </w:r>
      <w:r>
        <w:rPr>
          <w:i/>
          <w:iCs/>
        </w:rPr>
        <w:t>Criminal Law (Mental Impairment) Act 2023</w:t>
      </w:r>
      <w:r>
        <w:t>, other than a fee referred to in Schedule 1 Division 1 item 8.</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 SL 2024/174 r. 8.]</w:t>
      </w:r>
    </w:p>
    <w:p>
      <w:pPr>
        <w:pStyle w:val="Heading5"/>
      </w:pPr>
      <w:bookmarkStart w:id="8" w:name="_Toc184629115"/>
      <w:r>
        <w:rPr>
          <w:rStyle w:val="CharSectno"/>
        </w:rPr>
        <w:t>6</w:t>
      </w:r>
      <w:r>
        <w:t>.</w:t>
      </w:r>
      <w:r>
        <w:tab/>
        <w:t>Certain fees subject to conditions</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Ednotesubsection"/>
      </w:pPr>
      <w:r>
        <w:lastRenderedPageBreak/>
        <w:tab/>
        <w:t>[(4)</w:t>
      </w:r>
      <w:r>
        <w:tab/>
        <w:t>deleted]</w:t>
      </w:r>
    </w:p>
    <w:p>
      <w:pPr>
        <w:pStyle w:val="Footnotesection"/>
        <w:keepLines w:val="0"/>
      </w:pPr>
      <w:r>
        <w:tab/>
        <w:t>[Regulation 6 amended: SL 2021/119 r. 6; SL 2024/254 r. 7.]</w:t>
      </w:r>
    </w:p>
    <w:p>
      <w:pPr>
        <w:pStyle w:val="Heading5"/>
      </w:pPr>
      <w:bookmarkStart w:id="9" w:name="_Toc184297622"/>
      <w:bookmarkStart w:id="10" w:name="_Toc184297788"/>
      <w:bookmarkStart w:id="11" w:name="_Toc184629116"/>
      <w:r>
        <w:rPr>
          <w:rStyle w:val="CharSectno"/>
        </w:rPr>
        <w:t>6A</w:t>
      </w:r>
      <w:r>
        <w:t>.</w:t>
      </w:r>
      <w:r>
        <w:tab/>
        <w:t>Certain application and transcript fees must be waived</w:t>
      </w:r>
      <w:bookmarkEnd w:id="9"/>
      <w:bookmarkEnd w:id="10"/>
      <w:bookmarkEnd w:id="11"/>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made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p>
    <w:p>
      <w:pPr>
        <w:pStyle w:val="Subsection"/>
        <w:keepNext/>
        <w:rPr>
          <w:iCs/>
          <w:szCs w:val="24"/>
        </w:rPr>
      </w:pPr>
      <w:r>
        <w:lastRenderedPageBreak/>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pPr>
      <w:r>
        <w:tab/>
        <w:t>(b)</w:t>
      </w:r>
      <w:r>
        <w:tab/>
      </w:r>
      <w:r>
        <w:rPr>
          <w:iCs/>
          <w:szCs w:val="24"/>
        </w:rPr>
        <w:t xml:space="preserve">an interim order was made and the order — </w:t>
      </w:r>
    </w:p>
    <w:p>
      <w:pPr>
        <w:pStyle w:val="Indenti"/>
      </w:pPr>
      <w:r>
        <w:tab/>
        <w:t>(i)</w:t>
      </w:r>
      <w:r>
        <w:tab/>
        <w:t>is still in force; or</w:t>
      </w:r>
    </w:p>
    <w:p>
      <w:pPr>
        <w:pStyle w:val="Indenti"/>
      </w:pPr>
      <w:r>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8(a)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 inserted: SL 2024/254 r. 8.]</w:t>
      </w:r>
    </w:p>
    <w:p>
      <w:pPr>
        <w:pStyle w:val="Heading5"/>
      </w:pPr>
      <w:bookmarkStart w:id="12" w:name="_Toc184629117"/>
      <w:r>
        <w:rPr>
          <w:rStyle w:val="CharSectno"/>
        </w:rPr>
        <w:t>6B</w:t>
      </w:r>
      <w:r>
        <w:t>.</w:t>
      </w:r>
      <w:r>
        <w:tab/>
        <w:t>Certain application fees may be waived</w:t>
      </w:r>
      <w:bookmarkEnd w:id="12"/>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3" w:name="_Toc184629118"/>
      <w:r>
        <w:rPr>
          <w:rStyle w:val="CharSectno"/>
        </w:rPr>
        <w:t>7</w:t>
      </w:r>
      <w:r>
        <w:t>.</w:t>
      </w:r>
      <w:r>
        <w:tab/>
      </w:r>
      <w:r>
        <w:rPr>
          <w:rStyle w:val="CharSectno"/>
        </w:rPr>
        <w:t>F</w:t>
      </w:r>
      <w:r>
        <w:rPr>
          <w:snapToGrid w:val="0"/>
        </w:rPr>
        <w:t>ees to be paid before documents etc. filed</w:t>
      </w:r>
      <w:bookmarkEnd w:id="13"/>
    </w:p>
    <w:p>
      <w:pPr>
        <w:pStyle w:val="Subsection"/>
      </w:pPr>
      <w:r>
        <w:tab/>
        <w:t>(1)</w:t>
      </w:r>
      <w:r>
        <w:tab/>
        <w:t>This regulation applies to proceedings in the Court’s civil jurisdiction.</w:t>
      </w:r>
    </w:p>
    <w:p>
      <w:pPr>
        <w:pStyle w:val="Subsection"/>
        <w:keepNext/>
        <w:rPr>
          <w:snapToGrid w:val="0"/>
        </w:rPr>
      </w:pPr>
      <w:r>
        <w:rPr>
          <w:snapToGrid w:val="0"/>
        </w:rPr>
        <w:lastRenderedPageBreak/>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4" w:name="_Toc184629119"/>
      <w:r>
        <w:rPr>
          <w:rStyle w:val="CharSectno"/>
        </w:rPr>
        <w:t>8</w:t>
      </w:r>
      <w:r>
        <w:t>.</w:t>
      </w:r>
      <w:r>
        <w:tab/>
        <w:t>Who is an eligible individual or eligible entity</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lastRenderedPageBreak/>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5" w:name="_Toc184629120"/>
      <w:r>
        <w:rPr>
          <w:rStyle w:val="CharSectno"/>
        </w:rPr>
        <w:t>9A</w:t>
      </w:r>
      <w:r>
        <w:t>.</w:t>
      </w:r>
      <w:r>
        <w:tab/>
        <w:t>Application to be recognised as eligible individual or eligible entity</w:t>
      </w:r>
      <w:bookmarkEnd w:id="15"/>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lastRenderedPageBreak/>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6" w:name="_Toc184629121"/>
      <w:r>
        <w:rPr>
          <w:rStyle w:val="CharSectno"/>
        </w:rPr>
        <w:t>9B</w:t>
      </w:r>
      <w:r>
        <w:t>.</w:t>
      </w:r>
      <w:r>
        <w:tab/>
        <w:t>Recognition as eligible individual or eligible entity</w:t>
      </w:r>
      <w:bookmarkEnd w:id="16"/>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lastRenderedPageBreak/>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7" w:name="_Toc184629122"/>
      <w:r>
        <w:rPr>
          <w:rStyle w:val="CharSectno"/>
        </w:rPr>
        <w:t>9C</w:t>
      </w:r>
      <w:r>
        <w:t>.</w:t>
      </w:r>
      <w:r>
        <w:tab/>
        <w:t>False or misleading statements</w:t>
      </w:r>
      <w:bookmarkEnd w:id="17"/>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 xml:space="preserve">An order under subregulation (4)(b) may include orders relating to the future conduct of the proceedings to which the fees relate </w:t>
      </w:r>
      <w:r>
        <w:lastRenderedPageBreak/>
        <w:t>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8" w:name="_Toc184629123"/>
      <w:r>
        <w:rPr>
          <w:rStyle w:val="CharSectno"/>
        </w:rPr>
        <w:t>9D</w:t>
      </w:r>
      <w:r>
        <w:t>.</w:t>
      </w:r>
      <w:r>
        <w:tab/>
        <w:t>Refunds</w:t>
      </w:r>
      <w:bookmarkEnd w:id="18"/>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9" w:name="_Toc184629124"/>
      <w:r>
        <w:rPr>
          <w:rStyle w:val="CharSectno"/>
        </w:rPr>
        <w:t>10</w:t>
      </w:r>
      <w:r>
        <w:t>.</w:t>
      </w:r>
      <w:r>
        <w:tab/>
        <w:t>Fee for allocation of hearing dates etc. (Sch. 1 Div. 2 it. 5), when to be paid</w:t>
      </w:r>
      <w:bookmarkEnd w:id="19"/>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20" w:name="_Toc184629125"/>
      <w:r>
        <w:rPr>
          <w:rStyle w:val="CharSectno"/>
        </w:rPr>
        <w:t>11</w:t>
      </w:r>
      <w:r>
        <w:t>.</w:t>
      </w:r>
      <w:r>
        <w:tab/>
        <w:t>Half daily hearing fee (Sch. 1 Div. 2 it. 6)</w:t>
      </w:r>
      <w:bookmarkEnd w:id="20"/>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21" w:name="_Toc184629126"/>
      <w:r>
        <w:rPr>
          <w:rStyle w:val="CharSectno"/>
        </w:rPr>
        <w:lastRenderedPageBreak/>
        <w:t>12</w:t>
      </w:r>
      <w:r>
        <w:t>.</w:t>
      </w:r>
      <w:r>
        <w:tab/>
        <w:t>Court information, fees for</w:t>
      </w:r>
      <w:bookmarkEnd w:id="21"/>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2" w:name="_Toc184629127"/>
      <w:r>
        <w:rPr>
          <w:rStyle w:val="CharSectno"/>
        </w:rPr>
        <w:t>13</w:t>
      </w:r>
      <w:r>
        <w:t>.</w:t>
      </w:r>
      <w:r>
        <w:tab/>
        <w:t>Disputes as to fees, determination of</w:t>
      </w:r>
      <w:bookmarkEnd w:id="2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3" w:name="_Toc184629128"/>
      <w:r>
        <w:rPr>
          <w:rStyle w:val="CharSectno"/>
        </w:rPr>
        <w:t>14</w:t>
      </w:r>
      <w:r>
        <w:t>.</w:t>
      </w:r>
      <w:r>
        <w:tab/>
        <w:t>Unpaid fees, recovery of</w:t>
      </w:r>
      <w:bookmarkEnd w:id="23"/>
    </w:p>
    <w:p>
      <w:pPr>
        <w:pStyle w:val="Subsection"/>
      </w:pPr>
      <w:r>
        <w:tab/>
      </w:r>
      <w:r>
        <w:tab/>
        <w:t>Any unpaid fee is a debt due to the State and may be recovered by action in a court of competent jurisdiction.</w:t>
      </w:r>
    </w:p>
    <w:p>
      <w:pPr>
        <w:pStyle w:val="Heading5"/>
      </w:pPr>
      <w:bookmarkStart w:id="24" w:name="_Toc184629129"/>
      <w:r>
        <w:rPr>
          <w:rStyle w:val="CharSectno"/>
        </w:rPr>
        <w:lastRenderedPageBreak/>
        <w:t>15</w:t>
      </w:r>
      <w:r>
        <w:t>.</w:t>
      </w:r>
      <w:r>
        <w:tab/>
        <w:t>Transitional provisions</w:t>
      </w:r>
      <w:bookmarkEnd w:id="24"/>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5" w:name="_Toc184389568"/>
      <w:bookmarkStart w:id="26" w:name="_Toc184390203"/>
      <w:bookmarkStart w:id="27" w:name="_Toc184629130"/>
      <w:r>
        <w:rPr>
          <w:rStyle w:val="CharSchNo"/>
        </w:rPr>
        <w:lastRenderedPageBreak/>
        <w:t>Schedule 1</w:t>
      </w:r>
      <w:r>
        <w:t> — </w:t>
      </w:r>
      <w:r>
        <w:rPr>
          <w:rStyle w:val="CharSchText"/>
        </w:rPr>
        <w:t>Fees</w:t>
      </w:r>
      <w:bookmarkEnd w:id="25"/>
      <w:bookmarkEnd w:id="26"/>
      <w:bookmarkEnd w:id="27"/>
    </w:p>
    <w:p>
      <w:pPr>
        <w:pStyle w:val="yShoulderClause"/>
      </w:pPr>
      <w:r>
        <w:t>[r. 4 and 12]</w:t>
      </w:r>
    </w:p>
    <w:p>
      <w:pPr>
        <w:pStyle w:val="yFootnoteheading"/>
      </w:pPr>
      <w:r>
        <w:tab/>
        <w:t>[Heading inserted: SL 2024/113 r. 21.]</w:t>
      </w:r>
    </w:p>
    <w:p>
      <w:pPr>
        <w:pStyle w:val="yHeading3"/>
      </w:pPr>
      <w:bookmarkStart w:id="28" w:name="_Toc184389569"/>
      <w:bookmarkStart w:id="29" w:name="_Toc184390204"/>
      <w:bookmarkStart w:id="30" w:name="_Toc184629131"/>
      <w:r>
        <w:rPr>
          <w:rStyle w:val="CharSDivNo"/>
        </w:rPr>
        <w:t>Division 1</w:t>
      </w:r>
      <w:r>
        <w:t> — </w:t>
      </w:r>
      <w:r>
        <w:rPr>
          <w:rStyle w:val="CharSDivText"/>
        </w:rPr>
        <w:t>General</w:t>
      </w:r>
      <w:bookmarkEnd w:id="28"/>
      <w:bookmarkEnd w:id="29"/>
      <w:bookmarkEnd w:id="30"/>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w:t>
            </w:r>
            <w:r>
              <w:lastRenderedPageBreak/>
              <w:t xml:space="preserve">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r>
        <w:tab/>
        <w:t>[Division 1 inserted: SL 2024/113 r. 21.]</w:t>
      </w:r>
    </w:p>
    <w:p>
      <w:pPr>
        <w:pStyle w:val="yHeading3"/>
      </w:pPr>
      <w:bookmarkStart w:id="31" w:name="_Toc184389570"/>
      <w:bookmarkStart w:id="32" w:name="_Toc184390205"/>
      <w:bookmarkStart w:id="33" w:name="_Toc184629132"/>
      <w:r>
        <w:rPr>
          <w:rStyle w:val="CharSDivNo"/>
        </w:rPr>
        <w:t>Division 2</w:t>
      </w:r>
      <w:r>
        <w:t> — </w:t>
      </w:r>
      <w:r>
        <w:rPr>
          <w:rStyle w:val="CharSDivText"/>
        </w:rPr>
        <w:t>Civil jurisdiction</w:t>
      </w:r>
      <w:bookmarkEnd w:id="31"/>
      <w:bookmarkEnd w:id="32"/>
      <w:bookmarkEnd w:id="33"/>
    </w:p>
    <w:p>
      <w:pPr>
        <w:pStyle w:val="yFootnoteheading"/>
        <w:keepNext/>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r>
              <w:rPr>
                <w:szCs w:val="22"/>
              </w:rPr>
              <w:t>754.00</w:t>
            </w:r>
          </w:p>
        </w:tc>
        <w:tc>
          <w:tcPr>
            <w:tcW w:w="1276" w:type="dxa"/>
            <w:noWrap/>
            <w:vAlign w:val="bottom"/>
          </w:tcPr>
          <w:p>
            <w:pPr>
              <w:pStyle w:val="yTableNAm"/>
              <w:keepNext/>
              <w:ind w:right="175"/>
              <w:jc w:val="right"/>
              <w:rPr>
                <w:szCs w:val="22"/>
              </w:rPr>
            </w:pPr>
            <w:r>
              <w:rPr>
                <w:szCs w:val="22"/>
              </w:rPr>
              <w:t>1 468.00</w:t>
            </w:r>
          </w:p>
        </w:tc>
        <w:tc>
          <w:tcPr>
            <w:tcW w:w="1276" w:type="dxa"/>
            <w:noWrap/>
            <w:vAlign w:val="bottom"/>
          </w:tcPr>
          <w:p>
            <w:pPr>
              <w:pStyle w:val="yTableNAm"/>
              <w:keepNext/>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keepNext/>
            </w:pPr>
            <w:r>
              <w:lastRenderedPageBreak/>
              <w:t>4.</w:t>
            </w:r>
          </w:p>
        </w:tc>
        <w:tc>
          <w:tcPr>
            <w:tcW w:w="2552" w:type="dxa"/>
            <w:noWrap/>
          </w:tcPr>
          <w:p>
            <w:pPr>
              <w:pStyle w:val="yTableNAm"/>
              <w:keepNext/>
            </w:pPr>
            <w:r>
              <w:t xml:space="preserve">Application for hearing — </w:t>
            </w:r>
          </w:p>
        </w:tc>
        <w:tc>
          <w:tcPr>
            <w:tcW w:w="1275" w:type="dxa"/>
            <w:noWrap/>
            <w:vAlign w:val="bottom"/>
          </w:tcPr>
          <w:p>
            <w:pPr>
              <w:pStyle w:val="yTableNAm"/>
              <w:keepNext/>
              <w:rPr>
                <w:szCs w:val="18"/>
              </w:rPr>
            </w:pPr>
          </w:p>
        </w:tc>
        <w:tc>
          <w:tcPr>
            <w:tcW w:w="1276" w:type="dxa"/>
            <w:noWrap/>
            <w:vAlign w:val="bottom"/>
          </w:tcPr>
          <w:p>
            <w:pPr>
              <w:pStyle w:val="yTableNAm"/>
              <w:keepNext/>
            </w:pPr>
          </w:p>
        </w:tc>
        <w:tc>
          <w:tcPr>
            <w:tcW w:w="1276" w:type="dxa"/>
            <w:noWrap/>
            <w:vAlign w:val="bottom"/>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lastRenderedPageBreak/>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lastRenderedPageBreak/>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r>
        <w:tab/>
        <w:t>[Division 2 inserted: SL 2024/113 r. 21.]</w:t>
      </w:r>
    </w:p>
    <w:p>
      <w:pPr>
        <w:pStyle w:val="yHeading3"/>
      </w:pPr>
      <w:bookmarkStart w:id="34" w:name="_Toc184389571"/>
      <w:bookmarkStart w:id="35" w:name="_Toc184390206"/>
      <w:bookmarkStart w:id="36" w:name="_Toc184629133"/>
      <w:r>
        <w:rPr>
          <w:rStyle w:val="CharSDivNo"/>
        </w:rPr>
        <w:lastRenderedPageBreak/>
        <w:t>Division 3</w:t>
      </w:r>
      <w:r>
        <w:t> — </w:t>
      </w:r>
      <w:r>
        <w:rPr>
          <w:rStyle w:val="CharSDivText"/>
        </w:rPr>
        <w:t>Criminal jurisdiction</w:t>
      </w:r>
      <w:bookmarkEnd w:id="34"/>
      <w:bookmarkEnd w:id="35"/>
      <w:bookmarkEnd w:id="36"/>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 w:name="_Toc184389572"/>
      <w:bookmarkStart w:id="39" w:name="_Toc184390207"/>
      <w:bookmarkStart w:id="40" w:name="_Toc184629134"/>
      <w:r>
        <w:rPr>
          <w:rStyle w:val="CharSchNo"/>
        </w:rPr>
        <w:lastRenderedPageBreak/>
        <w:t>Schedule 2</w:t>
      </w:r>
      <w:r>
        <w:rPr>
          <w:rStyle w:val="CharSDivNo"/>
        </w:rPr>
        <w:t> </w:t>
      </w:r>
      <w:r>
        <w:t>—</w:t>
      </w:r>
      <w:r>
        <w:rPr>
          <w:rStyle w:val="CharSDivText"/>
        </w:rPr>
        <w:t> </w:t>
      </w:r>
      <w:r>
        <w:rPr>
          <w:rStyle w:val="CharSchText"/>
        </w:rPr>
        <w:t>Forms</w:t>
      </w:r>
      <w:bookmarkEnd w:id="38"/>
      <w:bookmarkEnd w:id="39"/>
      <w:bookmarkEnd w:id="40"/>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41" w:name="_Toc184629135"/>
      <w:r>
        <w:rPr>
          <w:rStyle w:val="CharSClsNo"/>
        </w:rPr>
        <w:t>1</w:t>
      </w:r>
      <w:r>
        <w:t>.</w:t>
      </w:r>
      <w:r>
        <w:tab/>
        <w:t>Declaration that a person is a small business or a non</w:t>
      </w:r>
      <w:r>
        <w:noBreakHyphen/>
        <w:t>profit association</w:t>
      </w:r>
      <w:bookmarkEnd w:id="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42" w:name="_Toc184629136"/>
      <w:r>
        <w:rPr>
          <w:rStyle w:val="CharSClsNo"/>
        </w:rPr>
        <w:lastRenderedPageBreak/>
        <w:t>3</w:t>
      </w:r>
      <w:r>
        <w:t>.</w:t>
      </w:r>
      <w:r>
        <w:tab/>
        <w:t>Application for determination of dispute about fees</w:t>
      </w:r>
      <w:bookmarkEnd w:id="4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43" w:name="_Toc184389575"/>
      <w:bookmarkStart w:id="44" w:name="_Toc184390210"/>
      <w:bookmarkStart w:id="45" w:name="_Toc184629137"/>
      <w:r>
        <w:lastRenderedPageBreak/>
        <w:t>Notes</w:t>
      </w:r>
      <w:bookmarkEnd w:id="43"/>
      <w:bookmarkEnd w:id="44"/>
      <w:bookmarkEnd w:id="45"/>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46" w:name="_Toc184629138"/>
      <w:r>
        <w:t>Compilation table</w:t>
      </w:r>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pPr>
              <w:pStyle w:val="nTable"/>
              <w:spacing w:after="40"/>
            </w:pPr>
            <w:r>
              <w:t>SL 2024/174 21 Aug 2024</w:t>
            </w:r>
          </w:p>
        </w:tc>
        <w:tc>
          <w:tcPr>
            <w:tcW w:w="2693" w:type="dxa"/>
            <w:gridSpan w:val="2"/>
            <w:tcBorders>
              <w:top w:val="nil"/>
              <w:bottom w:val="nil"/>
            </w:tcBorders>
            <w:shd w:val="clear" w:color="auto" w:fill="auto"/>
          </w:tcPr>
          <w:p>
            <w:pPr>
              <w:pStyle w:val="nTable"/>
              <w:spacing w:after="40"/>
            </w:pPr>
            <w:r>
              <w:t>1 Sep 2024 (see r. 2(b))</w:t>
            </w:r>
          </w:p>
        </w:tc>
      </w:tr>
      <w:tr>
        <w:tc>
          <w:tcPr>
            <w:tcW w:w="3118" w:type="dxa"/>
            <w:tcBorders>
              <w:top w:val="nil"/>
              <w:bottom w:val="single" w:sz="4" w:space="0" w:color="auto"/>
            </w:tcBorders>
            <w:shd w:val="clear" w:color="auto" w:fill="auto"/>
          </w:tcPr>
          <w:p>
            <w:pPr>
              <w:pStyle w:val="nTable"/>
              <w:spacing w:after="40"/>
              <w:rPr>
                <w:i/>
              </w:rPr>
            </w:pPr>
            <w:r>
              <w:rPr>
                <w:i/>
              </w:rPr>
              <w:lastRenderedPageBreak/>
              <w:t xml:space="preserve">Attorney General Regulations Amendment (Fees) Regulations 2024 </w:t>
            </w:r>
            <w:r>
              <w:rPr>
                <w:iCs/>
              </w:rPr>
              <w:t>Pt. 3</w:t>
            </w:r>
          </w:p>
        </w:tc>
        <w:tc>
          <w:tcPr>
            <w:tcW w:w="1276" w:type="dxa"/>
            <w:gridSpan w:val="2"/>
            <w:tcBorders>
              <w:top w:val="nil"/>
              <w:bottom w:val="single" w:sz="4" w:space="0" w:color="auto"/>
            </w:tcBorders>
            <w:shd w:val="clear" w:color="auto" w:fill="auto"/>
          </w:tcPr>
          <w:p>
            <w:pPr>
              <w:pStyle w:val="nTable"/>
              <w:spacing w:after="40"/>
            </w:pPr>
            <w:r>
              <w:t>SL 2024/254 11 Dec 2024</w:t>
            </w:r>
          </w:p>
        </w:tc>
        <w:tc>
          <w:tcPr>
            <w:tcW w:w="2693" w:type="dxa"/>
            <w:gridSpan w:val="2"/>
            <w:tcBorders>
              <w:top w:val="nil"/>
              <w:bottom w:val="single" w:sz="4" w:space="0" w:color="auto"/>
            </w:tcBorders>
            <w:shd w:val="clear" w:color="auto" w:fill="auto"/>
          </w:tcPr>
          <w:p>
            <w:pPr>
              <w:pStyle w:val="nTable"/>
              <w:spacing w:after="40"/>
            </w:pPr>
            <w:r>
              <w:t>12 Dec 2024 (see r. 2(b))</w:t>
            </w:r>
          </w:p>
        </w:tc>
      </w:tr>
    </w:tbl>
    <w:p>
      <w:pPr>
        <w:pStyle w:val="nHeading3"/>
      </w:pPr>
      <w:bookmarkStart w:id="47" w:name="_Toc184629139"/>
      <w:r>
        <w:t>Other notes</w:t>
      </w:r>
      <w:bookmarkEnd w:id="47"/>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9" w:name="_Toc184629140"/>
      <w:r>
        <w:rPr>
          <w:sz w:val="28"/>
        </w:rPr>
        <w:lastRenderedPageBreak/>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6A(1)</w:t>
      </w:r>
    </w:p>
    <w:p>
      <w:pPr>
        <w:pStyle w:val="DefinedTerms"/>
      </w:pPr>
      <w:r>
        <w:t>case statement</w:t>
      </w:r>
      <w:r>
        <w:tab/>
        <w:t>3</w:t>
      </w:r>
    </w:p>
    <w:p>
      <w:pPr>
        <w:pStyle w:val="DefinedTerms"/>
      </w:pPr>
      <w:r>
        <w:t>Centrelink</w:t>
      </w:r>
      <w:r>
        <w:tab/>
        <w:t>7(1)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FVRO</w:t>
      </w:r>
      <w:r>
        <w:tab/>
        <w:t>6A(1)</w:t>
      </w:r>
    </w:p>
    <w:p>
      <w:pPr>
        <w:pStyle w:val="DefinedTerms"/>
      </w:pPr>
      <w:r>
        <w:t>individual</w:t>
      </w:r>
      <w:r>
        <w:tab/>
        <w:t>3</w:t>
      </w:r>
    </w:p>
    <w:p>
      <w:pPr>
        <w:pStyle w:val="DefinedTerms"/>
      </w:pPr>
      <w:r>
        <w:t>interim order</w:t>
      </w:r>
      <w:r>
        <w:tab/>
        <w:t>6A(1)</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 6A(1)</w:t>
      </w:r>
    </w:p>
    <w:p>
      <w:pPr>
        <w:pStyle w:val="DefinedTerms"/>
      </w:pPr>
      <w:r>
        <w:t>small business</w:t>
      </w:r>
      <w:r>
        <w:tab/>
        <w:t>3</w:t>
      </w:r>
    </w:p>
    <w:p>
      <w:pPr>
        <w:pStyle w:val="DefinedTerms"/>
      </w:pPr>
      <w:r>
        <w:t>subsidiary</w:t>
      </w:r>
      <w:r>
        <w:tab/>
        <w:t>3</w:t>
      </w:r>
    </w:p>
    <w:p>
      <w:pPr>
        <w:pStyle w:val="DefinedTerms"/>
      </w:pPr>
      <w:r>
        <w:t>VRO</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0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4572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8416</Words>
  <Characters>41155</Characters>
  <Application>Microsoft Office Word</Application>
  <DocSecurity>0</DocSecurity>
  <Lines>1870</Lines>
  <Paragraphs>1054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2005 - 03-w0-00</dc:title>
  <dc:subject/>
  <dc:creator/>
  <cp:keywords/>
  <dc:description/>
  <cp:lastModifiedBy>Master Repository Process</cp:lastModifiedBy>
  <cp:revision>4</cp:revision>
  <cp:lastPrinted>2018-12-06T07:31:00Z</cp:lastPrinted>
  <dcterms:created xsi:type="dcterms:W3CDTF">2025-07-04T06:22:00Z</dcterms:created>
  <dcterms:modified xsi:type="dcterms:W3CDTF">2025-07-04T06:23:00Z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12 Dec 2024</vt:lpwstr>
  </property>
  <property fmtid="{D5CDD505-2E9C-101B-9397-08002B2CF9AE}" pid="8" name="Suffix">
    <vt:lpwstr>03-w0-00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