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10)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10)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_Toc184823031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_Toc184823032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10) 2024</w:t>
      </w:r>
    </w:p>
    <w:p>
      <w:pPr>
        <w:spacing w:before="600"/>
      </w:pPr>
      <w:r>
        <w:t xml:space="preserve">Made </w:t>
      </w:r>
      <w:r>
        <w:rPr>
          <w:szCs w:val="24"/>
        </w:rPr>
        <w:t xml:space="preserve">under </w:t>
      </w:r>
      <w:r>
        <w:t>section</w:t>
      </w:r>
      <w:r>
        <w:rPr>
          <w:szCs w:val="24"/>
        </w:rPr>
        <w:t> 12(2)(c) of the Act</w:t>
      </w:r>
      <w:r>
        <w:t>.</w:t>
      </w:r>
    </w:p>
    <w:p>
      <w:pPr>
        <w:pStyle w:val="Heading5"/>
      </w:pPr>
      <w:bookmarkStart w:id="2" w:name="_Toc184822593"/>
      <w:bookmarkStart w:id="3" w:name="_Toc1848230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  <w:iCs/>
        </w:rPr>
        <w:t>Therapeutic Goods (Legislative Instruments) Notice (No. 10) 2024</w:t>
      </w:r>
      <w:r>
        <w:t xml:space="preserve">. </w:t>
      </w:r>
    </w:p>
    <w:p>
      <w:pPr>
        <w:pStyle w:val="Heading5"/>
      </w:pPr>
      <w:bookmarkStart w:id="5" w:name="_Toc184822594"/>
      <w:bookmarkStart w:id="6" w:name="_Toc184823032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r>
        <w:rPr>
          <w:spacing w:val="-2"/>
        </w:rPr>
        <w:t>www.legislation.gov.au</w:t>
      </w:r>
      <w: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(Therapeutic Goods Order No. 91 – Standard for labels of prescription and related medicines) Amendment Order 2024</w:t>
      </w:r>
    </w:p>
    <w:p>
      <w:pPr>
        <w:pStyle w:val="PermNoteHeading"/>
        <w:tabs>
          <w:tab w:val="left" w:pos="426"/>
        </w:tabs>
        <w:ind w:left="709" w:firstLine="579"/>
      </w:pPr>
      <w:r>
        <w:t>Note: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480"/>
        <w:rPr>
          <w:highlight w:val="yellow"/>
        </w:rPr>
      </w:pPr>
      <w:r>
        <w:rPr>
          <w:b/>
          <w:bCs/>
        </w:rPr>
        <w:t>LINDA TAYLOR</w:t>
      </w:r>
      <w:r>
        <w:rPr>
          <w:b/>
          <w:bCs/>
        </w:rPr>
        <w:br/>
        <w:t>A/GENERAL COUNSEL AND A/DIRECTOR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>
      <w:pPr>
        <w:pStyle w:val="ByCommand"/>
        <w:spacing w:before="600"/>
        <w:rPr>
          <w:highlight w:val="yellow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1E99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D17CE20" w14:textId="3180602D" w:rsidR="000E4E28" w:rsidRDefault="000E4E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310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4B9EE8" w14:textId="77777777" w:rsidR="000E4E28" w:rsidRDefault="000E4E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1BF8BC" w14:textId="21B5ACAA" w:rsidR="000E4E28" w:rsidRDefault="000E4E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310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21FE97" w14:textId="77777777" w:rsidR="000E4E28" w:rsidRDefault="000E4E2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10)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10)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10)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10)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111515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11141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11141550_GUID" w:val="e1a1af61-a0ff-449f-b2e4-37992cc77390"/>
    <w:docVar w:name="WAFER_202412111515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1151546_GUID" w:val="4edc55b4-924d-4658-9647-6c34bad9e15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BAFAA9C7-AE36-4F23-95A5-D686A532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1529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10)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2025-05-29T04:46:00Z</dcterms:created>
  <dcterms:modified xsi:type="dcterms:W3CDTF">2025-05-29T04:46:00Z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55250</vt:lpwstr>
  </property>
  <property fmtid="{D5CDD505-2E9C-101B-9397-08002B2CF9AE}" pid="3" name="DocumentType">
    <vt:lpwstr>Reg</vt:lpwstr>
  </property>
  <property fmtid="{D5CDD505-2E9C-101B-9397-08002B2CF9AE}" pid="4" name="AsAtDate">
    <vt:lpwstr>13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2024/270</vt:lpwstr>
  </property>
  <property fmtid="{D5CDD505-2E9C-101B-9397-08002B2CF9AE}" pid="8" name="PublishDate">
    <vt:lpwstr>13 Dec 2024</vt:lpwstr>
  </property>
  <property fmtid="{D5CDD505-2E9C-101B-9397-08002B2CF9AE}" pid="9" name="CommencementDate">
    <vt:lpwstr>20241213</vt:lpwstr>
  </property>
  <property fmtid="{D5CDD505-2E9C-101B-9397-08002B2CF9AE}" pid="10" name="CommencementAsAt">
    <vt:filetime>2024-12-12T16:00:00Z</vt:filetime>
  </property>
  <property fmtid="{D5CDD505-2E9C-101B-9397-08002B2CF9AE}" pid="11" name="CommencementYear">
    <vt:lpwstr>2024</vt:lpwstr>
  </property>
</Properties>
</file>