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Human Tissue and Transplant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_Toc185340006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_Toc185340007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_Toc185340008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_Toc185340009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Human Tissue and Transplant Act 1982</w:t>
      </w:r>
    </w:p>
    <w:p>
      <w:pPr>
        <w:pStyle w:val="NameofActReg"/>
      </w:pPr>
      <w:r>
        <w:t>Human Tissue and Transplant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911113"/>
      <w:bookmarkStart w:id="3" w:name="_Toc18534000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911114"/>
      <w:bookmarkStart w:id="6" w:name="_Toc18534000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4911115"/>
      <w:bookmarkStart w:id="8" w:name="_Toc18534000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Human Tissue and Transplant Regulations 2024</w:t>
      </w:r>
      <w:r>
        <w:t>.</w:t>
      </w:r>
    </w:p>
    <w:p>
      <w:pPr>
        <w:pStyle w:val="Heading5"/>
      </w:pPr>
      <w:bookmarkStart w:id="9" w:name="_Toc184911116"/>
      <w:bookmarkStart w:id="10" w:name="_Toc185340009"/>
      <w:r>
        <w:rPr>
          <w:rStyle w:val="CharSectno"/>
        </w:rPr>
        <w:t>4</w:t>
      </w:r>
      <w:r>
        <w:t>.</w:t>
      </w:r>
      <w:r>
        <w:tab/>
        <w:t>Regulation 4 amended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>In regulation 4(1) insert in alphabetical order:</w:t>
      </w:r>
    </w:p>
    <w:p>
      <w:pPr>
        <w:pStyle w:val="BlankOpen"/>
      </w:pPr>
    </w:p>
    <w:p>
      <w:pPr>
        <w:pStyle w:val="zDefstart"/>
        <w:keepNext/>
      </w:pPr>
      <w:r>
        <w:tab/>
      </w:r>
      <w:r>
        <w:rPr>
          <w:rStyle w:val="CharDefText"/>
        </w:rPr>
        <w:t>equivalent rule</w:t>
      </w:r>
      <w:r>
        <w:t xml:space="preserve">, in relation to a rule made under the Therapeutic Goods Act, means the rule that — </w:t>
      </w:r>
    </w:p>
    <w:p>
      <w:pPr>
        <w:pStyle w:val="zDefpara"/>
      </w:pPr>
      <w:r>
        <w:tab/>
        <w:t>(a)</w:t>
      </w:r>
      <w:r>
        <w:tab/>
        <w:t xml:space="preserve">applies as a law of the State under the </w:t>
      </w:r>
      <w:r>
        <w:rPr>
          <w:i/>
          <w:iCs/>
        </w:rPr>
        <w:t>Therapeutic Goods Law Application Act 2024</w:t>
      </w:r>
      <w:r>
        <w:t xml:space="preserve"> section 10; and</w:t>
      </w:r>
    </w:p>
    <w:p>
      <w:pPr>
        <w:pStyle w:val="zDefpara"/>
      </w:pPr>
      <w:r>
        <w:tab/>
        <w:t>(b)</w:t>
      </w:r>
      <w:r>
        <w:tab/>
        <w:t>is equivalent to the rule made under the Therapeutic Goods Act;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equivalent section</w:t>
      </w:r>
      <w:r>
        <w:t xml:space="preserve">, in relation to a section of the Therapeutic Goods Act, means the section of the Therapeutic Goods Act that — </w:t>
      </w:r>
    </w:p>
    <w:p>
      <w:pPr>
        <w:pStyle w:val="zDefpara"/>
      </w:pPr>
      <w:r>
        <w:tab/>
        <w:t>(a)</w:t>
      </w:r>
      <w:r>
        <w:tab/>
        <w:t xml:space="preserve">applies as a law of the State under the </w:t>
      </w:r>
      <w:r>
        <w:rPr>
          <w:i/>
          <w:iCs/>
        </w:rPr>
        <w:t>Therapeutic Goods Law Application Act 2024</w:t>
      </w:r>
      <w:r>
        <w:t xml:space="preserve"> section 5; and</w:t>
      </w:r>
    </w:p>
    <w:p>
      <w:pPr>
        <w:pStyle w:val="zDefpara"/>
      </w:pPr>
      <w:r>
        <w:tab/>
        <w:t>(b)</w:t>
      </w:r>
      <w:r>
        <w:tab/>
        <w:t>is equivalent to the section of the Therapeutic Goods Act;</w:t>
      </w:r>
    </w:p>
    <w:p>
      <w:pPr>
        <w:pStyle w:val="zDefstart"/>
      </w:pPr>
      <w:r>
        <w:tab/>
      </w:r>
      <w:r>
        <w:rPr>
          <w:rStyle w:val="CharDefText"/>
        </w:rPr>
        <w:t>TG law provision</w:t>
      </w:r>
      <w:r>
        <w:t xml:space="preserve"> has the meaning given in section 29A(1).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 xml:space="preserve">In regulation 4(1) in the definition of </w:t>
      </w:r>
      <w:r>
        <w:rPr>
          <w:b/>
          <w:bCs/>
          <w:i/>
          <w:iCs/>
        </w:rPr>
        <w:t>TGA provision</w:t>
      </w:r>
      <w:r>
        <w:t xml:space="preserve"> delete “29A(1).”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29A(1);</w:t>
      </w:r>
    </w:p>
    <w:p>
      <w:pPr>
        <w:pStyle w:val="BlankClose"/>
      </w:pPr>
    </w:p>
    <w:p>
      <w:pPr>
        <w:pStyle w:val="Subsection"/>
        <w:keepNext/>
      </w:pPr>
      <w:r>
        <w:tab/>
        <w:t>(3)</w:t>
      </w:r>
      <w:r>
        <w:tab/>
        <w:t>In regulation 4(2):</w:t>
      </w:r>
    </w:p>
    <w:p>
      <w:pPr>
        <w:pStyle w:val="Indenta"/>
        <w:keepNext/>
      </w:pPr>
      <w:r>
        <w:tab/>
        <w:t>(a)</w:t>
      </w:r>
      <w:r>
        <w:tab/>
        <w:t>delete “TGA provisions”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TG law provisions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(i) delete “41HC(6).”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41HC(6);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after paragraph (i) insert:</w:t>
      </w:r>
    </w:p>
    <w:p>
      <w:pPr>
        <w:pStyle w:val="BlankOpen"/>
      </w:pPr>
    </w:p>
    <w:p>
      <w:pPr>
        <w:pStyle w:val="zIndenta"/>
      </w:pPr>
      <w:r>
        <w:tab/>
        <w:t>(j)</w:t>
      </w:r>
      <w:r>
        <w:tab/>
        <w:t>the equivalent section of each section of the Therapeutic Goods Act prescribed under paragraphs (a), (b), (d), (e), (g) and (h);</w:t>
      </w:r>
    </w:p>
    <w:p>
      <w:pPr>
        <w:pStyle w:val="zIndenta"/>
        <w:keepNext/>
      </w:pPr>
      <w:r>
        <w:lastRenderedPageBreak/>
        <w:tab/>
        <w:t>(k)</w:t>
      </w:r>
      <w:r>
        <w:tab/>
        <w:t xml:space="preserve">the equivalent rule of each rule made under the Therapeutic Goods Act prescribed under paragraphs (c), (f) and (i). </w:t>
      </w:r>
    </w:p>
    <w:p>
      <w:pPr>
        <w:pStyle w:val="BlankClose"/>
      </w:pPr>
    </w:p>
    <w:p>
      <w:pPr>
        <w:pStyle w:val="PermNoteHeading"/>
      </w:pPr>
      <w:r>
        <w:tab/>
        <w:t>Note: The heading to amended regulation 4 is to read:</w:t>
      </w:r>
    </w:p>
    <w:p>
      <w:pPr>
        <w:pStyle w:val="PermNoteText"/>
        <w:rPr>
          <w:b/>
          <w:bCs/>
        </w:rPr>
      </w:pPr>
      <w:r>
        <w:tab/>
      </w:r>
      <w:r>
        <w:tab/>
      </w:r>
      <w:r>
        <w:rPr>
          <w:b/>
          <w:bCs/>
        </w:rPr>
        <w:t>TG law provisions (s. 29A(4)(d) and (e))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FAD26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D590E9A" w14:textId="0F506108" w:rsidR="00795C7B" w:rsidRDefault="00795C7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6142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92098E" w14:textId="77777777" w:rsidR="00795C7B" w:rsidRDefault="00795C7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855DBC" w14:textId="692EA96E" w:rsidR="00795C7B" w:rsidRDefault="00795C7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6142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C69C446" w14:textId="77777777" w:rsidR="00795C7B" w:rsidRDefault="00795C7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5505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081007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8100729_GUID" w:val="e8f84f26-88c1-4363-95b2-ecba3bd21b8f"/>
    <w:docVar w:name="WAFER_202411151137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5113741_GUID" w:val="30f8db0f-f34b-4790-b5b3-86d5190f22a6"/>
    <w:docVar w:name="WAFER_202412121550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5058_GUID" w:val="11f2e3d9-9b8e-41b5-9480-a0813d9fc5e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C6AEBD38-757D-4B37-8932-67A25EE2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2337</Characters>
  <Application>Microsoft Office Word</Application>
  <DocSecurity>0</DocSecurity>
  <Lines>106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Amendment Regulations 2024 - 00-00-00</dc:title>
  <dc:subject/>
  <dc:creator/>
  <cp:keywords/>
  <dc:description/>
  <cp:lastModifiedBy>Master Repository Process</cp:lastModifiedBy>
  <cp:revision>4</cp:revision>
  <cp:lastPrinted>2024-09-27T03:15:00Z</cp:lastPrinted>
  <dcterms:created xsi:type="dcterms:W3CDTF">2025-06-17T03:11:00Z</dcterms:created>
  <dcterms:modified xsi:type="dcterms:W3CDTF">2025-06-17T03:11:00Z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55115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2024/276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