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Act 2006</w:t>
      </w:r>
      <w:r>
        <w:rPr>
          <w:noProof/>
        </w:rPr>
        <w:br/>
        <w:t>Weapons Act 1999</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Police Regulations Amendment (Edged Weapons and Move On Orders)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Regulations Amendment (Edged Weapons and Move On Orders)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_Toc185340473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_Toc185340474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Criminal Investigation Regulations 2007</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_Toc185340476 \h </w:instrText>
      </w:r>
      <w:r>
        <w:fldChar w:fldCharType="separate"/>
      </w:r>
      <w:r>
        <w:t>2</w:t>
      </w:r>
      <w:r>
        <w:fldChar w:fldCharType="end"/>
      </w:r>
    </w:p>
    <w:p>
      <w:pPr>
        <w:pStyle w:val="TOC8"/>
        <w:rPr>
          <w:rFonts w:asciiTheme="minorHAnsi" w:eastAsiaTheme="minorEastAsia" w:hAnsiTheme="minorHAnsi" w:cstheme="minorBidi"/>
          <w:szCs w:val="22"/>
        </w:rPr>
      </w:pPr>
      <w:r>
        <w:t>4.</w:t>
      </w:r>
      <w:r>
        <w:tab/>
        <w:t>Schedule 1 amended</w:t>
      </w:r>
      <w:r>
        <w:tab/>
      </w:r>
      <w:r>
        <w:fldChar w:fldCharType="begin"/>
      </w:r>
      <w:r>
        <w:instrText xml:space="preserve"> PAGEREF _Toc185340477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Weapons Regulations 1999</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_Toc185340479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3 amended</w:t>
      </w:r>
      <w:r>
        <w:tab/>
      </w:r>
      <w:r>
        <w:fldChar w:fldCharType="begin"/>
      </w:r>
      <w:r>
        <w:instrText xml:space="preserve"> PAGEREF _Toc185340480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5A inserted</w:t>
      </w:r>
      <w:r>
        <w:tab/>
      </w:r>
      <w:r>
        <w:fldChar w:fldCharType="begin"/>
      </w:r>
      <w:r>
        <w:instrText xml:space="preserve"> PAGEREF _Toc185340481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5A.</w:t>
      </w:r>
      <w:r>
        <w:rPr>
          <w:noProof/>
        </w:rPr>
        <w:tab/>
        <w:t>Edged weapons prescribed (Act s. 3A) (Sch. 3)</w:t>
      </w:r>
      <w:r>
        <w:rPr>
          <w:noProof/>
        </w:rPr>
        <w:tab/>
      </w:r>
      <w:r>
        <w:rPr>
          <w:noProof/>
        </w:rPr>
        <w:fldChar w:fldCharType="begin"/>
      </w:r>
      <w:r>
        <w:rPr>
          <w:noProof/>
        </w:rPr>
        <w:instrText xml:space="preserve"> PAGEREF _Toc185340482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8.</w:t>
      </w:r>
      <w:r>
        <w:tab/>
        <w:t>Regulation 6 amended</w:t>
      </w:r>
      <w:r>
        <w:tab/>
      </w:r>
      <w:r>
        <w:fldChar w:fldCharType="begin"/>
      </w:r>
      <w:r>
        <w:instrText xml:space="preserve"> PAGEREF _Toc185340483 \h </w:instrText>
      </w:r>
      <w:r>
        <w:fldChar w:fldCharType="separate"/>
      </w:r>
      <w:r>
        <w:t>3</w:t>
      </w:r>
      <w:r>
        <w:fldChar w:fldCharType="end"/>
      </w:r>
    </w:p>
    <w:p>
      <w:pPr>
        <w:pStyle w:val="TOC8"/>
        <w:rPr>
          <w:rFonts w:asciiTheme="minorHAnsi" w:eastAsiaTheme="minorEastAsia" w:hAnsiTheme="minorHAnsi" w:cstheme="minorBidi"/>
          <w:szCs w:val="22"/>
        </w:rPr>
      </w:pPr>
      <w:r>
        <w:t>9.</w:t>
      </w:r>
      <w:r>
        <w:tab/>
        <w:t>Regulation 7 replaced</w:t>
      </w:r>
      <w:r>
        <w:tab/>
      </w:r>
      <w:r>
        <w:fldChar w:fldCharType="begin"/>
      </w:r>
      <w:r>
        <w:instrText xml:space="preserve"> PAGEREF _Toc185340484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7.</w:t>
      </w:r>
      <w:r>
        <w:rPr>
          <w:noProof/>
        </w:rPr>
        <w:tab/>
        <w:t>Capsicum spray weapons may be used for defence (Act s. 5A(2))</w:t>
      </w:r>
      <w:r>
        <w:rPr>
          <w:noProof/>
        </w:rPr>
        <w:tab/>
      </w:r>
      <w:r>
        <w:rPr>
          <w:noProof/>
        </w:rPr>
        <w:fldChar w:fldCharType="begin"/>
      </w:r>
      <w:r>
        <w:rPr>
          <w:noProof/>
        </w:rPr>
        <w:instrText xml:space="preserve"> PAGEREF _Toc185340485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10.</w:t>
      </w:r>
      <w:r>
        <w:tab/>
        <w:t>Regulation 10 amended</w:t>
      </w:r>
      <w:r>
        <w:tab/>
      </w:r>
      <w:r>
        <w:fldChar w:fldCharType="begin"/>
      </w:r>
      <w:r>
        <w:instrText xml:space="preserve"> PAGEREF _Toc185340486 \h </w:instrText>
      </w:r>
      <w:r>
        <w:fldChar w:fldCharType="separate"/>
      </w:r>
      <w:r>
        <w:t>5</w:t>
      </w:r>
      <w:r>
        <w:fldChar w:fldCharType="end"/>
      </w:r>
    </w:p>
    <w:p>
      <w:pPr>
        <w:pStyle w:val="TOC8"/>
        <w:rPr>
          <w:rFonts w:asciiTheme="minorHAnsi" w:eastAsiaTheme="minorEastAsia" w:hAnsiTheme="minorHAnsi" w:cstheme="minorBidi"/>
          <w:szCs w:val="22"/>
        </w:rPr>
      </w:pPr>
      <w:r>
        <w:t>11.</w:t>
      </w:r>
      <w:r>
        <w:tab/>
        <w:t>Regulation 12 amended</w:t>
      </w:r>
      <w:r>
        <w:tab/>
      </w:r>
      <w:r>
        <w:fldChar w:fldCharType="begin"/>
      </w:r>
      <w:r>
        <w:instrText xml:space="preserve"> PAGEREF _Toc185340487 \h </w:instrText>
      </w:r>
      <w:r>
        <w:fldChar w:fldCharType="separate"/>
      </w:r>
      <w:r>
        <w:t>5</w:t>
      </w:r>
      <w:r>
        <w:fldChar w:fldCharType="end"/>
      </w:r>
    </w:p>
    <w:p>
      <w:pPr>
        <w:pStyle w:val="TOC8"/>
        <w:rPr>
          <w:rFonts w:asciiTheme="minorHAnsi" w:eastAsiaTheme="minorEastAsia" w:hAnsiTheme="minorHAnsi" w:cstheme="minorBidi"/>
          <w:szCs w:val="22"/>
        </w:rPr>
      </w:pPr>
      <w:r>
        <w:t>12.</w:t>
      </w:r>
      <w:r>
        <w:tab/>
        <w:t>Regulation 12A amended</w:t>
      </w:r>
      <w:r>
        <w:tab/>
      </w:r>
      <w:r>
        <w:fldChar w:fldCharType="begin"/>
      </w:r>
      <w:r>
        <w:instrText xml:space="preserve"> PAGEREF _Toc185340488 \h </w:instrText>
      </w:r>
      <w:r>
        <w:fldChar w:fldCharType="separate"/>
      </w:r>
      <w:r>
        <w:t>6</w:t>
      </w:r>
      <w:r>
        <w:fldChar w:fldCharType="end"/>
      </w:r>
    </w:p>
    <w:p>
      <w:pPr>
        <w:pStyle w:val="TOC8"/>
        <w:rPr>
          <w:rFonts w:asciiTheme="minorHAnsi" w:eastAsiaTheme="minorEastAsia" w:hAnsiTheme="minorHAnsi" w:cstheme="minorBidi"/>
          <w:szCs w:val="22"/>
        </w:rPr>
      </w:pPr>
      <w:r>
        <w:t>13.</w:t>
      </w:r>
      <w:r>
        <w:tab/>
        <w:t>Schedule 1 amended</w:t>
      </w:r>
      <w:r>
        <w:tab/>
      </w:r>
      <w:r>
        <w:fldChar w:fldCharType="begin"/>
      </w:r>
      <w:r>
        <w:instrText xml:space="preserve"> PAGEREF _Toc185340489 \h </w:instrText>
      </w:r>
      <w:r>
        <w:fldChar w:fldCharType="separate"/>
      </w:r>
      <w:r>
        <w:t>6</w:t>
      </w:r>
      <w:r>
        <w:fldChar w:fldCharType="end"/>
      </w:r>
    </w:p>
    <w:p>
      <w:pPr>
        <w:pStyle w:val="TOC8"/>
        <w:rPr>
          <w:rFonts w:asciiTheme="minorHAnsi" w:eastAsiaTheme="minorEastAsia" w:hAnsiTheme="minorHAnsi" w:cstheme="minorBidi"/>
          <w:szCs w:val="22"/>
        </w:rPr>
      </w:pPr>
      <w:r>
        <w:t>14.</w:t>
      </w:r>
      <w:r>
        <w:tab/>
        <w:t>Schedule 2 amended</w:t>
      </w:r>
      <w:r>
        <w:tab/>
      </w:r>
      <w:r>
        <w:fldChar w:fldCharType="begin"/>
      </w:r>
      <w:r>
        <w:instrText xml:space="preserve"> PAGEREF _Toc185340490 \h </w:instrText>
      </w:r>
      <w:r>
        <w:fldChar w:fldCharType="separate"/>
      </w:r>
      <w:r>
        <w:t>6</w:t>
      </w:r>
      <w:r>
        <w:fldChar w:fldCharType="end"/>
      </w:r>
    </w:p>
    <w:p>
      <w:pPr>
        <w:pStyle w:val="TOC8"/>
        <w:rPr>
          <w:rFonts w:asciiTheme="minorHAnsi" w:eastAsiaTheme="minorEastAsia" w:hAnsiTheme="minorHAnsi" w:cstheme="minorBidi"/>
          <w:szCs w:val="22"/>
        </w:rPr>
      </w:pPr>
      <w:r>
        <w:lastRenderedPageBreak/>
        <w:t>15.</w:t>
      </w:r>
      <w:r>
        <w:tab/>
        <w:t>Schedule 3 inserted</w:t>
      </w:r>
      <w:r>
        <w:tab/>
      </w:r>
      <w:r>
        <w:fldChar w:fldCharType="begin"/>
      </w:r>
      <w:r>
        <w:instrText xml:space="preserve"> PAGEREF _Toc185340491 \h </w:instrText>
      </w:r>
      <w:r>
        <w:fldChar w:fldCharType="separate"/>
      </w:r>
      <w:r>
        <w:t>7</w:t>
      </w:r>
      <w:r>
        <w:fldChar w:fldCharType="end"/>
      </w:r>
    </w:p>
    <w:p>
      <w:pPr>
        <w:pStyle w:val="TOC3"/>
        <w:tabs>
          <w:tab w:val="right" w:leader="dot" w:pos="7077"/>
        </w:tabs>
        <w:rPr>
          <w:rFonts w:asciiTheme="minorHAnsi" w:eastAsiaTheme="minorEastAsia" w:hAnsiTheme="minorHAnsi" w:cstheme="minorBidi"/>
          <w:b w:val="0"/>
          <w:sz w:val="22"/>
          <w:szCs w:val="22"/>
        </w:rPr>
      </w:pPr>
      <w:r>
        <w:t>Schedule 3 — Edged weapons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rStyle w:val="DraftersNotes"/>
          <w:b w:val="0"/>
          <w:i w:val="0"/>
          <w:sz w:val="24"/>
        </w:rPr>
      </w:pPr>
      <w:r>
        <w:lastRenderedPageBreak/>
        <w:t>Criminal Investigation Act 2006</w:t>
      </w:r>
      <w:r>
        <w:br/>
        <w:t>Weapons Act 1999</w:t>
      </w:r>
    </w:p>
    <w:p>
      <w:pPr>
        <w:pStyle w:val="NameofActReg"/>
      </w:pPr>
      <w:r>
        <w:t>Police Regulations Amendment (Edged Weapons and Move On Orders) Regulations 2024</w:t>
      </w:r>
    </w:p>
    <w:p>
      <w:pPr>
        <w:pStyle w:val="MadeBy"/>
      </w:pPr>
      <w:r>
        <w:t>Made by the Governor in Executive Council.</w:t>
      </w:r>
    </w:p>
    <w:p>
      <w:pPr>
        <w:pStyle w:val="Heading2"/>
        <w:pageBreakBefore w:val="0"/>
        <w:spacing w:before="480"/>
      </w:pPr>
      <w:bookmarkStart w:id="2" w:name="_Toc184910421"/>
      <w:bookmarkStart w:id="3" w:name="_Toc184910476"/>
      <w:bookmarkStart w:id="4" w:name="_Toc184910560"/>
      <w:bookmarkStart w:id="5" w:name="_Toc18534047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84910422"/>
      <w:bookmarkStart w:id="7" w:name="_Toc185340473"/>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Police Regulations Amendment (Edged Weapons and Move On Orders) Regulations 2024</w:t>
      </w:r>
      <w:r>
        <w:t>.</w:t>
      </w:r>
    </w:p>
    <w:p>
      <w:pPr>
        <w:pStyle w:val="Heading5"/>
        <w:rPr>
          <w:spacing w:val="-2"/>
        </w:rPr>
      </w:pPr>
      <w:bookmarkStart w:id="9" w:name="_Toc184910423"/>
      <w:bookmarkStart w:id="10" w:name="_Toc18534047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20 December 2024.</w:t>
      </w:r>
    </w:p>
    <w:p>
      <w:pPr>
        <w:pStyle w:val="Heading2"/>
      </w:pPr>
      <w:bookmarkStart w:id="11" w:name="_Toc184910424"/>
      <w:bookmarkStart w:id="12" w:name="_Toc184910479"/>
      <w:bookmarkStart w:id="13" w:name="_Toc184910563"/>
      <w:bookmarkStart w:id="14" w:name="_Toc185340475"/>
      <w:r>
        <w:rPr>
          <w:rStyle w:val="CharPartNo"/>
        </w:rPr>
        <w:lastRenderedPageBreak/>
        <w:t>Part 2</w:t>
      </w:r>
      <w:r>
        <w:rPr>
          <w:rStyle w:val="CharDivNo"/>
        </w:rPr>
        <w:t> </w:t>
      </w:r>
      <w:r>
        <w:t>—</w:t>
      </w:r>
      <w:r>
        <w:rPr>
          <w:rStyle w:val="CharDivText"/>
        </w:rPr>
        <w:t> </w:t>
      </w:r>
      <w:r>
        <w:rPr>
          <w:rStyle w:val="CharPartText"/>
          <w:i/>
          <w:iCs/>
        </w:rPr>
        <w:t>Criminal Investigation Regulations 2007</w:t>
      </w:r>
      <w:r>
        <w:rPr>
          <w:rStyle w:val="CharPartText"/>
        </w:rPr>
        <w:t xml:space="preserve"> amended</w:t>
      </w:r>
      <w:bookmarkEnd w:id="11"/>
      <w:bookmarkEnd w:id="12"/>
      <w:bookmarkEnd w:id="13"/>
      <w:bookmarkEnd w:id="14"/>
    </w:p>
    <w:p>
      <w:pPr>
        <w:pStyle w:val="Heading5"/>
        <w:rPr>
          <w:snapToGrid w:val="0"/>
        </w:rPr>
      </w:pPr>
      <w:bookmarkStart w:id="15" w:name="_Toc184910425"/>
      <w:bookmarkStart w:id="16" w:name="_Toc185340476"/>
      <w:r>
        <w:rPr>
          <w:rStyle w:val="CharSectno"/>
        </w:rPr>
        <w:t>3</w:t>
      </w:r>
      <w:r>
        <w:rPr>
          <w:snapToGrid w:val="0"/>
        </w:rPr>
        <w:t>.</w:t>
      </w:r>
      <w:r>
        <w:rPr>
          <w:snapToGrid w:val="0"/>
        </w:rPr>
        <w:tab/>
        <w:t>Regulations amended</w:t>
      </w:r>
      <w:bookmarkEnd w:id="15"/>
      <w:bookmarkEnd w:id="16"/>
    </w:p>
    <w:p>
      <w:pPr>
        <w:pStyle w:val="Subsection"/>
      </w:pPr>
      <w:r>
        <w:tab/>
      </w:r>
      <w:r>
        <w:tab/>
        <w:t xml:space="preserve">This Part amends the </w:t>
      </w:r>
      <w:r>
        <w:rPr>
          <w:i/>
          <w:iCs/>
        </w:rPr>
        <w:t>Criminal Investigation Regulations 2007</w:t>
      </w:r>
      <w:r>
        <w:t>.</w:t>
      </w:r>
    </w:p>
    <w:p>
      <w:pPr>
        <w:pStyle w:val="Heading5"/>
      </w:pPr>
      <w:bookmarkStart w:id="17" w:name="_Toc184910426"/>
      <w:bookmarkStart w:id="18" w:name="_Toc185340477"/>
      <w:r>
        <w:rPr>
          <w:rStyle w:val="CharSectno"/>
        </w:rPr>
        <w:t>4</w:t>
      </w:r>
      <w:r>
        <w:t>.</w:t>
      </w:r>
      <w:r>
        <w:tab/>
        <w:t>Schedule 1 amended</w:t>
      </w:r>
      <w:bookmarkEnd w:id="17"/>
      <w:bookmarkEnd w:id="18"/>
    </w:p>
    <w:p>
      <w:pPr>
        <w:pStyle w:val="Subsection"/>
      </w:pPr>
      <w:r>
        <w:tab/>
      </w:r>
      <w:r>
        <w:tab/>
        <w:t>Delete Schedule 1 Form 1A.</w:t>
      </w:r>
    </w:p>
    <w:p>
      <w:pPr>
        <w:pStyle w:val="Heading2"/>
      </w:pPr>
      <w:bookmarkStart w:id="19" w:name="_Toc184910427"/>
      <w:bookmarkStart w:id="20" w:name="_Toc184910482"/>
      <w:bookmarkStart w:id="21" w:name="_Toc184910566"/>
      <w:bookmarkStart w:id="22" w:name="_Toc185340478"/>
      <w:r>
        <w:rPr>
          <w:rStyle w:val="CharPartNo"/>
        </w:rPr>
        <w:lastRenderedPageBreak/>
        <w:t>Part 3</w:t>
      </w:r>
      <w:r>
        <w:rPr>
          <w:rStyle w:val="CharDivNo"/>
        </w:rPr>
        <w:t> </w:t>
      </w:r>
      <w:r>
        <w:t>—</w:t>
      </w:r>
      <w:r>
        <w:rPr>
          <w:rStyle w:val="CharDivText"/>
        </w:rPr>
        <w:t> </w:t>
      </w:r>
      <w:r>
        <w:rPr>
          <w:rStyle w:val="CharPartText"/>
          <w:i/>
          <w:iCs/>
        </w:rPr>
        <w:t>Weapons Regulations 1999</w:t>
      </w:r>
      <w:r>
        <w:rPr>
          <w:rStyle w:val="CharPartText"/>
        </w:rPr>
        <w:t xml:space="preserve"> amended</w:t>
      </w:r>
      <w:bookmarkEnd w:id="19"/>
      <w:bookmarkEnd w:id="20"/>
      <w:bookmarkEnd w:id="21"/>
      <w:bookmarkEnd w:id="22"/>
    </w:p>
    <w:p>
      <w:pPr>
        <w:pStyle w:val="Heading5"/>
        <w:rPr>
          <w:snapToGrid w:val="0"/>
        </w:rPr>
      </w:pPr>
      <w:bookmarkStart w:id="23" w:name="_Toc184910428"/>
      <w:bookmarkStart w:id="24" w:name="_Toc185340479"/>
      <w:r>
        <w:rPr>
          <w:rStyle w:val="CharSectno"/>
        </w:rPr>
        <w:t>5</w:t>
      </w:r>
      <w:r>
        <w:rPr>
          <w:snapToGrid w:val="0"/>
        </w:rPr>
        <w:t>.</w:t>
      </w:r>
      <w:r>
        <w:rPr>
          <w:snapToGrid w:val="0"/>
        </w:rPr>
        <w:tab/>
        <w:t>Regulations amended</w:t>
      </w:r>
      <w:bookmarkEnd w:id="23"/>
      <w:bookmarkEnd w:id="24"/>
    </w:p>
    <w:p>
      <w:pPr>
        <w:pStyle w:val="Subsection"/>
      </w:pPr>
      <w:r>
        <w:tab/>
      </w:r>
      <w:r>
        <w:tab/>
        <w:t xml:space="preserve">This Part amends the </w:t>
      </w:r>
      <w:r>
        <w:rPr>
          <w:i/>
        </w:rPr>
        <w:t>Weapons Regulations 1999</w:t>
      </w:r>
      <w:r>
        <w:t>.</w:t>
      </w:r>
    </w:p>
    <w:p>
      <w:pPr>
        <w:pStyle w:val="Heading5"/>
      </w:pPr>
      <w:bookmarkStart w:id="25" w:name="_Toc184910429"/>
      <w:bookmarkStart w:id="26" w:name="_Toc185340480"/>
      <w:r>
        <w:rPr>
          <w:rStyle w:val="CharSectno"/>
        </w:rPr>
        <w:t>6</w:t>
      </w:r>
      <w:r>
        <w:t>.</w:t>
      </w:r>
      <w:r>
        <w:tab/>
        <w:t>Regulation 3 amended</w:t>
      </w:r>
      <w:bookmarkEnd w:id="25"/>
      <w:bookmarkEnd w:id="26"/>
    </w:p>
    <w:p>
      <w:pPr>
        <w:pStyle w:val="Subsection"/>
      </w:pPr>
      <w:r>
        <w:tab/>
      </w:r>
      <w:r>
        <w:tab/>
        <w:t xml:space="preserve">In regulation 3 in the definition of </w:t>
      </w:r>
      <w:r>
        <w:rPr>
          <w:b/>
          <w:bCs/>
          <w:i/>
          <w:iCs/>
        </w:rPr>
        <w:t>approved electric shock case</w:t>
      </w:r>
      <w:r>
        <w:t xml:space="preserve"> delete “referred to” and insert:</w:t>
      </w:r>
    </w:p>
    <w:p>
      <w:pPr>
        <w:pStyle w:val="BlankOpen"/>
      </w:pPr>
    </w:p>
    <w:p>
      <w:pPr>
        <w:pStyle w:val="Subsection"/>
      </w:pPr>
      <w:r>
        <w:tab/>
      </w:r>
      <w:r>
        <w:tab/>
        <w:t>of the kind described</w:t>
      </w:r>
    </w:p>
    <w:p>
      <w:pPr>
        <w:pStyle w:val="BlankClose"/>
      </w:pPr>
    </w:p>
    <w:p>
      <w:pPr>
        <w:pStyle w:val="Heading5"/>
      </w:pPr>
      <w:bookmarkStart w:id="27" w:name="_Toc184910430"/>
      <w:bookmarkStart w:id="28" w:name="_Toc185340481"/>
      <w:r>
        <w:rPr>
          <w:rStyle w:val="CharSectno"/>
        </w:rPr>
        <w:t>7</w:t>
      </w:r>
      <w:r>
        <w:t>.</w:t>
      </w:r>
      <w:r>
        <w:tab/>
        <w:t>Regulation 5A inserted</w:t>
      </w:r>
      <w:bookmarkEnd w:id="27"/>
      <w:bookmarkEnd w:id="28"/>
    </w:p>
    <w:p>
      <w:pPr>
        <w:pStyle w:val="Subsection"/>
      </w:pPr>
      <w:r>
        <w:tab/>
      </w:r>
      <w:r>
        <w:tab/>
        <w:t>After regulation 5 insert:</w:t>
      </w:r>
    </w:p>
    <w:p>
      <w:pPr>
        <w:pStyle w:val="BlankOpen"/>
      </w:pPr>
    </w:p>
    <w:p>
      <w:pPr>
        <w:pStyle w:val="zHeading5"/>
      </w:pPr>
      <w:bookmarkStart w:id="29" w:name="_Toc184910431"/>
      <w:bookmarkStart w:id="30" w:name="_Toc185340482"/>
      <w:r>
        <w:t>5A.</w:t>
      </w:r>
      <w:r>
        <w:tab/>
        <w:t>Edged weapons prescribed (Act s. 3A) (Sch. 3)</w:t>
      </w:r>
      <w:bookmarkEnd w:id="29"/>
      <w:bookmarkEnd w:id="30"/>
    </w:p>
    <w:p>
      <w:pPr>
        <w:pStyle w:val="zSubsection"/>
      </w:pPr>
      <w:r>
        <w:tab/>
      </w:r>
      <w:r>
        <w:tab/>
        <w:t xml:space="preserve">For the purposes of the definition of </w:t>
      </w:r>
      <w:r>
        <w:rPr>
          <w:b/>
          <w:bCs/>
          <w:i/>
        </w:rPr>
        <w:t>edged weapon</w:t>
      </w:r>
      <w:r>
        <w:t xml:space="preserve"> in section 3A of the Act, an article described in Schedule 3 is an edged weapon. </w:t>
      </w:r>
    </w:p>
    <w:p>
      <w:pPr>
        <w:pStyle w:val="BlankClose"/>
      </w:pPr>
    </w:p>
    <w:p>
      <w:pPr>
        <w:pStyle w:val="Heading5"/>
      </w:pPr>
      <w:bookmarkStart w:id="31" w:name="_Toc184910432"/>
      <w:bookmarkStart w:id="32" w:name="_Toc185340483"/>
      <w:r>
        <w:rPr>
          <w:rStyle w:val="CharSectno"/>
        </w:rPr>
        <w:t>8</w:t>
      </w:r>
      <w:r>
        <w:t>.</w:t>
      </w:r>
      <w:r>
        <w:tab/>
        <w:t>Regulation 6 amended</w:t>
      </w:r>
      <w:bookmarkEnd w:id="31"/>
      <w:bookmarkEnd w:id="32"/>
    </w:p>
    <w:p>
      <w:pPr>
        <w:pStyle w:val="Subsection"/>
      </w:pPr>
      <w:r>
        <w:tab/>
        <w:t>(1)</w:t>
      </w:r>
      <w:r>
        <w:tab/>
        <w:t>Before regulation 6(1) insert:</w:t>
      </w:r>
    </w:p>
    <w:p>
      <w:pPr>
        <w:pStyle w:val="BlankOpen"/>
      </w:pPr>
    </w:p>
    <w:p>
      <w:pPr>
        <w:pStyle w:val="zSubsection"/>
      </w:pPr>
      <w:r>
        <w:tab/>
        <w:t>(1A)</w:t>
      </w:r>
      <w:r>
        <w:tab/>
        <w:t>A briefcase or suitcase of the kind described in subregulation (1) is prescribed for the purposes of section 5A(2) of the Act.</w:t>
      </w:r>
    </w:p>
    <w:p>
      <w:pPr>
        <w:pStyle w:val="BlankClose"/>
      </w:pPr>
    </w:p>
    <w:p>
      <w:pPr>
        <w:pStyle w:val="Subsection"/>
        <w:keepNext/>
      </w:pPr>
      <w:r>
        <w:lastRenderedPageBreak/>
        <w:tab/>
        <w:t>(2)</w:t>
      </w:r>
      <w:r>
        <w:tab/>
        <w:t>In regulation 6(1):</w:t>
      </w:r>
    </w:p>
    <w:p>
      <w:pPr>
        <w:pStyle w:val="Indenta"/>
        <w:keepNext/>
      </w:pPr>
      <w:r>
        <w:tab/>
        <w:t>(a)</w:t>
      </w:r>
      <w:r>
        <w:tab/>
        <w:t>delete “suitcase —” and insert:</w:t>
      </w:r>
    </w:p>
    <w:p>
      <w:pPr>
        <w:pStyle w:val="BlankOpen"/>
      </w:pPr>
    </w:p>
    <w:p>
      <w:pPr>
        <w:pStyle w:val="Indenta"/>
      </w:pPr>
      <w:r>
        <w:tab/>
      </w:r>
      <w:r>
        <w:tab/>
        <w:t>suitcase that —</w:t>
      </w:r>
    </w:p>
    <w:p>
      <w:pPr>
        <w:pStyle w:val="BlankClose"/>
      </w:pPr>
    </w:p>
    <w:p>
      <w:pPr>
        <w:pStyle w:val="Indenta"/>
        <w:keepNext/>
      </w:pPr>
      <w:r>
        <w:tab/>
        <w:t>(b)</w:t>
      </w:r>
      <w:r>
        <w:tab/>
        <w:t>in paragraph (a) delete “made” and insert:</w:t>
      </w:r>
    </w:p>
    <w:p>
      <w:pPr>
        <w:pStyle w:val="BlankOpen"/>
      </w:pPr>
    </w:p>
    <w:p>
      <w:pPr>
        <w:pStyle w:val="Indenta"/>
        <w:keepNext/>
      </w:pPr>
      <w:r>
        <w:tab/>
      </w:r>
      <w:r>
        <w:tab/>
        <w:t>is made</w:t>
      </w:r>
    </w:p>
    <w:p>
      <w:pPr>
        <w:pStyle w:val="BlankClose"/>
      </w:pPr>
    </w:p>
    <w:p>
      <w:pPr>
        <w:pStyle w:val="Indenta"/>
      </w:pPr>
      <w:r>
        <w:tab/>
        <w:t>(c)</w:t>
      </w:r>
      <w:r>
        <w:tab/>
        <w:t>in paragraph (b) delete “that is, or” and insert:</w:t>
      </w:r>
    </w:p>
    <w:p>
      <w:pPr>
        <w:pStyle w:val="BlankOpen"/>
      </w:pPr>
    </w:p>
    <w:p>
      <w:pPr>
        <w:pStyle w:val="Indenta"/>
      </w:pPr>
      <w:r>
        <w:tab/>
      </w:r>
      <w:r>
        <w:tab/>
        <w:t>is, or</w:t>
      </w:r>
    </w:p>
    <w:p>
      <w:pPr>
        <w:pStyle w:val="BlankClose"/>
      </w:pPr>
    </w:p>
    <w:p>
      <w:pPr>
        <w:pStyle w:val="Indenta"/>
      </w:pPr>
      <w:r>
        <w:t xml:space="preserve"> </w:t>
      </w:r>
      <w:r>
        <w:tab/>
        <w:t>(d)</w:t>
      </w:r>
      <w:r>
        <w:tab/>
        <w:t>delete the passage that begins with “</w:t>
      </w:r>
      <w:r>
        <w:rPr>
          <w:i/>
          <w:iCs/>
        </w:rPr>
        <w:t>Government</w:t>
      </w:r>
      <w:r>
        <w:t>” and continues to the end of the subregulation and insert:</w:t>
      </w:r>
    </w:p>
    <w:p>
      <w:pPr>
        <w:pStyle w:val="BlankOpen"/>
      </w:pPr>
    </w:p>
    <w:p>
      <w:pPr>
        <w:pStyle w:val="Indenta"/>
      </w:pPr>
      <w:r>
        <w:tab/>
      </w:r>
      <w:r>
        <w:tab/>
      </w:r>
      <w:r>
        <w:rPr>
          <w:i/>
          <w:iCs/>
        </w:rPr>
        <w:t>Gazette</w:t>
      </w:r>
      <w:r>
        <w:t>.</w:t>
      </w:r>
    </w:p>
    <w:p>
      <w:pPr>
        <w:pStyle w:val="BlankClose"/>
      </w:pPr>
    </w:p>
    <w:p>
      <w:pPr>
        <w:pStyle w:val="Subsection"/>
      </w:pPr>
      <w:r>
        <w:tab/>
        <w:t>(3)</w:t>
      </w:r>
      <w:r>
        <w:tab/>
        <w:t>Delete regulation 6(2) and insert:</w:t>
      </w:r>
    </w:p>
    <w:p>
      <w:pPr>
        <w:pStyle w:val="BlankOpen"/>
      </w:pPr>
    </w:p>
    <w:p>
      <w:pPr>
        <w:pStyle w:val="zSubsection"/>
      </w:pPr>
      <w:r>
        <w:tab/>
        <w:t>(2)</w:t>
      </w:r>
      <w:r>
        <w:tab/>
        <w:t>For the purposes of section 5A(2) of the Act, a person may carry or possess an approved electric shock case if the person carries or possesses it for the purpose of it being used in lawful defence in circumstances that the person has reasonable grounds to apprehend may arise.</w:t>
      </w:r>
    </w:p>
    <w:p>
      <w:pPr>
        <w:pStyle w:val="BlankClose"/>
      </w:pPr>
    </w:p>
    <w:p>
      <w:pPr>
        <w:pStyle w:val="SectAltNote"/>
      </w:pPr>
      <w:r>
        <w:tab/>
        <w:t>Note: The heading to amended regulation 6 is to read:</w:t>
      </w:r>
    </w:p>
    <w:p>
      <w:pPr>
        <w:pStyle w:val="SectAltHeading"/>
      </w:pPr>
      <w:r>
        <w:tab/>
      </w:r>
      <w:r>
        <w:tab/>
        <w:t>Approved electric shock cases may be used for defence (Act s. 5A(2))</w:t>
      </w:r>
    </w:p>
    <w:p>
      <w:pPr>
        <w:pStyle w:val="Heading5"/>
      </w:pPr>
      <w:bookmarkStart w:id="33" w:name="_Toc184910433"/>
      <w:bookmarkStart w:id="34" w:name="_Toc185340484"/>
      <w:r>
        <w:rPr>
          <w:rStyle w:val="CharSectno"/>
        </w:rPr>
        <w:lastRenderedPageBreak/>
        <w:t>9</w:t>
      </w:r>
      <w:r>
        <w:t>.</w:t>
      </w:r>
      <w:r>
        <w:tab/>
        <w:t>Regulation 7 replaced</w:t>
      </w:r>
      <w:bookmarkEnd w:id="33"/>
      <w:bookmarkEnd w:id="34"/>
    </w:p>
    <w:p>
      <w:pPr>
        <w:pStyle w:val="Subsection"/>
        <w:keepNext/>
      </w:pPr>
      <w:r>
        <w:tab/>
      </w:r>
      <w:r>
        <w:tab/>
        <w:t>Delete regulation 7 and insert:</w:t>
      </w:r>
    </w:p>
    <w:p>
      <w:pPr>
        <w:pStyle w:val="BlankOpen"/>
      </w:pPr>
    </w:p>
    <w:p>
      <w:pPr>
        <w:pStyle w:val="zHeading5"/>
      </w:pPr>
      <w:bookmarkStart w:id="35" w:name="_Toc184910434"/>
      <w:bookmarkStart w:id="36" w:name="_Toc185340485"/>
      <w:r>
        <w:t>7.</w:t>
      </w:r>
      <w:r>
        <w:tab/>
        <w:t>Capsicum spray weapons may be used for defence (Act s. 5A(2))</w:t>
      </w:r>
      <w:bookmarkEnd w:id="35"/>
      <w:bookmarkEnd w:id="36"/>
    </w:p>
    <w:p>
      <w:pPr>
        <w:pStyle w:val="zSubsection"/>
      </w:pPr>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p>
    <w:p>
      <w:pPr>
        <w:pStyle w:val="BlankClose"/>
      </w:pPr>
    </w:p>
    <w:p>
      <w:pPr>
        <w:pStyle w:val="Heading5"/>
      </w:pPr>
      <w:bookmarkStart w:id="37" w:name="_Toc184910435"/>
      <w:bookmarkStart w:id="38" w:name="_Toc185340486"/>
      <w:r>
        <w:rPr>
          <w:rStyle w:val="CharSectno"/>
        </w:rPr>
        <w:t>10</w:t>
      </w:r>
      <w:r>
        <w:t>.</w:t>
      </w:r>
      <w:r>
        <w:tab/>
        <w:t>Regulation 10 amended</w:t>
      </w:r>
      <w:bookmarkEnd w:id="37"/>
      <w:bookmarkEnd w:id="38"/>
    </w:p>
    <w:p>
      <w:pPr>
        <w:pStyle w:val="Subsection"/>
      </w:pPr>
      <w:r>
        <w:tab/>
      </w:r>
      <w:r>
        <w:tab/>
        <w:t>In regulation 10 after “section 6,” insert:</w:t>
      </w:r>
    </w:p>
    <w:p>
      <w:pPr>
        <w:pStyle w:val="BlankOpen"/>
      </w:pPr>
    </w:p>
    <w:p>
      <w:pPr>
        <w:pStyle w:val="Subsection"/>
      </w:pPr>
      <w:r>
        <w:tab/>
      </w:r>
      <w:r>
        <w:tab/>
        <w:t>6A,</w:t>
      </w:r>
    </w:p>
    <w:p>
      <w:pPr>
        <w:pStyle w:val="BlankClose"/>
      </w:pPr>
    </w:p>
    <w:p>
      <w:pPr>
        <w:pStyle w:val="SectAltNote"/>
      </w:pPr>
      <w:r>
        <w:tab/>
        <w:t>Note: The heading to amended regulation 10 is to read:</w:t>
      </w:r>
    </w:p>
    <w:p>
      <w:pPr>
        <w:pStyle w:val="SectAltHeading"/>
      </w:pPr>
      <w:r>
        <w:tab/>
      </w:r>
      <w:r>
        <w:tab/>
        <w:t>Prison officers and other authorised persons excepted from Act s. 6, 6A, 7 and 8</w:t>
      </w:r>
    </w:p>
    <w:p>
      <w:pPr>
        <w:pStyle w:val="Heading5"/>
      </w:pPr>
      <w:bookmarkStart w:id="39" w:name="_Toc184910436"/>
      <w:bookmarkStart w:id="40" w:name="_Toc185340487"/>
      <w:r>
        <w:rPr>
          <w:rStyle w:val="CharSectno"/>
        </w:rPr>
        <w:t>11</w:t>
      </w:r>
      <w:r>
        <w:t>.</w:t>
      </w:r>
      <w:r>
        <w:tab/>
        <w:t>Regulation 12 amended</w:t>
      </w:r>
      <w:bookmarkEnd w:id="39"/>
      <w:bookmarkEnd w:id="40"/>
    </w:p>
    <w:p>
      <w:pPr>
        <w:pStyle w:val="Subsection"/>
        <w:keepNext/>
      </w:pPr>
      <w:r>
        <w:tab/>
      </w:r>
      <w:r>
        <w:tab/>
        <w:t>In regulation 12 after “section 6,” insert:</w:t>
      </w:r>
    </w:p>
    <w:p>
      <w:pPr>
        <w:pStyle w:val="BlankOpen"/>
      </w:pPr>
    </w:p>
    <w:p>
      <w:pPr>
        <w:pStyle w:val="Subsection"/>
      </w:pPr>
      <w:r>
        <w:tab/>
      </w:r>
      <w:r>
        <w:tab/>
        <w:t>6A,</w:t>
      </w:r>
    </w:p>
    <w:p>
      <w:pPr>
        <w:pStyle w:val="BlankClose"/>
      </w:pPr>
    </w:p>
    <w:p>
      <w:pPr>
        <w:pStyle w:val="SectAltNote"/>
      </w:pPr>
      <w:r>
        <w:tab/>
        <w:t>Note: The heading to amended regulation 12 is to read:</w:t>
      </w:r>
    </w:p>
    <w:p>
      <w:pPr>
        <w:pStyle w:val="SectAltHeading"/>
      </w:pPr>
      <w:r>
        <w:tab/>
      </w:r>
      <w:r>
        <w:tab/>
        <w:t>Federal and interstate police officers excepted from Act s. 6, 6A, 7 and 8</w:t>
      </w:r>
    </w:p>
    <w:p>
      <w:pPr>
        <w:pStyle w:val="Heading5"/>
      </w:pPr>
      <w:bookmarkStart w:id="41" w:name="_Toc184910437"/>
      <w:bookmarkStart w:id="42" w:name="_Toc185340488"/>
      <w:r>
        <w:rPr>
          <w:rStyle w:val="CharSectno"/>
        </w:rPr>
        <w:lastRenderedPageBreak/>
        <w:t>12</w:t>
      </w:r>
      <w:r>
        <w:t>.</w:t>
      </w:r>
      <w:r>
        <w:tab/>
        <w:t>Regulation 12A amended</w:t>
      </w:r>
      <w:bookmarkEnd w:id="41"/>
      <w:bookmarkEnd w:id="42"/>
    </w:p>
    <w:p>
      <w:pPr>
        <w:pStyle w:val="Subsection"/>
        <w:keepNext/>
      </w:pPr>
      <w:r>
        <w:tab/>
      </w:r>
      <w:r>
        <w:tab/>
        <w:t>In regulation 12A(2) after “section 6,” insert:</w:t>
      </w:r>
    </w:p>
    <w:p>
      <w:pPr>
        <w:pStyle w:val="BlankOpen"/>
      </w:pPr>
    </w:p>
    <w:p>
      <w:pPr>
        <w:pStyle w:val="Subsection"/>
      </w:pPr>
      <w:r>
        <w:tab/>
      </w:r>
      <w:r>
        <w:tab/>
        <w:t>6A,</w:t>
      </w:r>
    </w:p>
    <w:p>
      <w:pPr>
        <w:pStyle w:val="BlankClose"/>
      </w:pPr>
    </w:p>
    <w:p>
      <w:pPr>
        <w:pStyle w:val="SectAltNote"/>
      </w:pPr>
      <w:r>
        <w:tab/>
        <w:t>Note: The heading to amended regulation 12A is to read:</w:t>
      </w:r>
    </w:p>
    <w:p>
      <w:pPr>
        <w:pStyle w:val="SectAltHeading"/>
      </w:pPr>
      <w:r>
        <w:tab/>
      </w:r>
      <w:r>
        <w:tab/>
        <w:t>Aviation and maritime security inspectors excepted from Act s. 6, 6A, 7 and 8</w:t>
      </w:r>
    </w:p>
    <w:p>
      <w:pPr>
        <w:pStyle w:val="Heading5"/>
      </w:pPr>
      <w:bookmarkStart w:id="43" w:name="_Toc184910438"/>
      <w:bookmarkStart w:id="44" w:name="_Toc185340489"/>
      <w:r>
        <w:rPr>
          <w:rStyle w:val="CharSectno"/>
        </w:rPr>
        <w:t>13</w:t>
      </w:r>
      <w:r>
        <w:t>.</w:t>
      </w:r>
      <w:r>
        <w:tab/>
        <w:t>Schedule 1 amended</w:t>
      </w:r>
      <w:bookmarkEnd w:id="43"/>
      <w:bookmarkEnd w:id="44"/>
    </w:p>
    <w:p>
      <w:pPr>
        <w:pStyle w:val="Subsection"/>
      </w:pPr>
      <w:r>
        <w:tab/>
      </w:r>
      <w:r>
        <w:tab/>
        <w:t>In Schedule 1 items 5, 7 and 13 delete “</w:t>
      </w:r>
      <w:r>
        <w:rPr>
          <w:sz w:val="22"/>
        </w:rPr>
        <w:t>(e.g.</w:t>
      </w:r>
      <w:r>
        <w:t>” and insert:</w:t>
      </w:r>
    </w:p>
    <w:p>
      <w:pPr>
        <w:pStyle w:val="BlankOpen"/>
      </w:pPr>
    </w:p>
    <w:p>
      <w:pPr>
        <w:pStyle w:val="Subsection"/>
        <w:rPr>
          <w:sz w:val="22"/>
        </w:rPr>
      </w:pPr>
      <w:r>
        <w:tab/>
      </w:r>
      <w:r>
        <w:tab/>
      </w:r>
      <w:r>
        <w:rPr>
          <w:sz w:val="22"/>
        </w:rPr>
        <w:t>(for example,</w:t>
      </w:r>
    </w:p>
    <w:p>
      <w:pPr>
        <w:pStyle w:val="BlankClose"/>
      </w:pPr>
    </w:p>
    <w:p>
      <w:pPr>
        <w:pStyle w:val="Heading5"/>
      </w:pPr>
      <w:bookmarkStart w:id="45" w:name="_Toc184910439"/>
      <w:bookmarkStart w:id="46" w:name="_Toc185340490"/>
      <w:r>
        <w:rPr>
          <w:rStyle w:val="CharSectno"/>
        </w:rPr>
        <w:t>14</w:t>
      </w:r>
      <w:r>
        <w:t>.</w:t>
      </w:r>
      <w:r>
        <w:tab/>
        <w:t>Schedule 2 amended</w:t>
      </w:r>
      <w:bookmarkEnd w:id="45"/>
      <w:bookmarkEnd w:id="46"/>
    </w:p>
    <w:p>
      <w:pPr>
        <w:pStyle w:val="Subsection"/>
      </w:pPr>
      <w:r>
        <w:tab/>
        <w:t>(1)</w:t>
      </w:r>
      <w:r>
        <w:tab/>
        <w:t>Delete Schedule 2 items 5, 6, 8, 9 and 10A.</w:t>
      </w:r>
    </w:p>
    <w:p>
      <w:pPr>
        <w:pStyle w:val="Subsection"/>
      </w:pPr>
      <w:r>
        <w:tab/>
        <w:t>(2)</w:t>
      </w:r>
      <w:r>
        <w:tab/>
        <w:t>In Schedule 2 item 11 delete “</w:t>
      </w:r>
      <w:r>
        <w:rPr>
          <w:sz w:val="22"/>
        </w:rPr>
        <w:t>(e.g.</w:t>
      </w:r>
      <w:r>
        <w:t>” and insert:</w:t>
      </w:r>
    </w:p>
    <w:p>
      <w:pPr>
        <w:pStyle w:val="BlankOpen"/>
      </w:pPr>
    </w:p>
    <w:p>
      <w:pPr>
        <w:pStyle w:val="Subsection"/>
        <w:rPr>
          <w:sz w:val="22"/>
        </w:rPr>
      </w:pPr>
      <w:r>
        <w:tab/>
      </w:r>
      <w:r>
        <w:tab/>
      </w:r>
      <w:r>
        <w:rPr>
          <w:sz w:val="22"/>
        </w:rPr>
        <w:t>(for example,</w:t>
      </w:r>
    </w:p>
    <w:p>
      <w:pPr>
        <w:pStyle w:val="BlankClose"/>
      </w:pPr>
    </w:p>
    <w:p>
      <w:pPr>
        <w:pStyle w:val="Subsection"/>
        <w:keepNext/>
      </w:pPr>
      <w:r>
        <w:tab/>
        <w:t>(3)</w:t>
      </w:r>
      <w:r>
        <w:tab/>
        <w:t>Delete Schedule 2 items 13 and 14 and insert:</w:t>
      </w:r>
    </w:p>
    <w:p>
      <w:pPr>
        <w:pStyle w:val="BlankOpen"/>
      </w:pPr>
    </w:p>
    <w:tbl>
      <w:tblPr>
        <w:tblW w:w="6804" w:type="dxa"/>
        <w:tblInd w:w="284" w:type="dxa"/>
        <w:tblLayout w:type="fixed"/>
        <w:tblCellMar>
          <w:left w:w="71" w:type="dxa"/>
          <w:right w:w="71" w:type="dxa"/>
        </w:tblCellMar>
        <w:tblLook w:val="0000" w:firstRow="0" w:lastRow="0" w:firstColumn="0" w:lastColumn="0" w:noHBand="0" w:noVBand="0"/>
      </w:tblPr>
      <w:tblGrid>
        <w:gridCol w:w="851"/>
        <w:gridCol w:w="1275"/>
        <w:gridCol w:w="4678"/>
      </w:tblGrid>
      <w:tr>
        <w:trPr>
          <w:cantSplit/>
        </w:trPr>
        <w:tc>
          <w:tcPr>
            <w:tcW w:w="851" w:type="dxa"/>
          </w:tcPr>
          <w:p>
            <w:pPr>
              <w:pStyle w:val="zyTableNAm"/>
            </w:pPr>
            <w:r>
              <w:t>13.</w:t>
            </w:r>
          </w:p>
        </w:tc>
        <w:tc>
          <w:tcPr>
            <w:tcW w:w="1275" w:type="dxa"/>
          </w:tcPr>
          <w:p>
            <w:pPr>
              <w:pStyle w:val="zyTableNAm"/>
            </w:pPr>
            <w:r>
              <w:t>Pronged weapon</w:t>
            </w:r>
          </w:p>
        </w:tc>
        <w:tc>
          <w:tcPr>
            <w:tcW w:w="4678" w:type="dxa"/>
          </w:tcPr>
          <w:p>
            <w:pPr>
              <w:pStyle w:val="zyTableNAm"/>
            </w:pPr>
            <w:r>
              <w:t>An article with 2 or more prongs and no sharp edges, made or modified to be used to injure or disable a person or as a martial arts weapon (for example, the martial arts weapons known as the sai and jitte).</w:t>
            </w:r>
          </w:p>
        </w:tc>
      </w:tr>
    </w:tbl>
    <w:p>
      <w:pPr>
        <w:pStyle w:val="BlankClose"/>
      </w:pPr>
    </w:p>
    <w:p>
      <w:pPr>
        <w:pStyle w:val="Subsection"/>
        <w:keepNext/>
      </w:pPr>
      <w:r>
        <w:lastRenderedPageBreak/>
        <w:tab/>
        <w:t>(4)</w:t>
      </w:r>
      <w:r>
        <w:tab/>
        <w:t>In Schedule 2 items 15 and 18 delete “</w:t>
      </w:r>
      <w:r>
        <w:rPr>
          <w:sz w:val="22"/>
        </w:rPr>
        <w:t>(e.g.</w:t>
      </w:r>
      <w:r>
        <w:t>” and insert:</w:t>
      </w:r>
    </w:p>
    <w:p>
      <w:pPr>
        <w:pStyle w:val="BlankOpen"/>
      </w:pPr>
    </w:p>
    <w:p>
      <w:pPr>
        <w:pStyle w:val="Subsection"/>
        <w:rPr>
          <w:sz w:val="22"/>
        </w:rPr>
      </w:pPr>
      <w:r>
        <w:tab/>
      </w:r>
      <w:r>
        <w:tab/>
      </w:r>
      <w:r>
        <w:rPr>
          <w:sz w:val="22"/>
        </w:rPr>
        <w:t>(for example,</w:t>
      </w:r>
    </w:p>
    <w:p>
      <w:pPr>
        <w:pStyle w:val="BlankClose"/>
      </w:pPr>
    </w:p>
    <w:p>
      <w:pPr>
        <w:pStyle w:val="Subsection"/>
      </w:pPr>
      <w:r>
        <w:tab/>
        <w:t>(5)</w:t>
      </w:r>
      <w:r>
        <w:tab/>
        <w:t>Delete Schedule 2 items 19 to 21.</w:t>
      </w:r>
    </w:p>
    <w:p>
      <w:pPr>
        <w:pStyle w:val="Subsection"/>
      </w:pPr>
      <w:r>
        <w:tab/>
        <w:t>(6)</w:t>
      </w:r>
      <w:r>
        <w:tab/>
        <w:t>In Schedule 2 item 22 delete “</w:t>
      </w:r>
      <w:r>
        <w:rPr>
          <w:sz w:val="22"/>
        </w:rPr>
        <w:t>(e.g.</w:t>
      </w:r>
      <w:r>
        <w:t>” and insert:</w:t>
      </w:r>
    </w:p>
    <w:p>
      <w:pPr>
        <w:pStyle w:val="BlankOpen"/>
      </w:pPr>
    </w:p>
    <w:p>
      <w:pPr>
        <w:pStyle w:val="Subsection"/>
        <w:rPr>
          <w:sz w:val="22"/>
        </w:rPr>
      </w:pPr>
      <w:r>
        <w:tab/>
      </w:r>
      <w:r>
        <w:tab/>
      </w:r>
      <w:r>
        <w:rPr>
          <w:sz w:val="22"/>
        </w:rPr>
        <w:t>(for example,</w:t>
      </w:r>
    </w:p>
    <w:p>
      <w:pPr>
        <w:pStyle w:val="BlankClose"/>
      </w:pPr>
    </w:p>
    <w:p>
      <w:pPr>
        <w:pStyle w:val="Heading5"/>
      </w:pPr>
      <w:bookmarkStart w:id="47" w:name="_Toc184910440"/>
      <w:bookmarkStart w:id="48" w:name="_Toc185340491"/>
      <w:r>
        <w:rPr>
          <w:rStyle w:val="CharSectno"/>
        </w:rPr>
        <w:t>15</w:t>
      </w:r>
      <w:r>
        <w:t>.</w:t>
      </w:r>
      <w:r>
        <w:tab/>
        <w:t>Schedule 3 inserted</w:t>
      </w:r>
      <w:bookmarkEnd w:id="47"/>
      <w:bookmarkEnd w:id="48"/>
    </w:p>
    <w:p>
      <w:pPr>
        <w:pStyle w:val="Subsection"/>
      </w:pPr>
      <w:r>
        <w:tab/>
      </w:r>
      <w:r>
        <w:tab/>
        <w:t>After Schedule 2 insert:</w:t>
      </w:r>
    </w:p>
    <w:p>
      <w:pPr>
        <w:pStyle w:val="BlankOpen"/>
      </w:pPr>
    </w:p>
    <w:p>
      <w:pPr>
        <w:pStyle w:val="zyHeading2"/>
      </w:pPr>
      <w:bookmarkStart w:id="49" w:name="_Toc184910441"/>
      <w:bookmarkStart w:id="50" w:name="_Toc184910496"/>
      <w:bookmarkStart w:id="51" w:name="_Toc184910580"/>
      <w:bookmarkStart w:id="52" w:name="_Toc185340492"/>
      <w:r>
        <w:t>Schedule 3 — Edged weapons</w:t>
      </w:r>
      <w:bookmarkEnd w:id="49"/>
      <w:bookmarkEnd w:id="50"/>
      <w:bookmarkEnd w:id="51"/>
      <w:bookmarkEnd w:id="52"/>
    </w:p>
    <w:p>
      <w:pPr>
        <w:pStyle w:val="zyShoulderClause"/>
      </w:pPr>
      <w:r>
        <w:t>[r. 5A]</w:t>
      </w:r>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trPr>
          <w:cantSplit/>
          <w:tblHeader/>
        </w:trPr>
        <w:tc>
          <w:tcPr>
            <w:tcW w:w="869" w:type="dxa"/>
          </w:tcPr>
          <w:p>
            <w:pPr>
              <w:pStyle w:val="zyTableNAm"/>
              <w:rPr>
                <w:b/>
                <w:bCs/>
              </w:rPr>
            </w:pPr>
            <w:r>
              <w:rPr>
                <w:b/>
                <w:bCs/>
              </w:rPr>
              <w:t>Item</w:t>
            </w:r>
          </w:p>
        </w:tc>
        <w:tc>
          <w:tcPr>
            <w:tcW w:w="1612" w:type="dxa"/>
          </w:tcPr>
          <w:p>
            <w:pPr>
              <w:pStyle w:val="zyTableNAm"/>
              <w:rPr>
                <w:b/>
                <w:bCs/>
              </w:rPr>
            </w:pPr>
            <w:r>
              <w:rPr>
                <w:b/>
                <w:bCs/>
              </w:rPr>
              <w:t>Article</w:t>
            </w:r>
          </w:p>
        </w:tc>
        <w:tc>
          <w:tcPr>
            <w:tcW w:w="4607" w:type="dxa"/>
          </w:tcPr>
          <w:p>
            <w:pPr>
              <w:pStyle w:val="zyTableNAm"/>
              <w:rPr>
                <w:b/>
                <w:bCs/>
              </w:rPr>
            </w:pPr>
            <w:r>
              <w:rPr>
                <w:b/>
                <w:bCs/>
              </w:rPr>
              <w:t>Description</w:t>
            </w:r>
          </w:p>
        </w:tc>
      </w:tr>
      <w:tr>
        <w:trPr>
          <w:cantSplit/>
          <w:trHeight w:val="189"/>
        </w:trPr>
        <w:tc>
          <w:tcPr>
            <w:tcW w:w="869" w:type="dxa"/>
          </w:tcPr>
          <w:p>
            <w:pPr>
              <w:pStyle w:val="zyTableNAm"/>
            </w:pPr>
            <w:r>
              <w:t>1.</w:t>
            </w:r>
          </w:p>
        </w:tc>
        <w:tc>
          <w:tcPr>
            <w:tcW w:w="1612" w:type="dxa"/>
          </w:tcPr>
          <w:p>
            <w:pPr>
              <w:pStyle w:val="zyTableNAm"/>
            </w:pPr>
            <w:r>
              <w:t>Dagger</w:t>
            </w:r>
          </w:p>
        </w:tc>
        <w:tc>
          <w:tcPr>
            <w:tcW w:w="4607" w:type="dxa"/>
          </w:tcPr>
          <w:p>
            <w:pPr>
              <w:pStyle w:val="zyTableNAm"/>
            </w:pPr>
            <w:r>
              <w:t>Any dagger including a bayonet.</w:t>
            </w:r>
          </w:p>
        </w:tc>
      </w:tr>
      <w:tr>
        <w:trPr>
          <w:cantSplit/>
        </w:trPr>
        <w:tc>
          <w:tcPr>
            <w:tcW w:w="869" w:type="dxa"/>
          </w:tcPr>
          <w:p>
            <w:pPr>
              <w:pStyle w:val="zyTableNAm"/>
            </w:pPr>
            <w:r>
              <w:t>2.</w:t>
            </w:r>
          </w:p>
        </w:tc>
        <w:tc>
          <w:tcPr>
            <w:tcW w:w="1612" w:type="dxa"/>
          </w:tcPr>
          <w:p>
            <w:pPr>
              <w:pStyle w:val="zyTableNAm"/>
            </w:pPr>
            <w:r>
              <w:t>Halberd</w:t>
            </w:r>
          </w:p>
        </w:tc>
        <w:tc>
          <w:tcPr>
            <w:tcW w:w="4607" w:type="dxa"/>
          </w:tcPr>
          <w:p>
            <w:pPr>
              <w:pStyle w:val="zyTableNAm"/>
            </w:pPr>
            <w:r>
              <w:t>An article (other than a spear) consisting of a stick or pole with a blade at the end made or modified to be used to injure or disable a person or as a martial arts weapon (for example, the martial arts weapon known as the naginata).</w:t>
            </w:r>
          </w:p>
        </w:tc>
      </w:tr>
      <w:tr>
        <w:trPr>
          <w:cantSplit/>
        </w:trPr>
        <w:tc>
          <w:tcPr>
            <w:tcW w:w="869" w:type="dxa"/>
          </w:tcPr>
          <w:p>
            <w:pPr>
              <w:pStyle w:val="zyTableNAm"/>
            </w:pPr>
            <w:r>
              <w:t>3.</w:t>
            </w:r>
          </w:p>
        </w:tc>
        <w:tc>
          <w:tcPr>
            <w:tcW w:w="1612" w:type="dxa"/>
          </w:tcPr>
          <w:p>
            <w:pPr>
              <w:pStyle w:val="zyTableNAm"/>
            </w:pPr>
            <w:r>
              <w:t>Hand or foot claws</w:t>
            </w:r>
          </w:p>
        </w:tc>
        <w:tc>
          <w:tcPr>
            <w:tcW w:w="4607" w:type="dxa"/>
          </w:tcPr>
          <w:p>
            <w:pPr>
              <w:pStyle w:val="zyTableNAm"/>
            </w:pPr>
            <w:r>
              <w:t>An article consisting of claws that are made or modified to be attached to or worn on the hands or feet (for example, the martial arts weapons known as the ninja climbing claws, ninja hand claws and ninja foot claws).</w:t>
            </w:r>
          </w:p>
        </w:tc>
      </w:tr>
      <w:tr>
        <w:trPr>
          <w:cantSplit/>
        </w:trPr>
        <w:tc>
          <w:tcPr>
            <w:tcW w:w="869" w:type="dxa"/>
          </w:tcPr>
          <w:p>
            <w:pPr>
              <w:pStyle w:val="zyTableNAm"/>
            </w:pPr>
            <w:r>
              <w:t>4.</w:t>
            </w:r>
          </w:p>
        </w:tc>
        <w:tc>
          <w:tcPr>
            <w:tcW w:w="1612" w:type="dxa"/>
          </w:tcPr>
          <w:p>
            <w:pPr>
              <w:pStyle w:val="zyTableNAm"/>
            </w:pPr>
            <w:r>
              <w:t>Sword</w:t>
            </w:r>
          </w:p>
        </w:tc>
        <w:tc>
          <w:tcPr>
            <w:tcW w:w="4607" w:type="dxa"/>
          </w:tcPr>
          <w:p>
            <w:pPr>
              <w:pStyle w:val="zyTableNAm"/>
            </w:pPr>
            <w:r>
              <w:t>Any sword (for example, the martial arts weapons known as the butterfly sword, katana, wakizashi and tanto).</w:t>
            </w:r>
          </w:p>
        </w:tc>
      </w:tr>
      <w:tr>
        <w:trPr>
          <w:cantSplit/>
        </w:trPr>
        <w:tc>
          <w:tcPr>
            <w:tcW w:w="869" w:type="dxa"/>
          </w:tcPr>
          <w:p>
            <w:pPr>
              <w:pStyle w:val="zyTableNAm"/>
            </w:pPr>
            <w:r>
              <w:lastRenderedPageBreak/>
              <w:t>5.</w:t>
            </w:r>
          </w:p>
        </w:tc>
        <w:tc>
          <w:tcPr>
            <w:tcW w:w="1612" w:type="dxa"/>
          </w:tcPr>
          <w:p>
            <w:pPr>
              <w:pStyle w:val="zyTableNAm"/>
            </w:pPr>
            <w:r>
              <w:t>Throwing blade or knife</w:t>
            </w:r>
          </w:p>
        </w:tc>
        <w:tc>
          <w:tcPr>
            <w:tcW w:w="4607" w:type="dxa"/>
          </w:tcPr>
          <w:p>
            <w:pPr>
              <w:pStyle w:val="zyTableNAm"/>
              <w:rPr>
                <w:rStyle w:val="DraftersNotes"/>
              </w:rPr>
            </w:pPr>
            <w:r>
              <w:t>A blade or knife made or modified to be thrown, including an article consisting of a blade attached to a cord, rope or chain to enable the blade to be thrown and retrieved (for example, the martial arts weapon known as the shoge, ninja kyokeysu shoge or kyotetsu shoge).</w:t>
            </w:r>
          </w:p>
        </w:tc>
      </w:tr>
      <w:tr>
        <w:trPr>
          <w:cantSplit/>
        </w:trPr>
        <w:tc>
          <w:tcPr>
            <w:tcW w:w="869" w:type="dxa"/>
          </w:tcPr>
          <w:p>
            <w:pPr>
              <w:pStyle w:val="zyTableNAm"/>
            </w:pPr>
            <w:r>
              <w:t>6.</w:t>
            </w:r>
          </w:p>
        </w:tc>
        <w:tc>
          <w:tcPr>
            <w:tcW w:w="1612" w:type="dxa"/>
          </w:tcPr>
          <w:p>
            <w:pPr>
              <w:pStyle w:val="zyTableNAm"/>
            </w:pPr>
            <w:r>
              <w:t>Throwing star</w:t>
            </w:r>
          </w:p>
        </w:tc>
        <w:tc>
          <w:tcPr>
            <w:tcW w:w="4607" w:type="dxa"/>
          </w:tcPr>
          <w:p>
            <w:pPr>
              <w:pStyle w:val="zyTableNAm"/>
            </w:pPr>
            <w:r>
              <w:t>A sharpened, star</w:t>
            </w:r>
            <w:r>
              <w:noBreakHyphen/>
              <w:t>shaped article made or modified to be thrown (for example, the martial arts weapon known as the shuriken or shaken), including a throwing star attached to a belt buckle.</w:t>
            </w:r>
          </w:p>
        </w:tc>
      </w:tr>
    </w:tbl>
    <w:p>
      <w:pPr>
        <w:pStyle w:val="BlankClose"/>
        <w:tabs>
          <w:tab w:val="left" w:pos="2268"/>
        </w:tabs>
      </w:pPr>
    </w:p>
    <w:p>
      <w:pPr>
        <w:pStyle w:val="SectAltNote"/>
      </w:pPr>
      <w:r>
        <w:tab/>
        <w:t>Note: The headings to the regulations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rPr>
            </w:pPr>
            <w:r>
              <w:rPr>
                <w:b/>
                <w:bCs/>
              </w:rPr>
              <w:t>Regulation</w:t>
            </w:r>
          </w:p>
        </w:tc>
        <w:tc>
          <w:tcPr>
            <w:tcW w:w="4253" w:type="dxa"/>
          </w:tcPr>
          <w:p>
            <w:pPr>
              <w:pStyle w:val="TableAmNote"/>
              <w:keepNext/>
              <w:jc w:val="center"/>
              <w:rPr>
                <w:b/>
                <w:bCs/>
              </w:rPr>
            </w:pPr>
            <w:r>
              <w:rPr>
                <w:b/>
                <w:bCs/>
              </w:rPr>
              <w:t>Regulation heading</w:t>
            </w:r>
          </w:p>
        </w:tc>
      </w:tr>
      <w:tr>
        <w:trPr>
          <w:cantSplit/>
        </w:trPr>
        <w:tc>
          <w:tcPr>
            <w:tcW w:w="1843" w:type="dxa"/>
          </w:tcPr>
          <w:p>
            <w:pPr>
              <w:pStyle w:val="TableAmNote"/>
            </w:pPr>
            <w:r>
              <w:t>r. 9</w:t>
            </w:r>
          </w:p>
        </w:tc>
        <w:tc>
          <w:tcPr>
            <w:tcW w:w="4253" w:type="dxa"/>
          </w:tcPr>
          <w:p>
            <w:pPr>
              <w:pStyle w:val="TableAmNote"/>
              <w:rPr>
                <w:b/>
                <w:bCs/>
              </w:rPr>
            </w:pPr>
            <w:r>
              <w:rPr>
                <w:b/>
                <w:bCs/>
              </w:rPr>
              <w:t>Certain collectors and others excepted from Act s. 6(1)(a) to (c) in relation to specified prohibited weapons</w:t>
            </w:r>
          </w:p>
        </w:tc>
      </w:tr>
      <w:tr>
        <w:trPr>
          <w:cantSplit/>
        </w:trPr>
        <w:tc>
          <w:tcPr>
            <w:tcW w:w="1843" w:type="dxa"/>
          </w:tcPr>
          <w:p>
            <w:pPr>
              <w:pStyle w:val="TableAmNote"/>
            </w:pPr>
            <w:r>
              <w:t>r. 11</w:t>
            </w:r>
          </w:p>
        </w:tc>
        <w:tc>
          <w:tcPr>
            <w:tcW w:w="4253" w:type="dxa"/>
          </w:tcPr>
          <w:p>
            <w:pPr>
              <w:pStyle w:val="TableAmNote"/>
              <w:rPr>
                <w:b/>
                <w:bCs/>
              </w:rPr>
            </w:pPr>
            <w:r>
              <w:rPr>
                <w:b/>
                <w:bCs/>
              </w:rPr>
              <w:t>Certain people excepted from Act s. 6 in relation to blow pipes</w:t>
            </w:r>
          </w:p>
        </w:tc>
      </w:tr>
      <w:tr>
        <w:trPr>
          <w:cantSplit/>
        </w:trPr>
        <w:tc>
          <w:tcPr>
            <w:tcW w:w="1843" w:type="dxa"/>
          </w:tcPr>
          <w:p>
            <w:pPr>
              <w:pStyle w:val="TableAmNote"/>
            </w:pPr>
            <w:r>
              <w:t>r. 13</w:t>
            </w:r>
          </w:p>
        </w:tc>
        <w:tc>
          <w:tcPr>
            <w:tcW w:w="4253" w:type="dxa"/>
          </w:tcPr>
          <w:p>
            <w:pPr>
              <w:pStyle w:val="TableAmNote"/>
              <w:rPr>
                <w:b/>
                <w:bCs/>
              </w:rPr>
            </w:pPr>
            <w:r>
              <w:rPr>
                <w:b/>
                <w:bCs/>
              </w:rPr>
              <w:t>People connected with dramatic productions excepted from Act s. 6</w:t>
            </w:r>
          </w:p>
        </w:tc>
      </w:tr>
      <w:tr>
        <w:trPr>
          <w:cantSplit/>
        </w:trPr>
        <w:tc>
          <w:tcPr>
            <w:tcW w:w="1843" w:type="dxa"/>
          </w:tcPr>
          <w:p>
            <w:pPr>
              <w:pStyle w:val="TableAmNote"/>
            </w:pPr>
            <w:r>
              <w:t>r. 14</w:t>
            </w:r>
          </w:p>
        </w:tc>
        <w:tc>
          <w:tcPr>
            <w:tcW w:w="4253" w:type="dxa"/>
          </w:tcPr>
          <w:p>
            <w:pPr>
              <w:pStyle w:val="TableAmNote"/>
              <w:rPr>
                <w:b/>
                <w:bCs/>
              </w:rPr>
            </w:pPr>
            <w:r>
              <w:rPr>
                <w:b/>
                <w:bCs/>
              </w:rPr>
              <w:t>Exempt arbalests and others excepted from Act s. 6 in relation to crossbows in certain circumstances</w:t>
            </w:r>
          </w:p>
        </w:tc>
      </w:tr>
    </w:tbl>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D5A74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AE2D62D" w14:textId="185CF944" w:rsidR="00C310AE" w:rsidRDefault="00C310A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8072D">
                        <w:rPr>
                          <w:sz w:val="16"/>
                        </w:rPr>
                        <w:t>2024</w:t>
                      </w:r>
                      <w:r>
                        <w:rPr>
                          <w:sz w:val="16"/>
                        </w:rPr>
                        <w:fldChar w:fldCharType="end"/>
                      </w:r>
                      <w:r>
                        <w:rPr>
                          <w:sz w:val="16"/>
                        </w:rPr>
                        <w:t>.</w:t>
                      </w:r>
                    </w:p>
                    <w:p w14:paraId="4B3F64DF" w14:textId="77777777" w:rsidR="00C310AE" w:rsidRDefault="00C310A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0DA7C3" w14:textId="3D4A627C" w:rsidR="00C310AE" w:rsidRDefault="00C310A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8072D">
                        <w:rPr>
                          <w:sz w:val="16"/>
                        </w:rPr>
                        <w:t>2024</w:t>
                      </w:r>
                      <w:r>
                        <w:rPr>
                          <w:sz w:val="16"/>
                        </w:rPr>
                        <w:fldChar w:fldCharType="end"/>
                      </w:r>
                      <w:r>
                        <w:rPr>
                          <w:sz w:val="16"/>
                        </w:rPr>
                        <w:t>.</w:t>
                      </w:r>
                    </w:p>
                    <w:p w14:paraId="58E9BB21" w14:textId="77777777" w:rsidR="00C310AE" w:rsidRDefault="00C310A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2024/282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2024/282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2024/282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Dec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Regulations Amendment (Edged Weapons and Move On Orders)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Regulations Amendment (Edged Weapons and Move On Orders)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Regulations Amendment (Edged Weapons and Move On Orders)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Regulations Amendment (Edged Weapons and Move On Orders)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5F56918"/>
    <w:multiLevelType w:val="hybridMultilevel"/>
    <w:tmpl w:val="B640454A"/>
    <w:lvl w:ilvl="0" w:tplc="6D54A1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7"/>
  </w:num>
  <w:num w:numId="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734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21215394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191146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9114624_GUID" w:val="412a2b6e-11bc-4c97-bf80-9d44bf673513"/>
    <w:docVar w:name="WAFER_202411270817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7081746_GUID" w:val="2030b19c-db76-4b74-8782-ba4e071104cf"/>
    <w:docVar w:name="WAFER_202412121539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12153946_GUID" w:val="b47de2e5-2e44-45d0-b11a-c706bd4d14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25F71067-0C6D-40F9-8B34-F69E41835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1313</Words>
  <Characters>6318</Characters>
  <Application>Microsoft Office Word</Application>
  <DocSecurity>0</DocSecurity>
  <Lines>300</Lines>
  <Paragraphs>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Regulations Amendment (Edged Weapons and Move On Orders) Regulations 2024 - 00-00-00</dc:title>
  <dc:subject/>
  <dc:creator/>
  <cp:keywords/>
  <dc:description/>
  <cp:lastModifiedBy>Master Repository Process</cp:lastModifiedBy>
  <cp:revision>4</cp:revision>
  <cp:lastPrinted>2024-11-26T07:40:00Z</cp:lastPrinted>
  <dcterms:created xsi:type="dcterms:W3CDTF">2025-06-05T04:13:00Z</dcterms:created>
  <dcterms:modified xsi:type="dcterms:W3CDTF">2025-06-05T04:13:00Z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55104</vt:lpwstr>
  </property>
  <property fmtid="{D5CDD505-2E9C-101B-9397-08002B2CF9AE}" pid="3" name="DocumentType">
    <vt:lpwstr>Reg</vt:lpwstr>
  </property>
  <property fmtid="{D5CDD505-2E9C-101B-9397-08002B2CF9AE}" pid="4" name="AsAtDate">
    <vt:lpwstr>18 Dec 2024</vt:lpwstr>
  </property>
  <property fmtid="{D5CDD505-2E9C-101B-9397-08002B2CF9AE}" pid="5" name="Suffix">
    <vt:lpwstr>00-00-00</vt:lpwstr>
  </property>
  <property fmtid="{D5CDD505-2E9C-101B-9397-08002B2CF9AE}" pid="6" name="Official">
    <vt:lpwstr/>
  </property>
  <property fmtid="{D5CDD505-2E9C-101B-9397-08002B2CF9AE}" pid="7" name="SLAPId">
    <vt:lpwstr>2024/282</vt:lpwstr>
  </property>
  <property fmtid="{D5CDD505-2E9C-101B-9397-08002B2CF9AE}" pid="8" name="PublishDate">
    <vt:lpwstr>18 Dec 2024</vt:lpwstr>
  </property>
  <property fmtid="{D5CDD505-2E9C-101B-9397-08002B2CF9AE}" pid="9" name="CommencementDate">
    <vt:lpwstr>20241218</vt:lpwstr>
  </property>
  <property fmtid="{D5CDD505-2E9C-101B-9397-08002B2CF9AE}" pid="10" name="CommencementAsAt">
    <vt:filetime>2024-12-17T16:00:00Z</vt:filetime>
  </property>
  <property fmtid="{D5CDD505-2E9C-101B-9397-08002B2CF9AE}" pid="11" name="CommencementYear">
    <vt:lpwstr>2024</vt:lpwstr>
  </property>
</Properties>
</file>