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Dangerous Goods Safety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Dangerous Goods Safety Regulations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Dangerous Goods Safety Regulations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_Toc185340663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_Toc185340664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Dangerous Goods Safety (Road and Rail Transport of Non</w:t>
      </w:r>
      <w:r>
        <w:rPr>
          <w:i/>
          <w:iCs/>
        </w:rPr>
        <w:noBreakHyphen/>
        <w:t>explosives) Regulations 2007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_Toc185340666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_Toc185340667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4A inserted</w:t>
      </w:r>
      <w:r>
        <w:tab/>
      </w:r>
      <w:r>
        <w:fldChar w:fldCharType="begin"/>
      </w:r>
      <w:r>
        <w:instrText xml:space="preserve"> PAGEREF _Toc185340668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4A.</w:t>
      </w:r>
      <w:r>
        <w:rPr>
          <w:noProof/>
        </w:rPr>
        <w:tab/>
        <w:t>Meaning of ammonium nitrate explosion risk goods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_Toc185340669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14A inserted</w:t>
      </w:r>
      <w:r>
        <w:tab/>
      </w:r>
      <w:r>
        <w:fldChar w:fldCharType="begin"/>
      </w:r>
      <w:r>
        <w:instrText xml:space="preserve"> PAGEREF _Toc185340670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14A.</w:t>
      </w:r>
      <w:r>
        <w:rPr>
          <w:noProof/>
        </w:rPr>
        <w:tab/>
        <w:t>Transport of ammonium nitrate explosion risk goods — instruction and training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_Toc185340671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163 amended</w:t>
      </w:r>
      <w:r>
        <w:tab/>
      </w:r>
      <w:r>
        <w:fldChar w:fldCharType="begin"/>
      </w:r>
      <w:r>
        <w:instrText xml:space="preserve"> PAGEREF _Toc185340672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164 amended</w:t>
      </w:r>
      <w:r>
        <w:tab/>
      </w:r>
      <w:r>
        <w:fldChar w:fldCharType="begin"/>
      </w:r>
      <w:r>
        <w:instrText xml:space="preserve"> PAGEREF _Toc185340673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165 amended</w:t>
      </w:r>
      <w:r>
        <w:tab/>
      </w:r>
      <w:r>
        <w:fldChar w:fldCharType="begin"/>
      </w:r>
      <w:r>
        <w:instrText xml:space="preserve"> PAGEREF _Toc185340674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166 amended</w:t>
      </w:r>
      <w:r>
        <w:tab/>
      </w:r>
      <w:r>
        <w:fldChar w:fldCharType="begin"/>
      </w:r>
      <w:r>
        <w:instrText xml:space="preserve"> PAGEREF _Toc185340675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170A inserted</w:t>
      </w:r>
      <w:r>
        <w:tab/>
      </w:r>
      <w:r>
        <w:fldChar w:fldCharType="begin"/>
      </w:r>
      <w:r>
        <w:instrText xml:space="preserve"> PAGEREF _Toc185340676 \h </w:instrText>
      </w:r>
      <w:r>
        <w:fldChar w:fldCharType="separate"/>
      </w:r>
      <w:r>
        <w:t>8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170A.</w:t>
      </w:r>
      <w:r>
        <w:rPr>
          <w:noProof/>
        </w:rPr>
        <w:tab/>
        <w:t>Temperature monitoring — ammonium nitrate explosion risk goods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_Toc185340677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_Toc185340678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 xml:space="preserve">Dangerous Goods Safety (Storage and Handling of </w:t>
      </w:r>
      <w:r>
        <w:rPr>
          <w:i/>
          <w:iCs/>
        </w:rPr>
        <w:lastRenderedPageBreak/>
        <w:t>Non</w:t>
      </w:r>
      <w:r>
        <w:rPr>
          <w:i/>
          <w:iCs/>
        </w:rPr>
        <w:noBreakHyphen/>
        <w:t>explosives) Regulations 2007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_Toc185340680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_Toc185340681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_Toc185340682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Regulation 10 amended</w:t>
      </w:r>
      <w:r>
        <w:tab/>
      </w:r>
      <w:r>
        <w:fldChar w:fldCharType="begin"/>
      </w:r>
      <w:r>
        <w:instrText xml:space="preserve"> PAGEREF _Toc185340683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Schedule 4 amended</w:t>
      </w:r>
      <w:r>
        <w:tab/>
      </w:r>
      <w:r>
        <w:fldChar w:fldCharType="begin"/>
      </w:r>
      <w:r>
        <w:instrText xml:space="preserve"> PAGEREF _Toc185340684 \h </w:instrText>
      </w:r>
      <w:r>
        <w:fldChar w:fldCharType="separate"/>
      </w:r>
      <w:r>
        <w:t>11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Dangerous Goods Safety Act 2004</w:t>
      </w:r>
    </w:p>
    <w:p>
      <w:pPr>
        <w:pStyle w:val="NameofActReg"/>
      </w:pPr>
      <w:r>
        <w:t>Dangerous Goods Safety Regulations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</w:pPr>
      <w:bookmarkStart w:id="2" w:name="_Toc184909800"/>
      <w:bookmarkStart w:id="3" w:name="_Toc184909851"/>
      <w:bookmarkStart w:id="4" w:name="_Toc184909941"/>
      <w:bookmarkStart w:id="5" w:name="_Toc185340662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84909801"/>
      <w:bookmarkStart w:id="7" w:name="_Toc185340663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Dangerous Goods Safety Regulations Amendment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84909802"/>
      <w:bookmarkStart w:id="10" w:name="_Toc18534066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 xml:space="preserve"> — 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 (</w:t>
      </w:r>
      <w:r>
        <w:rPr>
          <w:rStyle w:val="CharDefText"/>
        </w:rPr>
        <w:t>publication day</w:t>
      </w:r>
      <w:r>
        <w:t>);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the period of 4 months beginning on publication day.</w:t>
      </w:r>
    </w:p>
    <w:p>
      <w:pPr>
        <w:pStyle w:val="Heading2"/>
      </w:pPr>
      <w:bookmarkStart w:id="11" w:name="_Toc184909803"/>
      <w:bookmarkStart w:id="12" w:name="_Toc184909854"/>
      <w:bookmarkStart w:id="13" w:name="_Toc184909944"/>
      <w:bookmarkStart w:id="14" w:name="_Toc185340665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Dangerous Goods Safety (Road and Rail Transport of Non</w:t>
      </w:r>
      <w:r>
        <w:rPr>
          <w:rStyle w:val="CharPartText"/>
          <w:i/>
          <w:iCs/>
        </w:rPr>
        <w:noBreakHyphen/>
        <w:t>explosives) Regulations 2007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84909804"/>
      <w:bookmarkStart w:id="16" w:name="_Toc18534066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This Part amends the </w:t>
      </w:r>
      <w:r>
        <w:rPr>
          <w:i/>
        </w:rPr>
        <w:t>Dangerous Goods Safety (Road and Rail Transport of Non</w:t>
      </w:r>
      <w:r>
        <w:rPr>
          <w:i/>
        </w:rPr>
        <w:noBreakHyphen/>
        <w:t>explosives) Regulations 2007</w:t>
      </w:r>
      <w:r>
        <w:t>.</w:t>
      </w:r>
    </w:p>
    <w:p>
      <w:pPr>
        <w:pStyle w:val="Heading5"/>
      </w:pPr>
      <w:bookmarkStart w:id="17" w:name="_Toc184909805"/>
      <w:bookmarkStart w:id="18" w:name="_Toc185340667"/>
      <w:r>
        <w:rPr>
          <w:rStyle w:val="CharSectno"/>
        </w:rPr>
        <w:t>4</w:t>
      </w:r>
      <w:r>
        <w:t>.</w:t>
      </w:r>
      <w:r>
        <w:tab/>
        <w:t>Regulation 4 amended</w:t>
      </w:r>
      <w:bookmarkEnd w:id="17"/>
      <w:bookmarkEnd w:id="18"/>
    </w:p>
    <w:p>
      <w:pPr>
        <w:pStyle w:val="Subsection"/>
      </w:pPr>
      <w:r>
        <w:tab/>
        <w:t>(1)</w:t>
      </w:r>
      <w:r>
        <w:tab/>
        <w:t xml:space="preserve">In regulation 4 delete the definition of </w:t>
      </w:r>
      <w:r>
        <w:rPr>
          <w:b/>
          <w:i/>
        </w:rPr>
        <w:t>IMDG Code</w:t>
      </w:r>
      <w:r>
        <w:t>.</w:t>
      </w:r>
    </w:p>
    <w:p>
      <w:pPr>
        <w:pStyle w:val="Subsection"/>
      </w:pPr>
      <w:r>
        <w:tab/>
        <w:t>(2)</w:t>
      </w:r>
      <w:r>
        <w:tab/>
        <w:t>In regulation 4 insert in alphabetical order:</w:t>
      </w:r>
    </w:p>
    <w:p>
      <w:pPr>
        <w:pStyle w:val="BlankOpen"/>
      </w:pPr>
    </w:p>
    <w:p>
      <w:pPr>
        <w:pStyle w:val="zDefstart"/>
        <w:rPr>
          <w:rStyle w:val="DraftersNotes"/>
          <w:b w:val="0"/>
          <w:i w:val="0"/>
          <w:sz w:val="24"/>
        </w:rPr>
      </w:pPr>
      <w:r>
        <w:tab/>
      </w:r>
      <w:r>
        <w:rPr>
          <w:rStyle w:val="CharDefText"/>
        </w:rPr>
        <w:t>ammonium nitrate explosion risk goods</w:t>
      </w:r>
      <w:r>
        <w:t xml:space="preserve"> has the meaning given in regulation 4A;</w:t>
      </w:r>
    </w:p>
    <w:p>
      <w:pPr>
        <w:pStyle w:val="zDefstart"/>
        <w:rPr>
          <w:rStyle w:val="DraftersNotes"/>
          <w:b w:val="0"/>
          <w:i w:val="0"/>
          <w:sz w:val="24"/>
        </w:rPr>
      </w:pPr>
      <w:r>
        <w:tab/>
      </w:r>
      <w:r>
        <w:rPr>
          <w:rStyle w:val="CharDefText"/>
        </w:rPr>
        <w:t>IMDG Code</w:t>
      </w:r>
      <w:r>
        <w:t xml:space="preserve"> means the </w:t>
      </w:r>
      <w:r>
        <w:rPr>
          <w:i/>
          <w:iCs/>
        </w:rPr>
        <w:t>IMDG Code: International Maritime Dangerous Goods Code</w:t>
      </w:r>
      <w:r>
        <w:t xml:space="preserve"> published by the International Maritime Organization;</w:t>
      </w:r>
    </w:p>
    <w:p>
      <w:pPr>
        <w:pStyle w:val="zDefstart"/>
        <w:rPr>
          <w:rStyle w:val="DraftersNotes"/>
          <w:b w:val="0"/>
          <w:i w:val="0"/>
          <w:sz w:val="24"/>
        </w:rPr>
      </w:pPr>
      <w:r>
        <w:tab/>
      </w:r>
      <w:r>
        <w:rPr>
          <w:rStyle w:val="CharDefText"/>
        </w:rPr>
        <w:t>UN Number</w:t>
      </w:r>
      <w:r>
        <w:t xml:space="preserve"> (or “UN” followed by a number), in relation to dangerous goods, means the identification serial number in the ADG Code section 3.2.3 Table 3.2.3 column 1 in relation to those goods;</w:t>
      </w:r>
    </w:p>
    <w:p>
      <w:pPr>
        <w:pStyle w:val="BlankClose"/>
      </w:pPr>
    </w:p>
    <w:p>
      <w:pPr>
        <w:pStyle w:val="Heading5"/>
      </w:pPr>
      <w:bookmarkStart w:id="19" w:name="_Toc184909806"/>
      <w:bookmarkStart w:id="20" w:name="_Toc185340668"/>
      <w:r>
        <w:rPr>
          <w:rStyle w:val="CharSectno"/>
        </w:rPr>
        <w:t>5</w:t>
      </w:r>
      <w:r>
        <w:t>.</w:t>
      </w:r>
      <w:r>
        <w:tab/>
        <w:t>Regulation 4A inserted</w:t>
      </w:r>
      <w:bookmarkEnd w:id="19"/>
      <w:bookmarkEnd w:id="20"/>
    </w:p>
    <w:p>
      <w:pPr>
        <w:pStyle w:val="Subsection"/>
      </w:pPr>
      <w:r>
        <w:tab/>
      </w:r>
      <w:r>
        <w:tab/>
        <w:t>After regulation 4 insert:</w:t>
      </w:r>
    </w:p>
    <w:p>
      <w:pPr>
        <w:pStyle w:val="BlankOpen"/>
      </w:pPr>
    </w:p>
    <w:p>
      <w:pPr>
        <w:pStyle w:val="zHeading5"/>
      </w:pPr>
      <w:bookmarkStart w:id="21" w:name="_Toc184909807"/>
      <w:bookmarkStart w:id="22" w:name="_Toc185340669"/>
      <w:r>
        <w:t>4A.</w:t>
      </w:r>
      <w:r>
        <w:tab/>
        <w:t>Meaning of ammonium nitrate explosion risk goods</w:t>
      </w:r>
      <w:bookmarkEnd w:id="21"/>
      <w:bookmarkEnd w:id="22"/>
    </w:p>
    <w:p>
      <w:pPr>
        <w:pStyle w:val="z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 dangerous goods listed in the Table are </w:t>
      </w:r>
      <w:r>
        <w:rPr>
          <w:rStyle w:val="CharDefText"/>
        </w:rPr>
        <w:t>ammonium nitrate explosion risk goods</w:t>
      </w:r>
      <w:r>
        <w:t>.</w:t>
      </w:r>
    </w:p>
    <w:p>
      <w:pPr>
        <w:pStyle w:val="zTHeadingNAm"/>
      </w:pPr>
      <w:r>
        <w:lastRenderedPageBreak/>
        <w:t>Table</w:t>
      </w:r>
    </w:p>
    <w:tbl>
      <w:tblPr>
        <w:tblW w:w="6294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111"/>
        <w:gridCol w:w="1091"/>
        <w:gridCol w:w="1092"/>
      </w:tblGrid>
      <w:tr>
        <w:trPr>
          <w:tblHeader/>
        </w:trPr>
        <w:tc>
          <w:tcPr>
            <w:tcW w:w="4111" w:type="dxa"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Ammonium nitrate explosion risk goods</w:t>
            </w:r>
          </w:p>
        </w:tc>
        <w:tc>
          <w:tcPr>
            <w:tcW w:w="1091" w:type="dxa"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UN No.</w:t>
            </w:r>
          </w:p>
        </w:tc>
        <w:tc>
          <w:tcPr>
            <w:tcW w:w="1092" w:type="dxa"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Division</w:t>
            </w:r>
          </w:p>
        </w:tc>
      </w:tr>
      <w:tr>
        <w:tc>
          <w:tcPr>
            <w:tcW w:w="4111" w:type="dxa"/>
          </w:tcPr>
          <w:p>
            <w:pPr>
              <w:pStyle w:val="zTableNAm"/>
            </w:pPr>
            <w:r>
              <w:t>Ammonium nitrate, with not more than 0.2% total combustible material, including any organic substance calculated as carbon, to the exclusion of any other added substance</w:t>
            </w:r>
          </w:p>
        </w:tc>
        <w:tc>
          <w:tcPr>
            <w:tcW w:w="1091" w:type="dxa"/>
          </w:tcPr>
          <w:p>
            <w:pPr>
              <w:pStyle w:val="zTableNAm"/>
            </w:pPr>
            <w:r>
              <w:t>1942</w:t>
            </w:r>
          </w:p>
        </w:tc>
        <w:tc>
          <w:tcPr>
            <w:tcW w:w="1092" w:type="dxa"/>
          </w:tcPr>
          <w:p>
            <w:pPr>
              <w:pStyle w:val="zTableNAm"/>
            </w:pPr>
            <w:r>
              <w:t>5.1</w:t>
            </w:r>
          </w:p>
        </w:tc>
      </w:tr>
      <w:tr>
        <w:tc>
          <w:tcPr>
            <w:tcW w:w="4111" w:type="dxa"/>
          </w:tcPr>
          <w:p>
            <w:pPr>
              <w:pStyle w:val="zTableNAm"/>
            </w:pPr>
            <w:r>
              <w:t>Ammonium nitrate based fertiliser</w:t>
            </w:r>
          </w:p>
        </w:tc>
        <w:tc>
          <w:tcPr>
            <w:tcW w:w="1091" w:type="dxa"/>
          </w:tcPr>
          <w:p>
            <w:pPr>
              <w:pStyle w:val="zTableNAm"/>
            </w:pPr>
            <w:r>
              <w:t>2067</w:t>
            </w:r>
          </w:p>
        </w:tc>
        <w:tc>
          <w:tcPr>
            <w:tcW w:w="1092" w:type="dxa"/>
          </w:tcPr>
          <w:p>
            <w:pPr>
              <w:pStyle w:val="zTableNAm"/>
            </w:pPr>
            <w:r>
              <w:t>5.1</w:t>
            </w:r>
          </w:p>
        </w:tc>
      </w:tr>
      <w:tr>
        <w:tc>
          <w:tcPr>
            <w:tcW w:w="4111" w:type="dxa"/>
          </w:tcPr>
          <w:p>
            <w:pPr>
              <w:pStyle w:val="zTableNAm"/>
            </w:pPr>
            <w:r>
              <w:t>Ammonium nitrate, liquid (hot concentrated solution)</w:t>
            </w:r>
          </w:p>
        </w:tc>
        <w:tc>
          <w:tcPr>
            <w:tcW w:w="1091" w:type="dxa"/>
          </w:tcPr>
          <w:p>
            <w:pPr>
              <w:pStyle w:val="zTableNAm"/>
            </w:pPr>
            <w:r>
              <w:t>2426</w:t>
            </w:r>
          </w:p>
        </w:tc>
        <w:tc>
          <w:tcPr>
            <w:tcW w:w="1092" w:type="dxa"/>
          </w:tcPr>
          <w:p>
            <w:pPr>
              <w:pStyle w:val="zTableNAm"/>
            </w:pPr>
            <w:r>
              <w:t>5.1</w:t>
            </w:r>
          </w:p>
        </w:tc>
      </w:tr>
      <w:tr>
        <w:tc>
          <w:tcPr>
            <w:tcW w:w="4111" w:type="dxa"/>
          </w:tcPr>
          <w:p>
            <w:pPr>
              <w:pStyle w:val="zTableNAm"/>
            </w:pPr>
            <w:r>
              <w:t>Ammonium nitrate emulsion or suspension or gel, intermediate for blasting explosives</w:t>
            </w:r>
          </w:p>
        </w:tc>
        <w:tc>
          <w:tcPr>
            <w:tcW w:w="1091" w:type="dxa"/>
          </w:tcPr>
          <w:p>
            <w:pPr>
              <w:pStyle w:val="zTableNAm"/>
            </w:pPr>
            <w:r>
              <w:t>3375</w:t>
            </w:r>
          </w:p>
        </w:tc>
        <w:tc>
          <w:tcPr>
            <w:tcW w:w="1092" w:type="dxa"/>
          </w:tcPr>
          <w:p>
            <w:pPr>
              <w:pStyle w:val="zTableNAm"/>
            </w:pPr>
            <w:r>
              <w:t>5.1</w:t>
            </w:r>
          </w:p>
        </w:tc>
      </w:tr>
    </w:tbl>
    <w:p>
      <w:pPr>
        <w:pStyle w:val="BlankClose"/>
        <w:rPr>
          <w:rStyle w:val="DraftersNotes"/>
        </w:rPr>
      </w:pPr>
    </w:p>
    <w:p>
      <w:pPr>
        <w:pStyle w:val="Heading5"/>
      </w:pPr>
      <w:bookmarkStart w:id="23" w:name="_Toc184909808"/>
      <w:bookmarkStart w:id="24" w:name="_Toc185340670"/>
      <w:r>
        <w:rPr>
          <w:rStyle w:val="CharSectno"/>
        </w:rPr>
        <w:t>6</w:t>
      </w:r>
      <w:r>
        <w:t>.</w:t>
      </w:r>
      <w:r>
        <w:tab/>
        <w:t>Regulation 14A inserted</w:t>
      </w:r>
      <w:bookmarkEnd w:id="23"/>
      <w:bookmarkEnd w:id="24"/>
    </w:p>
    <w:p>
      <w:pPr>
        <w:pStyle w:val="Subsection"/>
      </w:pPr>
      <w:r>
        <w:tab/>
      </w:r>
      <w:r>
        <w:tab/>
        <w:t>After regulation 14 insert:</w:t>
      </w:r>
    </w:p>
    <w:p>
      <w:pPr>
        <w:pStyle w:val="BlankOpen"/>
      </w:pPr>
    </w:p>
    <w:p>
      <w:pPr>
        <w:pStyle w:val="zHeading5"/>
      </w:pPr>
      <w:bookmarkStart w:id="25" w:name="_Toc184909809"/>
      <w:bookmarkStart w:id="26" w:name="_Toc185340671"/>
      <w:r>
        <w:t>14A.</w:t>
      </w:r>
      <w:r>
        <w:tab/>
        <w:t>Transport of ammonium nitrate explosion risk goods — instruction and training</w:t>
      </w:r>
      <w:bookmarkEnd w:id="25"/>
      <w:bookmarkEnd w:id="26"/>
    </w:p>
    <w:p>
      <w:pPr>
        <w:pStyle w:val="zSubsection"/>
      </w:pPr>
      <w:r>
        <w:tab/>
      </w:r>
      <w:r>
        <w:tab/>
        <w:t xml:space="preserve">A person must not transport a placard load of ammonium nitrate explosion risk goods by road vehicle unless the person has received appropriate instruction and training in the use of — </w:t>
      </w:r>
    </w:p>
    <w:p>
      <w:pPr>
        <w:pStyle w:val="zIndenta"/>
        <w:rPr>
          <w:rStyle w:val="DraftersNotes"/>
          <w:b w:val="0"/>
          <w:i w:val="0"/>
          <w:sz w:val="24"/>
        </w:rPr>
      </w:pPr>
      <w:r>
        <w:tab/>
        <w:t>(a)</w:t>
      </w:r>
      <w:r>
        <w:tab/>
        <w:t>the additional fire fighting equipment with which the road vehicle is equipped that meets the requirements of regulation 165(1)(c); and</w:t>
      </w:r>
    </w:p>
    <w:p>
      <w:pPr>
        <w:pStyle w:val="zIndenta"/>
      </w:pPr>
      <w:r>
        <w:lastRenderedPageBreak/>
        <w:tab/>
        <w:t>(b)</w:t>
      </w:r>
      <w:r>
        <w:tab/>
        <w:t>the temperature monitoring equipment with which the road vehicle is equipped to enable compliance with regulation 170A(2)(a).</w:t>
      </w:r>
    </w:p>
    <w:p>
      <w:pPr>
        <w:pStyle w:val="zPenstart"/>
        <w:rPr>
          <w:rStyle w:val="DraftersNotes"/>
          <w:b w:val="0"/>
          <w:i w:val="0"/>
          <w:sz w:val="24"/>
        </w:rPr>
      </w:pPr>
      <w:r>
        <w:tab/>
        <w:t>Penalty: a fine of $10 000.</w:t>
      </w:r>
    </w:p>
    <w:p>
      <w:pPr>
        <w:pStyle w:val="BlankClose"/>
        <w:rPr>
          <w:rStyle w:val="DraftersNotes"/>
          <w:b w:val="0"/>
          <w:i w:val="0"/>
          <w:sz w:val="24"/>
        </w:rPr>
      </w:pPr>
    </w:p>
    <w:p>
      <w:pPr>
        <w:pStyle w:val="Heading5"/>
      </w:pPr>
      <w:bookmarkStart w:id="27" w:name="_Toc184909810"/>
      <w:bookmarkStart w:id="28" w:name="_Toc185340672"/>
      <w:r>
        <w:rPr>
          <w:rStyle w:val="CharSectno"/>
        </w:rPr>
        <w:t>7</w:t>
      </w:r>
      <w:r>
        <w:t>.</w:t>
      </w:r>
      <w:r>
        <w:tab/>
        <w:t>Regulation 163 amended</w:t>
      </w:r>
      <w:bookmarkEnd w:id="27"/>
      <w:bookmarkEnd w:id="28"/>
    </w:p>
    <w:p>
      <w:pPr>
        <w:pStyle w:val="Subsection"/>
      </w:pPr>
      <w:r>
        <w:tab/>
      </w:r>
      <w:r>
        <w:tab/>
        <w:t>In regulation 163:</w:t>
      </w:r>
    </w:p>
    <w:p>
      <w:pPr>
        <w:pStyle w:val="Indenta"/>
      </w:pPr>
      <w:r>
        <w:tab/>
        <w:t>(a)</w:t>
      </w:r>
      <w:r>
        <w:tab/>
        <w:t>in paragraph (b) delete “Part.”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Part; and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(b) insert:</w:t>
      </w:r>
    </w:p>
    <w:p>
      <w:pPr>
        <w:pStyle w:val="BlankOpen"/>
      </w:pPr>
    </w:p>
    <w:p>
      <w:pPr>
        <w:pStyle w:val="zIndenta"/>
      </w:pPr>
      <w:r>
        <w:tab/>
        <w:t>(c)</w:t>
      </w:r>
      <w:r>
        <w:tab/>
        <w:t xml:space="preserve">if the placard load contains ammonium nitrate explosion risk goods — additional fire fighting equipment that — </w:t>
      </w:r>
    </w:p>
    <w:p>
      <w:pPr>
        <w:pStyle w:val="zIndenti"/>
        <w:rPr>
          <w:rStyle w:val="DraftersNotes"/>
          <w:b w:val="0"/>
          <w:i w:val="0"/>
          <w:sz w:val="24"/>
        </w:rPr>
      </w:pPr>
      <w:r>
        <w:tab/>
        <w:t>(i)</w:t>
      </w:r>
      <w:r>
        <w:tab/>
        <w:t>is operational at all times, including when the engine of the road vehicle is turned off; and</w:t>
      </w:r>
    </w:p>
    <w:p>
      <w:pPr>
        <w:pStyle w:val="zIndenti"/>
      </w:pPr>
      <w:r>
        <w:tab/>
        <w:t>(ii)</w:t>
      </w:r>
      <w:r>
        <w:tab/>
        <w:t>is suitable for the control and extinguishment of the types of fire scenarios likely to be encountered in relation to ammonium nitrate explosion risk goods.</w:t>
      </w:r>
    </w:p>
    <w:p>
      <w:pPr>
        <w:pStyle w:val="BlankClose"/>
      </w:pPr>
    </w:p>
    <w:p>
      <w:pPr>
        <w:pStyle w:val="Heading5"/>
      </w:pPr>
      <w:bookmarkStart w:id="29" w:name="_Toc184909811"/>
      <w:bookmarkStart w:id="30" w:name="_Toc185340673"/>
      <w:r>
        <w:rPr>
          <w:rStyle w:val="CharSectno"/>
        </w:rPr>
        <w:t>8</w:t>
      </w:r>
      <w:r>
        <w:t>.</w:t>
      </w:r>
      <w:r>
        <w:tab/>
        <w:t>Regulation 164 amended</w:t>
      </w:r>
      <w:bookmarkEnd w:id="29"/>
      <w:bookmarkEnd w:id="30"/>
    </w:p>
    <w:p>
      <w:pPr>
        <w:pStyle w:val="Subsection"/>
        <w:keepNext/>
      </w:pPr>
      <w:r>
        <w:tab/>
        <w:t>(1)</w:t>
      </w:r>
      <w:r>
        <w:tab/>
        <w:t>In regulation 164(1):</w:t>
      </w:r>
    </w:p>
    <w:p>
      <w:pPr>
        <w:pStyle w:val="Indenta"/>
        <w:keepNext/>
      </w:pPr>
      <w:r>
        <w:tab/>
        <w:t>(a)</w:t>
      </w:r>
      <w:r>
        <w:tab/>
        <w:t>in paragraph (b) delete “Part.”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Part; and</w:t>
      </w:r>
    </w:p>
    <w:p>
      <w:pPr>
        <w:pStyle w:val="BlankClose"/>
      </w:pPr>
    </w:p>
    <w:p>
      <w:pPr>
        <w:pStyle w:val="Indenta"/>
      </w:pPr>
      <w:r>
        <w:lastRenderedPageBreak/>
        <w:tab/>
        <w:t>(b)</w:t>
      </w:r>
      <w:r>
        <w:tab/>
        <w:t>after paragraph (b) insert:</w:t>
      </w:r>
    </w:p>
    <w:p>
      <w:pPr>
        <w:pStyle w:val="BlankOpen"/>
      </w:pPr>
    </w:p>
    <w:p>
      <w:pPr>
        <w:pStyle w:val="zIndenta"/>
      </w:pPr>
      <w:r>
        <w:tab/>
        <w:t>(c)</w:t>
      </w:r>
      <w:r>
        <w:tab/>
        <w:t xml:space="preserve">if the placard load contains ammonium nitrate explosion risk goods — additional fire fighting equipment that — </w:t>
      </w:r>
    </w:p>
    <w:p>
      <w:pPr>
        <w:pStyle w:val="zIndenti"/>
      </w:pPr>
      <w:r>
        <w:tab/>
        <w:t>(i)</w:t>
      </w:r>
      <w:r>
        <w:tab/>
        <w:t>is operational at all times, including when the engine of the road vehicle is turned off; and</w:t>
      </w:r>
    </w:p>
    <w:p>
      <w:pPr>
        <w:pStyle w:val="zIndenti"/>
      </w:pPr>
      <w:r>
        <w:tab/>
        <w:t>(ii)</w:t>
      </w:r>
      <w:r>
        <w:tab/>
        <w:t>is suitable for the control and extinguishment of the types of fire scenarios likely to be encountered in relation to ammonium nitrate explosion risk goods.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At the end of regulation 164(1) insert:</w:t>
      </w:r>
    </w:p>
    <w:p>
      <w:pPr>
        <w:pStyle w:val="BlankOpen"/>
      </w:pPr>
    </w:p>
    <w:p>
      <w:pPr>
        <w:pStyle w:val="zPenstart"/>
      </w:pPr>
      <w:r>
        <w:tab/>
        <w:t>Penalty for this subregulation: a fine of $10 000.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regulation 164(2):</w:t>
      </w:r>
    </w:p>
    <w:p>
      <w:pPr>
        <w:pStyle w:val="Indenta"/>
      </w:pPr>
      <w:r>
        <w:tab/>
        <w:t>(a)</w:t>
      </w:r>
      <w:r>
        <w:tab/>
        <w:t>in paragraph (a) delete “a fire extinguisher”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fire fighting equipment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paragraph (a)(ii) and insert:</w:t>
      </w:r>
    </w:p>
    <w:p>
      <w:pPr>
        <w:pStyle w:val="BlankOpen"/>
      </w:pPr>
    </w:p>
    <w:p>
      <w:pPr>
        <w:pStyle w:val="zIndenti"/>
        <w:rPr>
          <w:rStyle w:val="DraftersNotes"/>
          <w:b w:val="0"/>
          <w:i w:val="0"/>
          <w:sz w:val="24"/>
        </w:rPr>
      </w:pPr>
      <w:r>
        <w:tab/>
        <w:t>(ii)</w:t>
      </w:r>
      <w:r>
        <w:tab/>
        <w:t xml:space="preserve">AS 1851 </w:t>
      </w:r>
      <w:r>
        <w:rPr>
          <w:i/>
          <w:iCs/>
        </w:rPr>
        <w:t>Routine service of fire protection systems and equipment</w:t>
      </w:r>
      <w:r>
        <w:t>;</w:t>
      </w:r>
    </w:p>
    <w:p>
      <w:pPr>
        <w:pStyle w:val="BlankClose"/>
      </w:pPr>
    </w:p>
    <w:p>
      <w:pPr>
        <w:pStyle w:val="Indenta"/>
        <w:keepNext/>
      </w:pPr>
      <w:r>
        <w:tab/>
        <w:t>(c)</w:t>
      </w:r>
      <w:r>
        <w:tab/>
        <w:t>in paragraph (c) delete “fire extinguisher,”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fire fighting equipment,</w:t>
      </w:r>
    </w:p>
    <w:p>
      <w:pPr>
        <w:pStyle w:val="BlankClose"/>
      </w:pPr>
    </w:p>
    <w:p>
      <w:pPr>
        <w:pStyle w:val="Subsection"/>
      </w:pPr>
      <w:r>
        <w:lastRenderedPageBreak/>
        <w:tab/>
        <w:t>(4)</w:t>
      </w:r>
      <w:r>
        <w:tab/>
        <w:t>In regulation 164(2) in the Penalty delete “Penalty:”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Penalty for this subregulation:</w:t>
      </w:r>
    </w:p>
    <w:p>
      <w:pPr>
        <w:pStyle w:val="BlankClose"/>
      </w:pPr>
    </w:p>
    <w:p>
      <w:pPr>
        <w:pStyle w:val="Heading5"/>
      </w:pPr>
      <w:bookmarkStart w:id="31" w:name="_Toc184909812"/>
      <w:bookmarkStart w:id="32" w:name="_Toc185340674"/>
      <w:r>
        <w:rPr>
          <w:rStyle w:val="CharSectno"/>
        </w:rPr>
        <w:t>9</w:t>
      </w:r>
      <w:r>
        <w:t>.</w:t>
      </w:r>
      <w:r>
        <w:tab/>
        <w:t>Regulation 165 amended</w:t>
      </w:r>
      <w:bookmarkEnd w:id="31"/>
      <w:bookmarkEnd w:id="32"/>
    </w:p>
    <w:p>
      <w:pPr>
        <w:pStyle w:val="Subsection"/>
      </w:pPr>
      <w:r>
        <w:tab/>
        <w:t>(1)</w:t>
      </w:r>
      <w:r>
        <w:tab/>
        <w:t>In regulation 165(1):</w:t>
      </w:r>
    </w:p>
    <w:p>
      <w:pPr>
        <w:pStyle w:val="Indenta"/>
      </w:pPr>
      <w:r>
        <w:tab/>
        <w:t>(a)</w:t>
      </w:r>
      <w:r>
        <w:tab/>
        <w:t>in paragraph (b) delete “Part.”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Part; and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(b) insert:</w:t>
      </w:r>
    </w:p>
    <w:p>
      <w:pPr>
        <w:pStyle w:val="BlankOpen"/>
      </w:pPr>
    </w:p>
    <w:p>
      <w:pPr>
        <w:pStyle w:val="zIndenta"/>
      </w:pPr>
      <w:r>
        <w:tab/>
        <w:t>(c)</w:t>
      </w:r>
      <w:r>
        <w:tab/>
        <w:t xml:space="preserve">if the placard load contains ammonium nitrate explosion risk goods — additional fire fighting equipment that — </w:t>
      </w:r>
    </w:p>
    <w:p>
      <w:pPr>
        <w:pStyle w:val="zIndenti"/>
      </w:pPr>
      <w:r>
        <w:tab/>
        <w:t>(i)</w:t>
      </w:r>
      <w:r>
        <w:tab/>
        <w:t>is operational at all times, including when the engine of the road vehicle is turned off; and</w:t>
      </w:r>
    </w:p>
    <w:p>
      <w:pPr>
        <w:pStyle w:val="zIndenti"/>
      </w:pPr>
      <w:r>
        <w:tab/>
        <w:t>(ii)</w:t>
      </w:r>
      <w:r>
        <w:tab/>
        <w:t>is suitable for the control and extinguishment of the types of fire scenarios likely to be encountered in relation to ammonium nitrate explosion risk goods.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At the end of regulation 165(1) insert:</w:t>
      </w:r>
    </w:p>
    <w:p>
      <w:pPr>
        <w:pStyle w:val="BlankOpen"/>
      </w:pPr>
    </w:p>
    <w:p>
      <w:pPr>
        <w:pStyle w:val="zPenstart"/>
      </w:pPr>
      <w:r>
        <w:tab/>
        <w:t>Penalty for this subregulation: a fine of $3 000.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(3)</w:t>
      </w:r>
      <w:r>
        <w:tab/>
        <w:t>In regulation 165(2):</w:t>
      </w:r>
    </w:p>
    <w:p>
      <w:pPr>
        <w:pStyle w:val="Indenta"/>
        <w:keepNext/>
      </w:pPr>
      <w:r>
        <w:tab/>
        <w:t>(a)</w:t>
      </w:r>
      <w:r>
        <w:tab/>
        <w:t>in paragraph (a) delete “a fire extinguisher”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fire fighting equipment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paragraph (a)(ii) and insert:</w:t>
      </w:r>
    </w:p>
    <w:p>
      <w:pPr>
        <w:pStyle w:val="BlankOpen"/>
      </w:pPr>
    </w:p>
    <w:p>
      <w:pPr>
        <w:pStyle w:val="zIndenti"/>
        <w:rPr>
          <w:rStyle w:val="DraftersNotes"/>
          <w:b w:val="0"/>
          <w:i w:val="0"/>
          <w:sz w:val="24"/>
        </w:rPr>
      </w:pPr>
      <w:r>
        <w:tab/>
        <w:t>(ii)</w:t>
      </w:r>
      <w:r>
        <w:tab/>
        <w:t xml:space="preserve">AS 1851 </w:t>
      </w:r>
      <w:r>
        <w:rPr>
          <w:i/>
          <w:iCs/>
        </w:rPr>
        <w:t>Routine service of fire protection systems and equipment</w:t>
      </w:r>
      <w:r>
        <w:t>;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paragraphs (c) and (d) delete “fire extinguisher,”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fire fighting equipment,</w:t>
      </w:r>
    </w:p>
    <w:p>
      <w:pPr>
        <w:pStyle w:val="BlankClose"/>
      </w:pPr>
    </w:p>
    <w:p>
      <w:pPr>
        <w:pStyle w:val="Subsection"/>
        <w:keepNext/>
      </w:pPr>
      <w:r>
        <w:tab/>
        <w:t>(4)</w:t>
      </w:r>
      <w:r>
        <w:tab/>
        <w:t>In regulation 165(2) in the Penalty delete “Penalty:”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Penalty for this subregulation:</w:t>
      </w:r>
    </w:p>
    <w:p>
      <w:pPr>
        <w:pStyle w:val="BlankClose"/>
      </w:pPr>
    </w:p>
    <w:p>
      <w:pPr>
        <w:pStyle w:val="Heading5"/>
      </w:pPr>
      <w:bookmarkStart w:id="33" w:name="_Toc184909813"/>
      <w:bookmarkStart w:id="34" w:name="_Toc185340675"/>
      <w:r>
        <w:rPr>
          <w:rStyle w:val="CharSectno"/>
        </w:rPr>
        <w:t>10</w:t>
      </w:r>
      <w:r>
        <w:t>.</w:t>
      </w:r>
      <w:r>
        <w:tab/>
        <w:t>Regulation 166 amended</w:t>
      </w:r>
      <w:bookmarkEnd w:id="33"/>
      <w:bookmarkEnd w:id="34"/>
    </w:p>
    <w:p>
      <w:pPr>
        <w:pStyle w:val="Subsection"/>
      </w:pPr>
      <w:r>
        <w:tab/>
      </w:r>
      <w:r>
        <w:tab/>
        <w:t>In regulation 166(3) delete “AS 3790</w:t>
      </w:r>
      <w:r>
        <w:noBreakHyphen/>
        <w:t>1992 (Portable Warning Triangles for Motor Vehicles)” and insert:</w:t>
      </w:r>
    </w:p>
    <w:p>
      <w:pPr>
        <w:pStyle w:val="BlankOpen"/>
      </w:pPr>
    </w:p>
    <w:p>
      <w:pPr>
        <w:pStyle w:val="Subsection"/>
        <w:rPr>
          <w:i/>
          <w:iCs/>
        </w:rPr>
      </w:pPr>
      <w:r>
        <w:tab/>
      </w:r>
      <w:r>
        <w:tab/>
        <w:t xml:space="preserve">AS 3790 </w:t>
      </w:r>
      <w:r>
        <w:rPr>
          <w:i/>
          <w:iCs/>
        </w:rPr>
        <w:t>Portable Warning Triangles for Motor Vehicles</w:t>
      </w:r>
    </w:p>
    <w:p>
      <w:pPr>
        <w:pStyle w:val="BlankClose"/>
        <w:rPr>
          <w:rStyle w:val="DraftersNotes"/>
        </w:rPr>
      </w:pPr>
    </w:p>
    <w:p>
      <w:pPr>
        <w:pStyle w:val="Heading5"/>
      </w:pPr>
      <w:bookmarkStart w:id="35" w:name="_Toc184909814"/>
      <w:bookmarkStart w:id="36" w:name="_Toc185340676"/>
      <w:r>
        <w:rPr>
          <w:rStyle w:val="CharSectno"/>
        </w:rPr>
        <w:lastRenderedPageBreak/>
        <w:t>11</w:t>
      </w:r>
      <w:r>
        <w:t>.</w:t>
      </w:r>
      <w:r>
        <w:tab/>
        <w:t>Regulation 170A inserted</w:t>
      </w:r>
      <w:bookmarkEnd w:id="35"/>
      <w:bookmarkEnd w:id="36"/>
    </w:p>
    <w:p>
      <w:pPr>
        <w:pStyle w:val="Subsection"/>
        <w:keepNext/>
      </w:pPr>
      <w:r>
        <w:tab/>
      </w:r>
      <w:r>
        <w:tab/>
        <w:t>After regulation 170 insert:</w:t>
      </w:r>
    </w:p>
    <w:p>
      <w:pPr>
        <w:pStyle w:val="BlankOpen"/>
      </w:pPr>
    </w:p>
    <w:p>
      <w:pPr>
        <w:pStyle w:val="zHeading5"/>
      </w:pPr>
      <w:bookmarkStart w:id="37" w:name="_Toc184909815"/>
      <w:bookmarkStart w:id="38" w:name="_Toc185340677"/>
      <w:r>
        <w:t>170A.</w:t>
      </w:r>
      <w:r>
        <w:tab/>
        <w:t>Temperature monitoring — ammonium nitrate explosion risk goods</w:t>
      </w:r>
      <w:bookmarkEnd w:id="37"/>
      <w:bookmarkEnd w:id="38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at the relevant times</w:t>
      </w:r>
      <w:r>
        <w:t xml:space="preserve"> means — </w:t>
      </w:r>
    </w:p>
    <w:p>
      <w:pPr>
        <w:pStyle w:val="zDefpara"/>
      </w:pPr>
      <w:r>
        <w:tab/>
        <w:t>(a)</w:t>
      </w:r>
      <w:r>
        <w:tab/>
        <w:t xml:space="preserve">reasonably prior to each time — </w:t>
      </w:r>
    </w:p>
    <w:p>
      <w:pPr>
        <w:pStyle w:val="zDefsubpara"/>
      </w:pPr>
      <w:r>
        <w:tab/>
        <w:t>(i)</w:t>
      </w:r>
      <w:r>
        <w:tab/>
        <w:t>the ammonium nitrate explosion risk goods are loaded onto the road vehicle; or</w:t>
      </w:r>
    </w:p>
    <w:p>
      <w:pPr>
        <w:pStyle w:val="zDefsubpara"/>
        <w:keepNext/>
      </w:pPr>
      <w:r>
        <w:tab/>
        <w:t>(ii)</w:t>
      </w:r>
      <w:r>
        <w:tab/>
        <w:t>the ammonium nitrate explosion risk goods are unloaded from the road vehicle;</w:t>
      </w:r>
    </w:p>
    <w:p>
      <w:pPr>
        <w:pStyle w:val="zDefpara"/>
        <w:keepNext/>
        <w:rPr>
          <w:rStyle w:val="DraftersNotes"/>
          <w:b w:val="0"/>
          <w:i w:val="0"/>
          <w:sz w:val="24"/>
        </w:rPr>
      </w:pPr>
      <w:r>
        <w:tab/>
      </w:r>
      <w:r>
        <w:tab/>
        <w:t>or</w:t>
      </w:r>
    </w:p>
    <w:p>
      <w:pPr>
        <w:pStyle w:val="zDefpara"/>
      </w:pPr>
      <w:r>
        <w:tab/>
        <w:t>(b)</w:t>
      </w:r>
      <w:r>
        <w:tab/>
        <w:t>each time the road vehicle parks;</w:t>
      </w:r>
    </w:p>
    <w:p>
      <w:pPr>
        <w:pStyle w:val="zDefstart"/>
      </w:pPr>
      <w:r>
        <w:tab/>
      </w:r>
      <w:r>
        <w:rPr>
          <w:rStyle w:val="CharDefText"/>
        </w:rPr>
        <w:t>responsible person</w:t>
      </w:r>
      <w:r>
        <w:t xml:space="preserve">, in relation to a record or a copy of a record, means — </w:t>
      </w:r>
    </w:p>
    <w:p>
      <w:pPr>
        <w:pStyle w:val="zDefpara"/>
      </w:pPr>
      <w:r>
        <w:tab/>
        <w:t>(a)</w:t>
      </w:r>
      <w:r>
        <w:tab/>
        <w:t>the driver who made the record or copy; and</w:t>
      </w:r>
    </w:p>
    <w:p>
      <w:pPr>
        <w:pStyle w:val="zDefpara"/>
      </w:pPr>
      <w:r>
        <w:tab/>
        <w:t>(b)</w:t>
      </w:r>
      <w:r>
        <w:tab/>
        <w:t>the owner of the road vehicle to which the record or copy relates; and</w:t>
      </w:r>
    </w:p>
    <w:p>
      <w:pPr>
        <w:pStyle w:val="zDefpara"/>
      </w:pPr>
      <w:r>
        <w:tab/>
        <w:t>(c)</w:t>
      </w:r>
      <w:r>
        <w:tab/>
        <w:t>the prime contractor who used the road vehicle to which the record or copy relates to transport the ammonium nitrate explosion risk goods.</w:t>
      </w:r>
    </w:p>
    <w:p>
      <w:pPr>
        <w:pStyle w:val="zSubsection"/>
      </w:pPr>
      <w:r>
        <w:tab/>
        <w:t>(2)</w:t>
      </w:r>
      <w:r>
        <w:tab/>
        <w:t xml:space="preserve">The driver of a road vehicle transporting a placard load that contains ammonium nitrate explosion risk goods must at the relevant times — </w:t>
      </w:r>
    </w:p>
    <w:p>
      <w:pPr>
        <w:pStyle w:val="zIndenta"/>
      </w:pPr>
      <w:r>
        <w:tab/>
        <w:t>(a)</w:t>
      </w:r>
      <w:r>
        <w:tab/>
        <w:t>monitor the temperature of all readily accessible wheel hubs or all readily accessible tyres of the road vehicle; and</w:t>
      </w:r>
    </w:p>
    <w:p>
      <w:pPr>
        <w:pStyle w:val="zIndenta"/>
        <w:keepNext/>
      </w:pPr>
      <w:r>
        <w:lastRenderedPageBreak/>
        <w:tab/>
        <w:t>(b)</w:t>
      </w:r>
      <w:r>
        <w:tab/>
        <w:t>record the temperatures.</w:t>
      </w:r>
    </w:p>
    <w:p>
      <w:pPr>
        <w:pStyle w:val="zPenstart"/>
      </w:pPr>
      <w:r>
        <w:tab/>
        <w:t>Penalty for this subregulation: a fine of $5 000.</w:t>
      </w:r>
    </w:p>
    <w:p>
      <w:pPr>
        <w:pStyle w:val="zSubsection"/>
      </w:pPr>
      <w:r>
        <w:tab/>
        <w:t>(3)</w:t>
      </w:r>
      <w:r>
        <w:tab/>
        <w:t>A record, or a copy of a record, made under subregulation (2)(b) must be retained by the responsible person for at least 3 months after the transport of the ammonium nitrate explosion risk goods finishes.</w:t>
      </w:r>
    </w:p>
    <w:p>
      <w:pPr>
        <w:pStyle w:val="zPenstart"/>
      </w:pPr>
      <w:r>
        <w:tab/>
        <w:t>Penalty for this subregulation: a fine of $5 000.</w:t>
      </w:r>
    </w:p>
    <w:p>
      <w:pPr>
        <w:pStyle w:val="zSubsection"/>
      </w:pPr>
      <w:r>
        <w:tab/>
        <w:t>(4)</w:t>
      </w:r>
      <w:r>
        <w:tab/>
        <w:t xml:space="preserve">It is not a failure to comply with subregulation (3) if — </w:t>
      </w:r>
    </w:p>
    <w:p>
      <w:pPr>
        <w:pStyle w:val="zIndenta"/>
      </w:pPr>
      <w:r>
        <w:tab/>
        <w:t>(a)</w:t>
      </w:r>
      <w:r>
        <w:tab/>
        <w:t>the record or copy is retained in a form other than paper; and</w:t>
      </w:r>
    </w:p>
    <w:p>
      <w:pPr>
        <w:pStyle w:val="zIndenta"/>
      </w:pPr>
      <w:r>
        <w:tab/>
        <w:t>(b)</w:t>
      </w:r>
      <w:r>
        <w:tab/>
        <w:t>a readily legible paper copy of the record or copy can be readily created at any time during the 3 months at the request of a DGO.</w:t>
      </w:r>
    </w:p>
    <w:p>
      <w:pPr>
        <w:pStyle w:val="zSubsection"/>
        <w:keepNext/>
      </w:pPr>
      <w:r>
        <w:tab/>
        <w:t>(5)</w:t>
      </w:r>
      <w:r>
        <w:tab/>
        <w:t>A person does not commit an offence under subregulation (3) if the record or copy is retained by another person.</w:t>
      </w:r>
    </w:p>
    <w:p>
      <w:pPr>
        <w:pStyle w:val="BlankClose"/>
      </w:pPr>
    </w:p>
    <w:p>
      <w:pPr>
        <w:pStyle w:val="Heading5"/>
      </w:pPr>
      <w:bookmarkStart w:id="39" w:name="_Toc184909816"/>
      <w:bookmarkStart w:id="40" w:name="_Toc185340678"/>
      <w:r>
        <w:rPr>
          <w:rStyle w:val="CharSectno"/>
        </w:rPr>
        <w:t>12</w:t>
      </w:r>
      <w:r>
        <w:t>.</w:t>
      </w:r>
      <w:r>
        <w:tab/>
        <w:t>Schedule 1 amended</w:t>
      </w:r>
      <w:bookmarkEnd w:id="39"/>
      <w:bookmarkEnd w:id="40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After Schedule 1 item 55 insert:</w:t>
      </w:r>
    </w:p>
    <w:p>
      <w:pPr>
        <w:pStyle w:val="BlankOpen"/>
      </w:pPr>
    </w:p>
    <w:tbl>
      <w:tblPr>
        <w:tblW w:w="6804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850"/>
        <w:gridCol w:w="2268"/>
        <w:gridCol w:w="1843"/>
        <w:gridCol w:w="1843"/>
      </w:tblGrid>
      <w:tr>
        <w:trPr>
          <w:cantSplit/>
        </w:trPr>
        <w:tc>
          <w:tcPr>
            <w:tcW w:w="850" w:type="dxa"/>
          </w:tcPr>
          <w:p>
            <w:pPr>
              <w:pStyle w:val="zyTableNAm"/>
            </w:pPr>
            <w:r>
              <w:t>55A.</w:t>
            </w:r>
          </w:p>
        </w:tc>
        <w:tc>
          <w:tcPr>
            <w:tcW w:w="2268" w:type="dxa"/>
          </w:tcPr>
          <w:p>
            <w:pPr>
              <w:pStyle w:val="zyTableNAm"/>
            </w:pPr>
            <w:r>
              <w:t>Regulation 170A(2)</w:t>
            </w:r>
          </w:p>
        </w:tc>
        <w:tc>
          <w:tcPr>
            <w:tcW w:w="1843" w:type="dxa"/>
          </w:tcPr>
          <w:p>
            <w:pPr>
              <w:pStyle w:val="zyTableNAm"/>
            </w:pPr>
            <w:r>
              <w:t>300</w:t>
            </w:r>
          </w:p>
        </w:tc>
        <w:tc>
          <w:tcPr>
            <w:tcW w:w="1843" w:type="dxa"/>
          </w:tcPr>
          <w:p>
            <w:pPr>
              <w:pStyle w:val="zyTableNAm"/>
            </w:pPr>
            <w:r>
              <w:t> —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pStyle w:val="zyTableNAm"/>
            </w:pPr>
            <w:r>
              <w:t>55B.</w:t>
            </w:r>
          </w:p>
        </w:tc>
        <w:tc>
          <w:tcPr>
            <w:tcW w:w="2268" w:type="dxa"/>
          </w:tcPr>
          <w:p>
            <w:pPr>
              <w:pStyle w:val="zyTableNAm"/>
            </w:pPr>
            <w:r>
              <w:t>Regulation 170A(3)</w:t>
            </w:r>
          </w:p>
        </w:tc>
        <w:tc>
          <w:tcPr>
            <w:tcW w:w="1843" w:type="dxa"/>
          </w:tcPr>
          <w:p>
            <w:pPr>
              <w:pStyle w:val="zyTableNAm"/>
            </w:pPr>
            <w:r>
              <w:t>300</w:t>
            </w:r>
          </w:p>
        </w:tc>
        <w:tc>
          <w:tcPr>
            <w:tcW w:w="1843" w:type="dxa"/>
          </w:tcPr>
          <w:p>
            <w:pPr>
              <w:pStyle w:val="zyTableNAm"/>
            </w:pPr>
            <w:r>
              <w:t>1 500</w:t>
            </w:r>
          </w:p>
        </w:tc>
      </w:tr>
    </w:tbl>
    <w:p>
      <w:pPr>
        <w:pStyle w:val="BlankClose"/>
        <w:rPr>
          <w:rStyle w:val="DraftersNotes"/>
        </w:rPr>
      </w:pPr>
    </w:p>
    <w:p>
      <w:pPr>
        <w:pStyle w:val="SectAltNote"/>
      </w:pPr>
      <w:r>
        <w:tab/>
        <w:t>Note: The heading to regulation 156A is to read:</w:t>
      </w:r>
    </w:p>
    <w:p>
      <w:pPr>
        <w:pStyle w:val="SectAltHeading"/>
        <w:rPr>
          <w:rStyle w:val="DraftersNotes"/>
          <w:b/>
          <w:i w:val="0"/>
          <w:sz w:val="18"/>
        </w:rPr>
      </w:pPr>
      <w:r>
        <w:tab/>
      </w:r>
      <w:r>
        <w:tab/>
        <w:t>Prime contractor’s duties: retention of documents</w:t>
      </w:r>
    </w:p>
    <w:p>
      <w:pPr>
        <w:pStyle w:val="Heading2"/>
      </w:pPr>
      <w:bookmarkStart w:id="41" w:name="_Toc184909817"/>
      <w:bookmarkStart w:id="42" w:name="_Toc184909868"/>
      <w:bookmarkStart w:id="43" w:name="_Toc184909958"/>
      <w:bookmarkStart w:id="44" w:name="_Toc185340679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Dangerous Goods Safety (Storage and Handling of Non</w:t>
      </w:r>
      <w:r>
        <w:rPr>
          <w:rStyle w:val="CharPartText"/>
          <w:i/>
          <w:iCs/>
        </w:rPr>
        <w:noBreakHyphen/>
        <w:t>explosives) Regulations 2007</w:t>
      </w:r>
      <w:r>
        <w:rPr>
          <w:rStyle w:val="CharPartText"/>
        </w:rPr>
        <w:t xml:space="preserve"> amended</w:t>
      </w:r>
      <w:bookmarkEnd w:id="41"/>
      <w:bookmarkEnd w:id="42"/>
      <w:bookmarkEnd w:id="43"/>
      <w:bookmarkEnd w:id="44"/>
    </w:p>
    <w:p>
      <w:pPr>
        <w:pStyle w:val="Heading5"/>
      </w:pPr>
      <w:bookmarkStart w:id="45" w:name="_Toc184909818"/>
      <w:bookmarkStart w:id="46" w:name="_Toc185340680"/>
      <w:r>
        <w:rPr>
          <w:rStyle w:val="CharSectno"/>
        </w:rPr>
        <w:t>13</w:t>
      </w:r>
      <w:r>
        <w:t>.</w:t>
      </w:r>
      <w:r>
        <w:tab/>
        <w:t>Regulations amended</w:t>
      </w:r>
      <w:bookmarkEnd w:id="45"/>
      <w:bookmarkEnd w:id="4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Dangerous Goods Safety (Storage and Handling of Non</w:t>
      </w:r>
      <w:r>
        <w:rPr>
          <w:i/>
        </w:rPr>
        <w:noBreakHyphen/>
        <w:t>explosives) Regulations 2007</w:t>
      </w:r>
      <w:r>
        <w:t>.</w:t>
      </w:r>
    </w:p>
    <w:p>
      <w:pPr>
        <w:pStyle w:val="Heading5"/>
      </w:pPr>
      <w:bookmarkStart w:id="47" w:name="_Toc184909819"/>
      <w:bookmarkStart w:id="48" w:name="_Toc185340681"/>
      <w:r>
        <w:rPr>
          <w:rStyle w:val="CharSectno"/>
        </w:rPr>
        <w:t>14</w:t>
      </w:r>
      <w:r>
        <w:t>.</w:t>
      </w:r>
      <w:r>
        <w:tab/>
        <w:t>Regulation 4 amended</w:t>
      </w:r>
      <w:bookmarkEnd w:id="47"/>
      <w:bookmarkEnd w:id="48"/>
    </w:p>
    <w:p>
      <w:pPr>
        <w:pStyle w:val="Subsection"/>
      </w:pPr>
      <w:r>
        <w:tab/>
        <w:t>(1)</w:t>
      </w:r>
      <w:r>
        <w:tab/>
        <w:t xml:space="preserve">In regulation 4 delete the definition of </w:t>
      </w:r>
      <w:r>
        <w:rPr>
          <w:b/>
          <w:i/>
        </w:rPr>
        <w:t>IMDG Code</w:t>
      </w:r>
      <w:r>
        <w:t>.</w:t>
      </w:r>
    </w:p>
    <w:p>
      <w:pPr>
        <w:pStyle w:val="Subsection"/>
      </w:pPr>
      <w:r>
        <w:tab/>
        <w:t>(2)</w:t>
      </w:r>
      <w:r>
        <w:tab/>
        <w:t>In regulation 4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IMDG Code</w:t>
      </w:r>
      <w:r>
        <w:t xml:space="preserve"> means the </w:t>
      </w:r>
      <w:r>
        <w:rPr>
          <w:i/>
          <w:iCs/>
        </w:rPr>
        <w:t>IMDG Code: International Maritime Dangerous Goods Code</w:t>
      </w:r>
      <w:r>
        <w:t xml:space="preserve"> published by the International Maritime Organization;</w:t>
      </w:r>
    </w:p>
    <w:p>
      <w:pPr>
        <w:pStyle w:val="BlankClose"/>
        <w:rPr>
          <w:rStyle w:val="DraftersNotes"/>
        </w:rPr>
      </w:pPr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  <w:t>(3)</w:t>
      </w:r>
      <w:r>
        <w:tab/>
        <w:t xml:space="preserve">In regulation 4 in the definition of </w:t>
      </w:r>
      <w:r>
        <w:rPr>
          <w:b/>
          <w:i/>
        </w:rPr>
        <w:t>combustible liquid</w:t>
      </w:r>
      <w:r>
        <w:t xml:space="preserve"> paragraph (b) delete “1940:2017,”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1940,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 xml:space="preserve">In regulation 4 in the definition of </w:t>
      </w:r>
      <w:r>
        <w:rPr>
          <w:b/>
          <w:i/>
        </w:rPr>
        <w:t>UN Number</w:t>
      </w:r>
      <w:r>
        <w:t xml:space="preserve"> delete “Chapter 3.2.3 Column”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section 3.2.3 Table 3.2.3 column</w:t>
      </w:r>
    </w:p>
    <w:p>
      <w:pPr>
        <w:pStyle w:val="BlankClose"/>
      </w:pPr>
    </w:p>
    <w:p>
      <w:pPr>
        <w:pStyle w:val="Heading5"/>
      </w:pPr>
      <w:bookmarkStart w:id="49" w:name="_Toc184909820"/>
      <w:bookmarkStart w:id="50" w:name="_Toc185340682"/>
      <w:r>
        <w:rPr>
          <w:rStyle w:val="CharSectno"/>
        </w:rPr>
        <w:t>15</w:t>
      </w:r>
      <w:r>
        <w:t>.</w:t>
      </w:r>
      <w:r>
        <w:tab/>
        <w:t>Regulation 9 amended</w:t>
      </w:r>
      <w:bookmarkEnd w:id="49"/>
      <w:bookmarkEnd w:id="50"/>
    </w:p>
    <w:p>
      <w:pPr>
        <w:pStyle w:val="Subsection"/>
        <w:keepNext/>
      </w:pPr>
      <w:r>
        <w:tab/>
      </w:r>
      <w:r>
        <w:tab/>
        <w:t>In regulation 9(2)(a) delete “Chapter 3.2.3 Column”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section 3.2.3 Table 3.2.3 column</w:t>
      </w:r>
    </w:p>
    <w:p>
      <w:pPr>
        <w:pStyle w:val="BlankClose"/>
      </w:pPr>
    </w:p>
    <w:p>
      <w:pPr>
        <w:pStyle w:val="Heading5"/>
      </w:pPr>
      <w:bookmarkStart w:id="51" w:name="_Toc184909821"/>
      <w:bookmarkStart w:id="52" w:name="_Toc185340683"/>
      <w:r>
        <w:rPr>
          <w:rStyle w:val="CharSectno"/>
        </w:rPr>
        <w:lastRenderedPageBreak/>
        <w:t>16</w:t>
      </w:r>
      <w:r>
        <w:t>.</w:t>
      </w:r>
      <w:r>
        <w:tab/>
        <w:t>Regulation 10 amended</w:t>
      </w:r>
      <w:bookmarkEnd w:id="51"/>
      <w:bookmarkEnd w:id="52"/>
    </w:p>
    <w:p>
      <w:pPr>
        <w:pStyle w:val="Subsection"/>
      </w:pPr>
      <w:r>
        <w:tab/>
      </w:r>
      <w:r>
        <w:tab/>
        <w:t>In regulation 10(2)(a) delete “Chapter 3.2.3 Column”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section 3.2.3 Table 3.2.3 column</w:t>
      </w:r>
    </w:p>
    <w:p>
      <w:pPr>
        <w:pStyle w:val="BlankClose"/>
      </w:pPr>
    </w:p>
    <w:p>
      <w:pPr>
        <w:pStyle w:val="Heading5"/>
      </w:pPr>
      <w:bookmarkStart w:id="53" w:name="_Toc184909822"/>
      <w:bookmarkStart w:id="54" w:name="_Toc185340684"/>
      <w:r>
        <w:rPr>
          <w:rStyle w:val="CharSectno"/>
        </w:rPr>
        <w:t>17</w:t>
      </w:r>
      <w:r>
        <w:t>.</w:t>
      </w:r>
      <w:r>
        <w:tab/>
        <w:t>Schedule 4 amended</w:t>
      </w:r>
      <w:bookmarkEnd w:id="53"/>
      <w:bookmarkEnd w:id="54"/>
    </w:p>
    <w:p>
      <w:pPr>
        <w:pStyle w:val="Subsection"/>
      </w:pPr>
      <w:r>
        <w:tab/>
      </w:r>
      <w:r>
        <w:tab/>
        <w:t>In Schedule 4 in clause 2(3) delete “</w:t>
      </w:r>
      <w:r>
        <w:rPr>
          <w:sz w:val="22"/>
        </w:rPr>
        <w:t>2700S</w:t>
      </w:r>
      <w:r>
        <w:rPr>
          <w:sz w:val="22"/>
        </w:rPr>
        <w:noBreakHyphen/>
        <w:t>1996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2700S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44740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07AEEA2" w14:textId="0A02F801" w:rsidR="00C84BD0" w:rsidRDefault="00C84BD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850F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7217FC4" w14:textId="77777777" w:rsidR="00C84BD0" w:rsidRDefault="00C84BD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B2F3D8D" w14:textId="3EB0D6D3" w:rsidR="00C84BD0" w:rsidRDefault="00C84BD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850F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5903CE" w14:textId="77777777" w:rsidR="00C84BD0" w:rsidRDefault="00C84BD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Dangerous Goods Safety Regulations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Dangerous Goods Safety Regulations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Dangerous Goods Safety Regulations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Dangerous Goods Safety Regulations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5" w:name="Coversheet"/>
    <w:bookmarkEnd w:id="5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22"/>
  </w:num>
  <w:num w:numId="5">
    <w:abstractNumId w:val="18"/>
  </w:num>
  <w:num w:numId="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215292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151434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15143453_GUID" w:val="7151e99f-a036-49d5-9ff8-fd729b13e8b2"/>
    <w:docVar w:name="WAFER_202411080929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08092929_GUID" w:val="febf0fcd-1e33-4e6f-bcef-0a47a4b27b7c"/>
    <w:docVar w:name="WAFER_202411111501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11150138_GUID" w:val="20daec6a-1bc6-43e0-b9d9-e57e8d21ad48"/>
    <w:docVar w:name="WAFER_202412121529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2152929_GUID" w:val="2dba2eb4-5da7-4cf2-b278-33650fdfffb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  <w15:docId w15:val="{F5FB319F-96B2-4FBA-A90C-1B772659B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1685</Words>
  <Characters>8998</Characters>
  <Application>Microsoft Office Word</Application>
  <DocSecurity>0</DocSecurity>
  <Lines>391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Dangerous Goods Safety Regulations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2025-07-04T06:33:00Z</dcterms:created>
  <dcterms:modified xsi:type="dcterms:W3CDTF">2025-07-04T06:33:00Z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54867</vt:lpwstr>
  </property>
  <property fmtid="{D5CDD505-2E9C-101B-9397-08002B2CF9AE}" pid="3" name="DocumentType">
    <vt:lpwstr>Reg</vt:lpwstr>
  </property>
  <property fmtid="{D5CDD505-2E9C-101B-9397-08002B2CF9AE}" pid="4" name="AsAtDate">
    <vt:lpwstr>18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2024/285</vt:lpwstr>
  </property>
  <property fmtid="{D5CDD505-2E9C-101B-9397-08002B2CF9AE}" pid="8" name="PublishDate">
    <vt:lpwstr>18 Dec 2024</vt:lpwstr>
  </property>
  <property fmtid="{D5CDD505-2E9C-101B-9397-08002B2CF9AE}" pid="9" name="CommencementDate">
    <vt:lpwstr>20241218</vt:lpwstr>
  </property>
  <property fmtid="{D5CDD505-2E9C-101B-9397-08002B2CF9AE}" pid="10" name="CommencementAsAt">
    <vt:filetime>2024-12-17T16:00:00Z</vt:filetime>
  </property>
  <property fmtid="{D5CDD505-2E9C-101B-9397-08002B2CF9AE}" pid="11" name="CommencementYear">
    <vt:lpwstr>2024</vt:lpwstr>
  </property>
</Properties>
</file>