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Transport (Road Passenger Services) Amendment Regulations (No. 2)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Amendment Regulations (No. 2)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_Toc185340711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_Toc185340712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_Toc185340713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_Toc185340714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10 amended</w:t>
      </w:r>
      <w:r>
        <w:tab/>
      </w:r>
      <w:r>
        <w:fldChar w:fldCharType="begin"/>
      </w:r>
      <w:r>
        <w:instrText xml:space="preserve"> PAGEREF _Toc185340715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 18 amended</w:t>
      </w:r>
      <w:r>
        <w:tab/>
      </w:r>
      <w:r>
        <w:fldChar w:fldCharType="begin"/>
      </w:r>
      <w:r>
        <w:instrText xml:space="preserve"> PAGEREF _Toc185340716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30 amended</w:t>
      </w:r>
      <w:r>
        <w:tab/>
      </w:r>
      <w:r>
        <w:fldChar w:fldCharType="begin"/>
      </w:r>
      <w:r>
        <w:instrText xml:space="preserve"> PAGEREF _Toc185340717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31 amended</w:t>
      </w:r>
      <w:r>
        <w:tab/>
      </w:r>
      <w:r>
        <w:fldChar w:fldCharType="begin"/>
      </w:r>
      <w:r>
        <w:instrText xml:space="preserve"> PAGEREF _Toc185340718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35 amended</w:t>
      </w:r>
      <w:r>
        <w:tab/>
      </w:r>
      <w:r>
        <w:fldChar w:fldCharType="begin"/>
      </w:r>
      <w:r>
        <w:instrText xml:space="preserve"> PAGEREF _Toc185340719 \h </w:instrText>
      </w:r>
      <w:r>
        <w:fldChar w:fldCharType="separate"/>
      </w:r>
      <w:r>
        <w:t>3</w:t>
      </w:r>
      <w:r>
        <w:fldChar w:fldCharType="end"/>
      </w:r>
    </w:p>
    <w:p>
      <w:pPr>
        <w:pStyle w:val="TOC8"/>
        <w:rPr>
          <w:rFonts w:asciiTheme="minorHAnsi" w:eastAsiaTheme="minorEastAsia" w:hAnsiTheme="minorHAnsi" w:cstheme="minorBidi"/>
          <w:szCs w:val="22"/>
        </w:rPr>
      </w:pPr>
      <w:r>
        <w:t>10.</w:t>
      </w:r>
      <w:r>
        <w:tab/>
        <w:t>Regulation 61 amended</w:t>
      </w:r>
      <w:r>
        <w:tab/>
      </w:r>
      <w:r>
        <w:fldChar w:fldCharType="begin"/>
      </w:r>
      <w:r>
        <w:instrText xml:space="preserve"> PAGEREF _Toc185340720 \h </w:instrText>
      </w:r>
      <w:r>
        <w:fldChar w:fldCharType="separate"/>
      </w:r>
      <w:r>
        <w:t>3</w:t>
      </w:r>
      <w:r>
        <w:fldChar w:fldCharType="end"/>
      </w:r>
    </w:p>
    <w:p>
      <w:pPr>
        <w:pStyle w:val="TOC8"/>
        <w:rPr>
          <w:rFonts w:asciiTheme="minorHAnsi" w:eastAsiaTheme="minorEastAsia" w:hAnsiTheme="minorHAnsi" w:cstheme="minorBidi"/>
          <w:szCs w:val="22"/>
        </w:rPr>
      </w:pPr>
      <w:r>
        <w:t>11.</w:t>
      </w:r>
      <w:r>
        <w:tab/>
        <w:t>Regulation 64 amended</w:t>
      </w:r>
      <w:r>
        <w:tab/>
      </w:r>
      <w:r>
        <w:fldChar w:fldCharType="begin"/>
      </w:r>
      <w:r>
        <w:instrText xml:space="preserve"> PAGEREF _Toc185340721 \h </w:instrText>
      </w:r>
      <w:r>
        <w:fldChar w:fldCharType="separate"/>
      </w:r>
      <w:r>
        <w:t>4</w:t>
      </w:r>
      <w:r>
        <w:fldChar w:fldCharType="end"/>
      </w:r>
    </w:p>
    <w:p>
      <w:pPr>
        <w:pStyle w:val="TOC8"/>
        <w:rPr>
          <w:rFonts w:asciiTheme="minorHAnsi" w:eastAsiaTheme="minorEastAsia" w:hAnsiTheme="minorHAnsi" w:cstheme="minorBidi"/>
          <w:szCs w:val="22"/>
        </w:rPr>
      </w:pPr>
      <w:r>
        <w:t>12.</w:t>
      </w:r>
      <w:r>
        <w:tab/>
        <w:t>Regulation 76 amended</w:t>
      </w:r>
      <w:r>
        <w:tab/>
      </w:r>
      <w:r>
        <w:fldChar w:fldCharType="begin"/>
      </w:r>
      <w:r>
        <w:instrText xml:space="preserve"> PAGEREF _Toc185340722 \h </w:instrText>
      </w:r>
      <w:r>
        <w:fldChar w:fldCharType="separate"/>
      </w:r>
      <w:r>
        <w:t>4</w:t>
      </w:r>
      <w:r>
        <w:fldChar w:fldCharType="end"/>
      </w:r>
    </w:p>
    <w:p>
      <w:pPr>
        <w:pStyle w:val="TOC8"/>
        <w:rPr>
          <w:rFonts w:asciiTheme="minorHAnsi" w:eastAsiaTheme="minorEastAsia" w:hAnsiTheme="minorHAnsi" w:cstheme="minorBidi"/>
          <w:szCs w:val="22"/>
        </w:rPr>
      </w:pPr>
      <w:r>
        <w:t>13.</w:t>
      </w:r>
      <w:r>
        <w:tab/>
        <w:t>Regulation 131 amended</w:t>
      </w:r>
      <w:r>
        <w:tab/>
      </w:r>
      <w:r>
        <w:fldChar w:fldCharType="begin"/>
      </w:r>
      <w:r>
        <w:instrText xml:space="preserve"> PAGEREF _Toc185340723 \h </w:instrText>
      </w:r>
      <w:r>
        <w:fldChar w:fldCharType="separate"/>
      </w:r>
      <w:r>
        <w:t>5</w:t>
      </w:r>
      <w:r>
        <w:fldChar w:fldCharType="end"/>
      </w:r>
    </w:p>
    <w:p>
      <w:pPr>
        <w:pStyle w:val="TOC8"/>
        <w:rPr>
          <w:rFonts w:asciiTheme="minorHAnsi" w:eastAsiaTheme="minorEastAsia" w:hAnsiTheme="minorHAnsi" w:cstheme="minorBidi"/>
          <w:szCs w:val="22"/>
        </w:rPr>
      </w:pPr>
      <w:r>
        <w:t>14.</w:t>
      </w:r>
      <w:r>
        <w:tab/>
        <w:t>Regulation 133 amended</w:t>
      </w:r>
      <w:r>
        <w:tab/>
      </w:r>
      <w:r>
        <w:fldChar w:fldCharType="begin"/>
      </w:r>
      <w:r>
        <w:instrText xml:space="preserve"> PAGEREF _Toc185340724 \h </w:instrText>
      </w:r>
      <w:r>
        <w:fldChar w:fldCharType="separate"/>
      </w:r>
      <w:r>
        <w:t>5</w:t>
      </w:r>
      <w:r>
        <w:fldChar w:fldCharType="end"/>
      </w:r>
    </w:p>
    <w:p>
      <w:pPr>
        <w:pStyle w:val="TOC8"/>
        <w:rPr>
          <w:rFonts w:asciiTheme="minorHAnsi" w:eastAsiaTheme="minorEastAsia" w:hAnsiTheme="minorHAnsi" w:cstheme="minorBidi"/>
          <w:szCs w:val="22"/>
        </w:rPr>
      </w:pPr>
      <w:r>
        <w:t>15.</w:t>
      </w:r>
      <w:r>
        <w:tab/>
        <w:t>Regulation 145 amended</w:t>
      </w:r>
      <w:r>
        <w:tab/>
      </w:r>
      <w:r>
        <w:fldChar w:fldCharType="begin"/>
      </w:r>
      <w:r>
        <w:instrText xml:space="preserve"> PAGEREF _Toc185340725 \h </w:instrText>
      </w:r>
      <w:r>
        <w:fldChar w:fldCharType="separate"/>
      </w:r>
      <w:r>
        <w:t>6</w:t>
      </w:r>
      <w:r>
        <w:fldChar w:fldCharType="end"/>
      </w:r>
    </w:p>
    <w:p>
      <w:pPr>
        <w:pStyle w:val="TOC8"/>
        <w:rPr>
          <w:rFonts w:asciiTheme="minorHAnsi" w:eastAsiaTheme="minorEastAsia" w:hAnsiTheme="minorHAnsi" w:cstheme="minorBidi"/>
          <w:szCs w:val="22"/>
        </w:rPr>
      </w:pPr>
      <w:r>
        <w:t>16.</w:t>
      </w:r>
      <w:r>
        <w:tab/>
        <w:t>Regulation 155 amended</w:t>
      </w:r>
      <w:r>
        <w:tab/>
      </w:r>
      <w:r>
        <w:fldChar w:fldCharType="begin"/>
      </w:r>
      <w:r>
        <w:instrText xml:space="preserve"> PAGEREF _Toc185340726 \h </w:instrText>
      </w:r>
      <w:r>
        <w:fldChar w:fldCharType="separate"/>
      </w:r>
      <w:r>
        <w:t>7</w:t>
      </w:r>
      <w:r>
        <w:fldChar w:fldCharType="end"/>
      </w:r>
    </w:p>
    <w:p>
      <w:pPr>
        <w:pStyle w:val="TOC8"/>
        <w:rPr>
          <w:rFonts w:asciiTheme="minorHAnsi" w:eastAsiaTheme="minorEastAsia" w:hAnsiTheme="minorHAnsi" w:cstheme="minorBidi"/>
          <w:szCs w:val="22"/>
        </w:rPr>
      </w:pPr>
      <w:r>
        <w:t>17.</w:t>
      </w:r>
      <w:r>
        <w:tab/>
        <w:t>Part 13 Division 4 inserted</w:t>
      </w:r>
      <w:r>
        <w:tab/>
      </w:r>
      <w:r>
        <w:fldChar w:fldCharType="begin"/>
      </w:r>
      <w:r>
        <w:instrText xml:space="preserve"> PAGEREF _Toc185340727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4 — Transitional provision in relation to the </w:t>
      </w:r>
      <w:r>
        <w:rPr>
          <w:i/>
        </w:rPr>
        <w:t>Transport (Road Passenger Services) Amendment Regulations (No. 2) 2024</w:t>
      </w:r>
    </w:p>
    <w:p>
      <w:pPr>
        <w:pStyle w:val="TOC9"/>
        <w:rPr>
          <w:rFonts w:asciiTheme="minorHAnsi" w:eastAsiaTheme="minorEastAsia" w:hAnsiTheme="minorHAnsi" w:cstheme="minorBidi"/>
          <w:noProof/>
          <w:sz w:val="22"/>
          <w:szCs w:val="22"/>
        </w:rPr>
      </w:pPr>
      <w:r>
        <w:rPr>
          <w:noProof/>
        </w:rPr>
        <w:t>200A.</w:t>
      </w:r>
      <w:r>
        <w:rPr>
          <w:noProof/>
        </w:rPr>
        <w:tab/>
        <w:t>Display of fare schedules</w:t>
      </w:r>
      <w:r>
        <w:rPr>
          <w:noProof/>
        </w:rPr>
        <w:tab/>
      </w:r>
      <w:r>
        <w:rPr>
          <w:noProof/>
        </w:rPr>
        <w:fldChar w:fldCharType="begin"/>
      </w:r>
      <w:r>
        <w:rPr>
          <w:noProof/>
        </w:rPr>
        <w:instrText xml:space="preserve"> PAGEREF _Toc185340729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18.</w:t>
      </w:r>
      <w:r>
        <w:tab/>
        <w:t>Schedule 4 amended</w:t>
      </w:r>
      <w:r>
        <w:tab/>
      </w:r>
      <w:r>
        <w:fldChar w:fldCharType="begin"/>
      </w:r>
      <w:r>
        <w:instrText xml:space="preserve"> PAGEREF _Toc185340730 \h </w:instrText>
      </w:r>
      <w:r>
        <w:fldChar w:fldCharType="separate"/>
      </w:r>
      <w:r>
        <w:t>8</w:t>
      </w:r>
      <w:r>
        <w:fldChar w:fldCharType="end"/>
      </w:r>
    </w:p>
    <w:p>
      <w:pPr>
        <w:pStyle w:val="TOC8"/>
        <w:rPr>
          <w:rFonts w:asciiTheme="minorHAnsi" w:eastAsiaTheme="minorEastAsia" w:hAnsiTheme="minorHAnsi" w:cstheme="minorBidi"/>
          <w:szCs w:val="22"/>
        </w:rPr>
      </w:pPr>
      <w:r>
        <w:t>19.</w:t>
      </w:r>
      <w:r>
        <w:tab/>
        <w:t>Schedule 5 amended</w:t>
      </w:r>
      <w:r>
        <w:tab/>
      </w:r>
      <w:r>
        <w:fldChar w:fldCharType="begin"/>
      </w:r>
      <w:r>
        <w:instrText xml:space="preserve"> PAGEREF _Toc185340731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Amendment Regulations (No. 2) 2024</w:t>
      </w:r>
    </w:p>
    <w:p>
      <w:pPr>
        <w:pStyle w:val="MadeBy"/>
      </w:pPr>
      <w:r>
        <w:t>Made by the Governor in Executive Council.</w:t>
      </w:r>
    </w:p>
    <w:p>
      <w:pPr>
        <w:pStyle w:val="Heading5"/>
      </w:pPr>
      <w:bookmarkStart w:id="2" w:name="_Toc184909499"/>
      <w:bookmarkStart w:id="3" w:name="_Toc185340711"/>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Transport (Road Passenger Services) Amendment Regulations (No. 2) 2024</w:t>
      </w:r>
      <w:r>
        <w:t>.</w:t>
      </w:r>
    </w:p>
    <w:p>
      <w:pPr>
        <w:pStyle w:val="Heading5"/>
        <w:rPr>
          <w:spacing w:val="-2"/>
        </w:rPr>
      </w:pPr>
      <w:bookmarkStart w:id="5" w:name="_Toc184909500"/>
      <w:bookmarkStart w:id="6" w:name="_Toc18534071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184909501"/>
      <w:bookmarkStart w:id="8" w:name="_Toc185340713"/>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Transport (Road Passenger Services) Regulations 2020</w:t>
      </w:r>
      <w:r>
        <w:t>.</w:t>
      </w:r>
    </w:p>
    <w:p>
      <w:pPr>
        <w:pStyle w:val="Heading5"/>
      </w:pPr>
      <w:bookmarkStart w:id="9" w:name="_Toc184909502"/>
      <w:bookmarkStart w:id="10" w:name="_Toc185340714"/>
      <w:r>
        <w:rPr>
          <w:rStyle w:val="CharSectno"/>
        </w:rPr>
        <w:t>4</w:t>
      </w:r>
      <w:r>
        <w:t>.</w:t>
      </w:r>
      <w:r>
        <w:tab/>
        <w:t>Regulation 3 amended</w:t>
      </w:r>
      <w:bookmarkEnd w:id="9"/>
      <w:bookmarkEnd w:id="10"/>
    </w:p>
    <w:p>
      <w:pPr>
        <w:pStyle w:val="Subsection"/>
      </w:pPr>
      <w:r>
        <w:tab/>
        <w:t>(1)</w:t>
      </w:r>
      <w:r>
        <w:tab/>
        <w:t xml:space="preserve">In regulation 3 delete the definition of </w:t>
      </w:r>
      <w:r>
        <w:rPr>
          <w:b/>
          <w:bCs/>
          <w:i/>
          <w:iCs/>
        </w:rPr>
        <w:t>unit of competency TLIC2040</w:t>
      </w:r>
      <w:r>
        <w:t>.</w:t>
      </w:r>
    </w:p>
    <w:p>
      <w:pPr>
        <w:pStyle w:val="Subsection"/>
        <w:keepNext/>
      </w:pPr>
      <w:r>
        <w:tab/>
        <w:t>(2)</w:t>
      </w:r>
      <w:r>
        <w:tab/>
        <w:t>In regulation 3 insert in alphabetical order:</w:t>
      </w:r>
    </w:p>
    <w:p>
      <w:pPr>
        <w:pStyle w:val="BlankOpen"/>
      </w:pPr>
    </w:p>
    <w:p>
      <w:pPr>
        <w:pStyle w:val="zDefstart"/>
      </w:pPr>
      <w:r>
        <w:tab/>
      </w:r>
      <w:r>
        <w:rPr>
          <w:rStyle w:val="CharDefText"/>
        </w:rPr>
        <w:t>AS</w:t>
      </w:r>
      <w:r>
        <w:t>, followed by a designation, means the Australian Standard having that designation that is published by Standards Australia;</w:t>
      </w:r>
    </w:p>
    <w:p>
      <w:pPr>
        <w:pStyle w:val="zDefstart"/>
        <w:keepNext/>
        <w:keepLines/>
      </w:pPr>
      <w:r>
        <w:lastRenderedPageBreak/>
        <w:tab/>
      </w:r>
      <w:r>
        <w:rPr>
          <w:rStyle w:val="CharDefText"/>
        </w:rPr>
        <w:t>unit of competency</w:t>
      </w:r>
      <w:r>
        <w:t xml:space="preserve">, followed by a designation, means the unit of competency having that designation that is published on the National Register (as defined in the </w:t>
      </w:r>
      <w:r>
        <w:rPr>
          <w:i/>
        </w:rPr>
        <w:t>National Vocational Education and Training Regulator Act 2011</w:t>
      </w:r>
      <w:r>
        <w:t xml:space="preserve"> (Commonwealth) section 3);</w:t>
      </w:r>
    </w:p>
    <w:p>
      <w:pPr>
        <w:pStyle w:val="BlankClose"/>
      </w:pPr>
    </w:p>
    <w:p>
      <w:pPr>
        <w:pStyle w:val="Subsection"/>
      </w:pPr>
      <w:r>
        <w:tab/>
        <w:t>(3)</w:t>
      </w:r>
      <w:r>
        <w:tab/>
        <w:t xml:space="preserve">In regulation 3 in the definition of </w:t>
      </w:r>
      <w:r>
        <w:rPr>
          <w:b/>
          <w:i/>
        </w:rPr>
        <w:t>AS/NZS</w:t>
      </w:r>
      <w:r>
        <w:t xml:space="preserve"> delete “Zealand, as at 1 July 2020;” and insert:</w:t>
      </w:r>
    </w:p>
    <w:p>
      <w:pPr>
        <w:pStyle w:val="BlankOpen"/>
      </w:pPr>
    </w:p>
    <w:p>
      <w:pPr>
        <w:pStyle w:val="Subsection"/>
      </w:pPr>
      <w:r>
        <w:tab/>
      </w:r>
      <w:r>
        <w:tab/>
        <w:t>Zealand;</w:t>
      </w:r>
    </w:p>
    <w:p>
      <w:pPr>
        <w:pStyle w:val="BlankClose"/>
      </w:pPr>
    </w:p>
    <w:p>
      <w:pPr>
        <w:pStyle w:val="Heading5"/>
      </w:pPr>
      <w:bookmarkStart w:id="11" w:name="_Toc184909503"/>
      <w:bookmarkStart w:id="12" w:name="_Toc185340715"/>
      <w:r>
        <w:rPr>
          <w:rStyle w:val="CharSectno"/>
        </w:rPr>
        <w:t>5</w:t>
      </w:r>
      <w:r>
        <w:t>.</w:t>
      </w:r>
      <w:r>
        <w:tab/>
        <w:t>Regulation 10 amended</w:t>
      </w:r>
      <w:bookmarkEnd w:id="11"/>
      <w:bookmarkEnd w:id="12"/>
    </w:p>
    <w:p>
      <w:pPr>
        <w:pStyle w:val="Subsection"/>
      </w:pPr>
      <w:r>
        <w:tab/>
      </w:r>
      <w:r>
        <w:tab/>
        <w:t>In regulation 10(1) delete “72” and insert:</w:t>
      </w:r>
    </w:p>
    <w:p>
      <w:pPr>
        <w:pStyle w:val="BlankOpen"/>
      </w:pPr>
    </w:p>
    <w:p>
      <w:pPr>
        <w:pStyle w:val="Subsection"/>
      </w:pPr>
      <w:r>
        <w:tab/>
      </w:r>
      <w:r>
        <w:tab/>
        <w:t>88</w:t>
      </w:r>
    </w:p>
    <w:p>
      <w:pPr>
        <w:pStyle w:val="BlankClose"/>
      </w:pPr>
    </w:p>
    <w:p>
      <w:pPr>
        <w:pStyle w:val="Heading5"/>
      </w:pPr>
      <w:bookmarkStart w:id="13" w:name="_Toc184909504"/>
      <w:bookmarkStart w:id="14" w:name="_Toc185340716"/>
      <w:r>
        <w:rPr>
          <w:rStyle w:val="CharSectno"/>
        </w:rPr>
        <w:t>6</w:t>
      </w:r>
      <w:r>
        <w:t>.</w:t>
      </w:r>
      <w:r>
        <w:tab/>
        <w:t>Regulation 18 amended</w:t>
      </w:r>
      <w:bookmarkEnd w:id="13"/>
      <w:bookmarkEnd w:id="14"/>
    </w:p>
    <w:p>
      <w:pPr>
        <w:pStyle w:val="Subsection"/>
      </w:pPr>
      <w:r>
        <w:tab/>
      </w:r>
      <w:r>
        <w:tab/>
        <w:t>In regulation 18(1)(a):</w:t>
      </w:r>
    </w:p>
    <w:p>
      <w:pPr>
        <w:pStyle w:val="Indenta"/>
      </w:pPr>
      <w:r>
        <w:tab/>
        <w:t>(a)</w:t>
      </w:r>
      <w:r>
        <w:tab/>
        <w:t>in subparagraph (i) delete “AS/NZS 3856.1:1998,” and insert:</w:t>
      </w:r>
    </w:p>
    <w:p>
      <w:pPr>
        <w:pStyle w:val="BlankOpen"/>
      </w:pPr>
    </w:p>
    <w:p>
      <w:pPr>
        <w:pStyle w:val="Indenta"/>
      </w:pPr>
      <w:r>
        <w:tab/>
      </w:r>
      <w:r>
        <w:tab/>
        <w:t>AS 3856.1:2021,</w:t>
      </w:r>
    </w:p>
    <w:p>
      <w:pPr>
        <w:pStyle w:val="BlankClose"/>
      </w:pPr>
    </w:p>
    <w:p>
      <w:pPr>
        <w:pStyle w:val="Indenta"/>
        <w:keepNext/>
      </w:pPr>
      <w:r>
        <w:tab/>
        <w:t>(b)</w:t>
      </w:r>
      <w:r>
        <w:tab/>
        <w:t>delete subparagraph (ii) and insert:</w:t>
      </w:r>
    </w:p>
    <w:p>
      <w:pPr>
        <w:pStyle w:val="BlankOpen"/>
      </w:pPr>
    </w:p>
    <w:p>
      <w:pPr>
        <w:pStyle w:val="zIndenti"/>
      </w:pPr>
      <w:r>
        <w:tab/>
        <w:t>(ii)</w:t>
      </w:r>
      <w:r>
        <w:tab/>
        <w:t>AS 3856.2:2021, Hoists and ramps for people with disabilities — Vehicle fitted, Part 2: Fitting requirements;</w:t>
      </w:r>
    </w:p>
    <w:p>
      <w:pPr>
        <w:pStyle w:val="BlankClose"/>
      </w:pPr>
    </w:p>
    <w:p>
      <w:pPr>
        <w:pStyle w:val="Heading5"/>
      </w:pPr>
      <w:bookmarkStart w:id="15" w:name="_Toc184909505"/>
      <w:bookmarkStart w:id="16" w:name="_Toc185340717"/>
      <w:r>
        <w:rPr>
          <w:rStyle w:val="CharSectno"/>
        </w:rPr>
        <w:lastRenderedPageBreak/>
        <w:t>7</w:t>
      </w:r>
      <w:r>
        <w:t>.</w:t>
      </w:r>
      <w:r>
        <w:tab/>
        <w:t>Regulation 30 amended</w:t>
      </w:r>
      <w:bookmarkEnd w:id="15"/>
      <w:bookmarkEnd w:id="16"/>
    </w:p>
    <w:p>
      <w:pPr>
        <w:pStyle w:val="Subsection"/>
      </w:pPr>
      <w:r>
        <w:tab/>
      </w:r>
      <w:r>
        <w:tab/>
        <w:t>Delete regulation 30(1) and insert:</w:t>
      </w:r>
    </w:p>
    <w:p>
      <w:pPr>
        <w:pStyle w:val="BlankOpen"/>
      </w:pPr>
    </w:p>
    <w:p>
      <w:pPr>
        <w:pStyle w:val="zSubsection"/>
      </w:pPr>
      <w:r>
        <w:tab/>
        <w:t>(1)</w:t>
      </w:r>
      <w:r>
        <w:tab/>
        <w:t>The driver identity document of the driver of an on</w:t>
      </w:r>
      <w:r>
        <w:noBreakHyphen/>
        <w:t>demand rank or hail vehicle must be displayed prominently in the vehicle.</w:t>
      </w:r>
    </w:p>
    <w:p>
      <w:pPr>
        <w:pStyle w:val="BlankClose"/>
      </w:pPr>
    </w:p>
    <w:p>
      <w:pPr>
        <w:pStyle w:val="Heading5"/>
      </w:pPr>
      <w:bookmarkStart w:id="17" w:name="_Toc184909506"/>
      <w:bookmarkStart w:id="18" w:name="_Toc185340718"/>
      <w:r>
        <w:rPr>
          <w:rStyle w:val="CharSectno"/>
        </w:rPr>
        <w:t>8</w:t>
      </w:r>
      <w:r>
        <w:t>.</w:t>
      </w:r>
      <w:r>
        <w:tab/>
        <w:t>Regulation 31 amended</w:t>
      </w:r>
      <w:bookmarkEnd w:id="17"/>
      <w:bookmarkEnd w:id="18"/>
    </w:p>
    <w:p>
      <w:pPr>
        <w:pStyle w:val="Subsection"/>
      </w:pPr>
      <w:r>
        <w:tab/>
        <w:t>(1)</w:t>
      </w:r>
      <w:r>
        <w:tab/>
        <w:t>Delete regulation 31(2)(b)(ii) and insert:</w:t>
      </w:r>
    </w:p>
    <w:p>
      <w:pPr>
        <w:pStyle w:val="BlankOpen"/>
      </w:pPr>
    </w:p>
    <w:p>
      <w:pPr>
        <w:pStyle w:val="zIndenti"/>
      </w:pPr>
      <w:r>
        <w:tab/>
        <w:t>(ii)</w:t>
      </w:r>
      <w:r>
        <w:tab/>
        <w:t>prominently in the vehicle.</w:t>
      </w:r>
    </w:p>
    <w:p>
      <w:pPr>
        <w:pStyle w:val="BlankClose"/>
      </w:pPr>
    </w:p>
    <w:p>
      <w:pPr>
        <w:pStyle w:val="Subsection"/>
      </w:pPr>
      <w:r>
        <w:tab/>
        <w:t>(2)</w:t>
      </w:r>
      <w:r>
        <w:tab/>
        <w:t>Delete regulation 31(4)(b)(ii) and insert:</w:t>
      </w:r>
    </w:p>
    <w:p>
      <w:pPr>
        <w:pStyle w:val="BlankOpen"/>
      </w:pPr>
    </w:p>
    <w:p>
      <w:pPr>
        <w:pStyle w:val="zIndenti"/>
      </w:pPr>
      <w:r>
        <w:tab/>
        <w:t>(ii)</w:t>
      </w:r>
      <w:r>
        <w:tab/>
        <w:t>prominently in the vehicle.</w:t>
      </w:r>
    </w:p>
    <w:p>
      <w:pPr>
        <w:pStyle w:val="BlankClose"/>
      </w:pPr>
    </w:p>
    <w:p>
      <w:pPr>
        <w:pStyle w:val="Heading5"/>
      </w:pPr>
      <w:bookmarkStart w:id="19" w:name="_Toc184909507"/>
      <w:bookmarkStart w:id="20" w:name="_Toc185340719"/>
      <w:r>
        <w:rPr>
          <w:rStyle w:val="CharSectno"/>
        </w:rPr>
        <w:t>9</w:t>
      </w:r>
      <w:r>
        <w:t>.</w:t>
      </w:r>
      <w:r>
        <w:tab/>
        <w:t>Regulation 35 amended</w:t>
      </w:r>
      <w:bookmarkEnd w:id="19"/>
      <w:bookmarkEnd w:id="20"/>
    </w:p>
    <w:p>
      <w:pPr>
        <w:pStyle w:val="Subsection"/>
      </w:pPr>
      <w:r>
        <w:tab/>
      </w:r>
      <w:r>
        <w:tab/>
        <w:t>In regulation 35(2) delete “TLIC2040 —” and insert:</w:t>
      </w:r>
    </w:p>
    <w:p>
      <w:pPr>
        <w:pStyle w:val="BlankOpen"/>
      </w:pPr>
    </w:p>
    <w:p>
      <w:pPr>
        <w:pStyle w:val="Subsection"/>
      </w:pPr>
      <w:r>
        <w:tab/>
      </w:r>
      <w:r>
        <w:tab/>
        <w:t>TLIC0026 — Provide wheelchair accessible taxi services to passengers with disabilities (Release 1) —</w:t>
      </w:r>
    </w:p>
    <w:p>
      <w:pPr>
        <w:pStyle w:val="BlankClose"/>
      </w:pPr>
    </w:p>
    <w:p>
      <w:pPr>
        <w:pStyle w:val="Heading5"/>
      </w:pPr>
      <w:bookmarkStart w:id="21" w:name="_Toc184909508"/>
      <w:bookmarkStart w:id="22" w:name="_Toc185340720"/>
      <w:r>
        <w:rPr>
          <w:rStyle w:val="CharSectno"/>
        </w:rPr>
        <w:t>10</w:t>
      </w:r>
      <w:r>
        <w:t>.</w:t>
      </w:r>
      <w:r>
        <w:tab/>
        <w:t>Regulation 61 amended</w:t>
      </w:r>
      <w:bookmarkEnd w:id="21"/>
      <w:bookmarkEnd w:id="22"/>
    </w:p>
    <w:p>
      <w:pPr>
        <w:pStyle w:val="Subsection"/>
      </w:pPr>
      <w:r>
        <w:tab/>
        <w:t>(1)</w:t>
      </w:r>
      <w:r>
        <w:tab/>
        <w:t>Delete regulation 61(1)(c) and insert:</w:t>
      </w:r>
    </w:p>
    <w:p>
      <w:pPr>
        <w:pStyle w:val="BlankOpen"/>
      </w:pPr>
    </w:p>
    <w:p>
      <w:pPr>
        <w:pStyle w:val="zIndenta"/>
      </w:pPr>
      <w:r>
        <w:tab/>
        <w:t>(c)</w:t>
      </w:r>
      <w:r>
        <w:tab/>
        <w:t>a business name used by the provider in connection with the provision of the on</w:t>
      </w:r>
      <w:r>
        <w:noBreakHyphen/>
        <w:t>demand booking service.</w:t>
      </w:r>
    </w:p>
    <w:p>
      <w:pPr>
        <w:pStyle w:val="BlankClose"/>
      </w:pPr>
    </w:p>
    <w:p>
      <w:pPr>
        <w:pStyle w:val="Subsection"/>
      </w:pPr>
      <w:r>
        <w:lastRenderedPageBreak/>
        <w:tab/>
        <w:t>(2)</w:t>
      </w:r>
      <w:r>
        <w:tab/>
        <w:t>Delete regulation 61(2)(b)(iii) and insert:</w:t>
      </w:r>
    </w:p>
    <w:p>
      <w:pPr>
        <w:pStyle w:val="BlankOpen"/>
      </w:pPr>
    </w:p>
    <w:p>
      <w:pPr>
        <w:pStyle w:val="zIndenti"/>
      </w:pPr>
      <w:r>
        <w:tab/>
        <w:t>(iii)</w:t>
      </w:r>
      <w:r>
        <w:tab/>
        <w:t>a business name used by the provider of the principal booking service in connection with the provision of the principal booking service.</w:t>
      </w:r>
    </w:p>
    <w:p>
      <w:pPr>
        <w:pStyle w:val="BlankClose"/>
      </w:pPr>
    </w:p>
    <w:p>
      <w:pPr>
        <w:pStyle w:val="Heading5"/>
      </w:pPr>
      <w:bookmarkStart w:id="23" w:name="_Toc184909509"/>
      <w:bookmarkStart w:id="24" w:name="_Toc185340721"/>
      <w:r>
        <w:rPr>
          <w:rStyle w:val="CharSectno"/>
        </w:rPr>
        <w:t>11</w:t>
      </w:r>
      <w:r>
        <w:t>.</w:t>
      </w:r>
      <w:r>
        <w:tab/>
        <w:t>Regulation 64 amended</w:t>
      </w:r>
      <w:bookmarkEnd w:id="23"/>
      <w:bookmarkEnd w:id="24"/>
    </w:p>
    <w:p>
      <w:pPr>
        <w:pStyle w:val="Subsection"/>
      </w:pPr>
      <w:r>
        <w:tab/>
      </w:r>
      <w:r>
        <w:tab/>
        <w:t>In regulation 64(b) delete “any trading name or” and insert:</w:t>
      </w:r>
    </w:p>
    <w:p>
      <w:pPr>
        <w:pStyle w:val="BlankOpen"/>
      </w:pPr>
    </w:p>
    <w:p>
      <w:pPr>
        <w:pStyle w:val="Subsection"/>
      </w:pPr>
      <w:r>
        <w:tab/>
      </w:r>
      <w:r>
        <w:tab/>
        <w:t>each</w:t>
      </w:r>
    </w:p>
    <w:p>
      <w:pPr>
        <w:pStyle w:val="BlankClose"/>
      </w:pPr>
    </w:p>
    <w:p>
      <w:pPr>
        <w:pStyle w:val="Heading5"/>
      </w:pPr>
      <w:bookmarkStart w:id="25" w:name="_Toc184909510"/>
      <w:bookmarkStart w:id="26" w:name="_Toc185340722"/>
      <w:r>
        <w:rPr>
          <w:rStyle w:val="CharSectno"/>
        </w:rPr>
        <w:t>12</w:t>
      </w:r>
      <w:r>
        <w:t>.</w:t>
      </w:r>
      <w:r>
        <w:tab/>
        <w:t>Regulation 76 amended</w:t>
      </w:r>
      <w:bookmarkEnd w:id="25"/>
      <w:bookmarkEnd w:id="26"/>
    </w:p>
    <w:p>
      <w:pPr>
        <w:pStyle w:val="Subsection"/>
      </w:pPr>
      <w:r>
        <w:tab/>
      </w:r>
      <w:r>
        <w:tab/>
        <w:t>In regulation 76:</w:t>
      </w:r>
    </w:p>
    <w:p>
      <w:pPr>
        <w:pStyle w:val="Indenta"/>
      </w:pPr>
      <w:r>
        <w:tab/>
        <w:t>(a)</w:t>
      </w:r>
      <w:r>
        <w:tab/>
        <w:t>delete paragraph (a)(iii) and insert:</w:t>
      </w:r>
    </w:p>
    <w:p>
      <w:pPr>
        <w:pStyle w:val="BlankOpen"/>
      </w:pPr>
    </w:p>
    <w:p>
      <w:pPr>
        <w:pStyle w:val="zIndenti"/>
      </w:pPr>
      <w:r>
        <w:tab/>
        <w:t>(iii)</w:t>
      </w:r>
      <w:r>
        <w:tab/>
        <w:t>a business name used by the provider in connection with the provision of the regular passenger transport service;</w:t>
      </w:r>
    </w:p>
    <w:p>
      <w:pPr>
        <w:pStyle w:val="BlankClose"/>
      </w:pPr>
    </w:p>
    <w:p>
      <w:pPr>
        <w:pStyle w:val="Indenta"/>
        <w:keepNext/>
      </w:pPr>
      <w:r>
        <w:tab/>
        <w:t>(b)</w:t>
      </w:r>
      <w:r>
        <w:tab/>
        <w:t>delete paragraph (b)(iii) and insert:</w:t>
      </w:r>
    </w:p>
    <w:p>
      <w:pPr>
        <w:pStyle w:val="BlankOpen"/>
      </w:pPr>
    </w:p>
    <w:p>
      <w:pPr>
        <w:pStyle w:val="zIndenti"/>
      </w:pPr>
      <w:r>
        <w:tab/>
        <w:t>(iii)</w:t>
      </w:r>
      <w:r>
        <w:tab/>
        <w:t>a business name used by the authorised provider in connection with the provision of the authorised regular passenger transport service.</w:t>
      </w:r>
    </w:p>
    <w:p>
      <w:pPr>
        <w:pStyle w:val="BlankClose"/>
      </w:pPr>
    </w:p>
    <w:p>
      <w:pPr>
        <w:pStyle w:val="Heading5"/>
      </w:pPr>
      <w:bookmarkStart w:id="27" w:name="_Toc184909511"/>
      <w:bookmarkStart w:id="28" w:name="_Toc185340723"/>
      <w:r>
        <w:rPr>
          <w:rStyle w:val="CharSectno"/>
        </w:rPr>
        <w:lastRenderedPageBreak/>
        <w:t>13</w:t>
      </w:r>
      <w:r>
        <w:t>.</w:t>
      </w:r>
      <w:r>
        <w:tab/>
        <w:t>Regulation 131 amended</w:t>
      </w:r>
      <w:bookmarkEnd w:id="27"/>
      <w:bookmarkEnd w:id="28"/>
    </w:p>
    <w:p>
      <w:pPr>
        <w:pStyle w:val="Subsection"/>
        <w:keepNext/>
        <w:keepLines/>
      </w:pPr>
      <w:r>
        <w:tab/>
        <w:t>(1)</w:t>
      </w:r>
      <w:r>
        <w:tab/>
        <w:t>Delete regulation 131(1)(c) and insert:</w:t>
      </w:r>
    </w:p>
    <w:p>
      <w:pPr>
        <w:pStyle w:val="BlankOpen"/>
      </w:pPr>
    </w:p>
    <w:p>
      <w:pPr>
        <w:pStyle w:val="zIndenta"/>
        <w:keepNext/>
        <w:keepLines/>
      </w:pPr>
      <w:r>
        <w:tab/>
        <w:t>(c)</w:t>
      </w:r>
      <w:r>
        <w:tab/>
        <w:t>the business name used by the provider in connection with the provision of the on</w:t>
      </w:r>
      <w:r>
        <w:noBreakHyphen/>
        <w:t>demand booking service.</w:t>
      </w:r>
    </w:p>
    <w:p>
      <w:pPr>
        <w:pStyle w:val="BlankClose"/>
        <w:keepNext/>
      </w:pPr>
    </w:p>
    <w:p>
      <w:pPr>
        <w:pStyle w:val="Subsection"/>
        <w:keepNext/>
        <w:keepLines/>
      </w:pPr>
      <w:r>
        <w:tab/>
        <w:t>(2)</w:t>
      </w:r>
      <w:r>
        <w:tab/>
        <w:t>In regulation 131(2):</w:t>
      </w:r>
    </w:p>
    <w:p>
      <w:pPr>
        <w:pStyle w:val="Indenta"/>
        <w:keepNext/>
        <w:keepLines/>
      </w:pPr>
      <w:r>
        <w:tab/>
        <w:t>(a)</w:t>
      </w:r>
      <w:r>
        <w:tab/>
        <w:t>delete paragraph (a)(ii) and insert:</w:t>
      </w:r>
    </w:p>
    <w:p>
      <w:pPr>
        <w:pStyle w:val="BlankOpen"/>
      </w:pPr>
    </w:p>
    <w:p>
      <w:pPr>
        <w:pStyle w:val="zIndenti"/>
      </w:pPr>
      <w:r>
        <w:tab/>
        <w:t>(ii)</w:t>
      </w:r>
      <w:r>
        <w:tab/>
        <w:t>the business name used by the provider of the associated booking service in connection with the provision of the associated booking service;</w:t>
      </w:r>
    </w:p>
    <w:p>
      <w:pPr>
        <w:pStyle w:val="BlankClose"/>
      </w:pPr>
    </w:p>
    <w:p>
      <w:pPr>
        <w:pStyle w:val="Indenta"/>
      </w:pPr>
      <w:r>
        <w:tab/>
        <w:t>(b)</w:t>
      </w:r>
      <w:r>
        <w:tab/>
        <w:t>delete paragraph (b)(iii) and insert:</w:t>
      </w:r>
    </w:p>
    <w:p>
      <w:pPr>
        <w:pStyle w:val="BlankOpen"/>
      </w:pPr>
    </w:p>
    <w:p>
      <w:pPr>
        <w:pStyle w:val="zIndenti"/>
      </w:pPr>
      <w:r>
        <w:tab/>
        <w:t>(iii)</w:t>
      </w:r>
      <w:r>
        <w:tab/>
        <w:t>a business name used by the provider of the principal booking service in connection with the provision of the principal booking service.</w:t>
      </w:r>
    </w:p>
    <w:p>
      <w:pPr>
        <w:pStyle w:val="BlankClose"/>
      </w:pPr>
    </w:p>
    <w:p>
      <w:pPr>
        <w:pStyle w:val="Heading5"/>
      </w:pPr>
      <w:bookmarkStart w:id="29" w:name="_Toc184909512"/>
      <w:bookmarkStart w:id="30" w:name="_Toc185340724"/>
      <w:r>
        <w:rPr>
          <w:rStyle w:val="CharSectno"/>
        </w:rPr>
        <w:t>14</w:t>
      </w:r>
      <w:r>
        <w:t>.</w:t>
      </w:r>
      <w:r>
        <w:tab/>
        <w:t>Regulation 133 amended</w:t>
      </w:r>
      <w:bookmarkEnd w:id="29"/>
      <w:bookmarkEnd w:id="30"/>
    </w:p>
    <w:p>
      <w:pPr>
        <w:pStyle w:val="Subsection"/>
      </w:pPr>
      <w:r>
        <w:tab/>
        <w:t>(1)</w:t>
      </w:r>
      <w:r>
        <w:tab/>
        <w:t>In regulation 133(1) delete “displayed on the fare calculation device must be clearly visible to passengers in the vehicle who wish to view them,” and insert:</w:t>
      </w:r>
    </w:p>
    <w:p>
      <w:pPr>
        <w:pStyle w:val="BlankOpen"/>
      </w:pPr>
    </w:p>
    <w:p>
      <w:pPr>
        <w:pStyle w:val="Subsection"/>
      </w:pPr>
      <w:r>
        <w:tab/>
      </w:r>
      <w:r>
        <w:tab/>
        <w:t>shown by the fare calculation device must be displayed prominently in the vehicle,</w:t>
      </w:r>
    </w:p>
    <w:p>
      <w:pPr>
        <w:pStyle w:val="BlankClose"/>
      </w:pPr>
    </w:p>
    <w:p>
      <w:pPr>
        <w:pStyle w:val="Subsection"/>
        <w:keepNext/>
        <w:keepLines/>
      </w:pPr>
      <w:r>
        <w:lastRenderedPageBreak/>
        <w:tab/>
        <w:t>(2)</w:t>
      </w:r>
      <w:r>
        <w:tab/>
        <w:t>In regulation 133(5)(a) delete “display” and insert:</w:t>
      </w:r>
    </w:p>
    <w:p>
      <w:pPr>
        <w:pStyle w:val="BlankOpen"/>
      </w:pPr>
    </w:p>
    <w:p>
      <w:pPr>
        <w:pStyle w:val="Subsection"/>
        <w:keepNext/>
      </w:pPr>
      <w:r>
        <w:tab/>
      </w:r>
      <w:r>
        <w:tab/>
        <w:t>show</w:t>
      </w:r>
    </w:p>
    <w:p>
      <w:pPr>
        <w:pStyle w:val="BlankClose"/>
      </w:pPr>
    </w:p>
    <w:p>
      <w:pPr>
        <w:pStyle w:val="Heading5"/>
      </w:pPr>
      <w:bookmarkStart w:id="31" w:name="_Toc184909513"/>
      <w:bookmarkStart w:id="32" w:name="_Toc185340725"/>
      <w:r>
        <w:rPr>
          <w:rStyle w:val="CharSectno"/>
        </w:rPr>
        <w:t>15</w:t>
      </w:r>
      <w:r>
        <w:t>.</w:t>
      </w:r>
      <w:r>
        <w:tab/>
        <w:t>Regulation 145 amended</w:t>
      </w:r>
      <w:bookmarkEnd w:id="31"/>
      <w:bookmarkEnd w:id="32"/>
    </w:p>
    <w:p>
      <w:pPr>
        <w:pStyle w:val="Subsection"/>
      </w:pPr>
      <w:r>
        <w:tab/>
      </w:r>
      <w:r>
        <w:tab/>
        <w:t>In regulation 145(1):</w:t>
      </w:r>
    </w:p>
    <w:p>
      <w:pPr>
        <w:pStyle w:val="Indenta"/>
      </w:pPr>
      <w:r>
        <w:tab/>
        <w:t>(a)</w:t>
      </w:r>
      <w:r>
        <w:tab/>
        <w:t>in paragraph (c) delete “vehicle.” and insert:</w:t>
      </w:r>
    </w:p>
    <w:p>
      <w:pPr>
        <w:pStyle w:val="BlankOpen"/>
      </w:pPr>
    </w:p>
    <w:p>
      <w:pPr>
        <w:pStyle w:val="Indenta"/>
      </w:pPr>
      <w:r>
        <w:tab/>
      </w:r>
      <w:r>
        <w:tab/>
        <w:t>vehicle;</w:t>
      </w:r>
    </w:p>
    <w:p>
      <w:pPr>
        <w:pStyle w:val="BlankClose"/>
      </w:pPr>
    </w:p>
    <w:p>
      <w:pPr>
        <w:pStyle w:val="Indenta"/>
      </w:pPr>
      <w:r>
        <w:tab/>
        <w:t>(b)</w:t>
      </w:r>
      <w:r>
        <w:tab/>
        <w:t>after paragraph (c) insert:</w:t>
      </w:r>
    </w:p>
    <w:p>
      <w:pPr>
        <w:pStyle w:val="BlankOpen"/>
      </w:pPr>
    </w:p>
    <w:p>
      <w:pPr>
        <w:pStyle w:val="zIndenta"/>
      </w:pPr>
      <w:r>
        <w:tab/>
        <w:t>(d)</w:t>
      </w:r>
      <w:r>
        <w:tab/>
        <w:t>a member of the public.</w:t>
      </w:r>
    </w:p>
    <w:p>
      <w:pPr>
        <w:pStyle w:val="BlankClose"/>
      </w:pPr>
    </w:p>
    <w:p>
      <w:pPr>
        <w:pStyle w:val="Subsection"/>
      </w:pPr>
      <w:r>
        <w:tab/>
        <w:t>(2)</w:t>
      </w:r>
      <w:r>
        <w:tab/>
        <w:t>In regulation 145(2) delete “Act,” and insert:</w:t>
      </w:r>
    </w:p>
    <w:p>
      <w:pPr>
        <w:pStyle w:val="BlankOpen"/>
      </w:pPr>
    </w:p>
    <w:p>
      <w:pPr>
        <w:pStyle w:val="Subsection"/>
      </w:pPr>
      <w:r>
        <w:tab/>
      </w:r>
      <w:r>
        <w:tab/>
        <w:t>Act to a recipient mentioned in subregulation (1)(a), (b) or (c),</w:t>
      </w:r>
    </w:p>
    <w:p>
      <w:pPr>
        <w:pStyle w:val="BlankClose"/>
      </w:pPr>
    </w:p>
    <w:p>
      <w:pPr>
        <w:pStyle w:val="Subsection"/>
        <w:keepNext/>
      </w:pPr>
      <w:r>
        <w:tab/>
        <w:t>(3)</w:t>
      </w:r>
      <w:r>
        <w:tab/>
        <w:t>In regulation 145(3) after “of the Act” insert:</w:t>
      </w:r>
    </w:p>
    <w:p>
      <w:pPr>
        <w:pStyle w:val="BlankOpen"/>
      </w:pPr>
    </w:p>
    <w:p>
      <w:pPr>
        <w:pStyle w:val="Subsection"/>
        <w:keepNext/>
      </w:pPr>
      <w:r>
        <w:tab/>
      </w:r>
      <w:r>
        <w:tab/>
        <w:t>to a recipient mentioned in subregulation (1)(a), (b) or (c)</w:t>
      </w:r>
    </w:p>
    <w:p>
      <w:pPr>
        <w:pStyle w:val="BlankClose"/>
      </w:pPr>
    </w:p>
    <w:p>
      <w:pPr>
        <w:pStyle w:val="Subsection"/>
      </w:pPr>
      <w:r>
        <w:tab/>
        <w:t>(4)</w:t>
      </w:r>
      <w:r>
        <w:tab/>
        <w:t>After regulation 145(3) insert:</w:t>
      </w:r>
    </w:p>
    <w:p>
      <w:pPr>
        <w:pStyle w:val="BlankOpen"/>
      </w:pPr>
    </w:p>
    <w:p>
      <w:pPr>
        <w:pStyle w:val="z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zSubsection"/>
      </w:pPr>
      <w:r>
        <w:lastRenderedPageBreak/>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BlankClose"/>
      </w:pPr>
    </w:p>
    <w:p>
      <w:pPr>
        <w:pStyle w:val="Heading5"/>
      </w:pPr>
      <w:bookmarkStart w:id="33" w:name="_Toc184909514"/>
      <w:bookmarkStart w:id="34" w:name="_Toc185340726"/>
      <w:r>
        <w:rPr>
          <w:rStyle w:val="CharSectno"/>
        </w:rPr>
        <w:t>16</w:t>
      </w:r>
      <w:r>
        <w:t>.</w:t>
      </w:r>
      <w:r>
        <w:tab/>
        <w:t>Regulation 155 amended</w:t>
      </w:r>
      <w:bookmarkEnd w:id="33"/>
      <w:bookmarkEnd w:id="34"/>
    </w:p>
    <w:p>
      <w:pPr>
        <w:pStyle w:val="Subsection"/>
      </w:pPr>
      <w:r>
        <w:tab/>
      </w:r>
      <w:r>
        <w:tab/>
        <w:t>In regulation 155(2)(b) delete “call out fee, guaranteed booking fee” and insert:</w:t>
      </w:r>
    </w:p>
    <w:p>
      <w:pPr>
        <w:pStyle w:val="BlankOpen"/>
      </w:pPr>
    </w:p>
    <w:p>
      <w:pPr>
        <w:pStyle w:val="Subsection"/>
      </w:pPr>
      <w:r>
        <w:tab/>
      </w:r>
      <w:r>
        <w:tab/>
        <w:t>booking fee</w:t>
      </w:r>
    </w:p>
    <w:p>
      <w:pPr>
        <w:pStyle w:val="BlankClose"/>
      </w:pPr>
    </w:p>
    <w:p>
      <w:pPr>
        <w:pStyle w:val="Heading5"/>
      </w:pPr>
      <w:bookmarkStart w:id="35" w:name="_Toc184909515"/>
      <w:bookmarkStart w:id="36" w:name="_Toc185340727"/>
      <w:r>
        <w:rPr>
          <w:rStyle w:val="CharSectno"/>
        </w:rPr>
        <w:t>17</w:t>
      </w:r>
      <w:r>
        <w:t>.</w:t>
      </w:r>
      <w:r>
        <w:tab/>
        <w:t>Part 13 Division 4 inserted</w:t>
      </w:r>
      <w:bookmarkEnd w:id="35"/>
      <w:bookmarkEnd w:id="36"/>
    </w:p>
    <w:p>
      <w:pPr>
        <w:pStyle w:val="Subsection"/>
        <w:keepNext/>
      </w:pPr>
      <w:r>
        <w:tab/>
      </w:r>
      <w:r>
        <w:tab/>
        <w:t>At the end of Part 13 insert:</w:t>
      </w:r>
    </w:p>
    <w:p>
      <w:pPr>
        <w:pStyle w:val="BlankOpen"/>
      </w:pPr>
    </w:p>
    <w:p>
      <w:pPr>
        <w:pStyle w:val="zHeading3"/>
      </w:pPr>
      <w:bookmarkStart w:id="37" w:name="_Toc184909516"/>
      <w:bookmarkStart w:id="38" w:name="_Toc184909568"/>
      <w:bookmarkStart w:id="39" w:name="_Toc184909663"/>
      <w:bookmarkStart w:id="40" w:name="_Toc185340728"/>
      <w:r>
        <w:t>Division 4 — Transitional provision in relation to the</w:t>
      </w:r>
      <w:r>
        <w:rPr>
          <w:rStyle w:val="CharDivText"/>
        </w:rPr>
        <w:t xml:space="preserve"> </w:t>
      </w:r>
      <w:r>
        <w:rPr>
          <w:i/>
        </w:rPr>
        <w:t>Transport (Road Passenger Services) Amendment Regulations (No. 2) 2024</w:t>
      </w:r>
      <w:bookmarkEnd w:id="37"/>
      <w:bookmarkEnd w:id="38"/>
      <w:bookmarkEnd w:id="39"/>
      <w:bookmarkEnd w:id="40"/>
    </w:p>
    <w:p>
      <w:pPr>
        <w:pStyle w:val="zHeading5"/>
      </w:pPr>
      <w:bookmarkStart w:id="41" w:name="_Toc184909517"/>
      <w:bookmarkStart w:id="42" w:name="_Toc185340729"/>
      <w:r>
        <w:t>200A.</w:t>
      </w:r>
      <w:r>
        <w:tab/>
        <w:t>Display of fare schedules</w:t>
      </w:r>
      <w:bookmarkEnd w:id="41"/>
      <w:bookmarkEnd w:id="42"/>
    </w:p>
    <w:p>
      <w:pPr>
        <w:pStyle w:val="zSubsection"/>
      </w:pPr>
      <w:r>
        <w:tab/>
        <w:t>(1)</w:t>
      </w:r>
      <w:r>
        <w:tab/>
        <w:t>In this regulation —</w:t>
      </w:r>
    </w:p>
    <w:p>
      <w:pPr>
        <w:pStyle w:val="zDefstart"/>
      </w:pPr>
      <w:r>
        <w:tab/>
      </w:r>
      <w:r>
        <w:rPr>
          <w:rStyle w:val="CharDefText"/>
        </w:rPr>
        <w:t>approved form</w:t>
      </w:r>
      <w:r>
        <w:t xml:space="preserve"> means a form approved for the purposes of regulation 118(2)(a);</w:t>
      </w:r>
    </w:p>
    <w:p>
      <w:pPr>
        <w:pStyle w:val="z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zDefstart"/>
      </w:pPr>
      <w:r>
        <w:tab/>
      </w:r>
      <w:r>
        <w:rPr>
          <w:rStyle w:val="CharDefText"/>
        </w:rPr>
        <w:t>former Schedule 4</w:t>
      </w:r>
      <w:r>
        <w:t xml:space="preserve"> means Schedule 4 as in operation immediately before commencement day.</w:t>
      </w:r>
    </w:p>
    <w:p>
      <w:pPr>
        <w:pStyle w:val="zSubsection"/>
      </w:pPr>
      <w:r>
        <w:lastRenderedPageBreak/>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zIndenta"/>
      </w:pPr>
      <w:r>
        <w:tab/>
        <w:t>(a)</w:t>
      </w:r>
      <w:r>
        <w:tab/>
        <w:t>describes the booking fee as a call out fee; or</w:t>
      </w:r>
    </w:p>
    <w:p>
      <w:pPr>
        <w:pStyle w:val="zIndenta"/>
      </w:pPr>
      <w:r>
        <w:tab/>
        <w:t>(b)</w:t>
      </w:r>
      <w:r>
        <w:tab/>
        <w:t>states a guaranteed booking fee under former Schedule 4.</w:t>
      </w:r>
    </w:p>
    <w:p>
      <w:pPr>
        <w:pStyle w:val="zSubsection"/>
      </w:pPr>
      <w:r>
        <w:tab/>
        <w:t>(3)</w:t>
      </w:r>
      <w:r>
        <w:tab/>
        <w:t>This regulation ceases to have effect at the end of the period of 12 months beginning on commencement day.</w:t>
      </w:r>
    </w:p>
    <w:p>
      <w:pPr>
        <w:pStyle w:val="BlankClose"/>
      </w:pPr>
    </w:p>
    <w:p>
      <w:pPr>
        <w:pStyle w:val="Heading5"/>
      </w:pPr>
      <w:bookmarkStart w:id="43" w:name="_Toc184909518"/>
      <w:bookmarkStart w:id="44" w:name="_Toc185340730"/>
      <w:r>
        <w:rPr>
          <w:rStyle w:val="CharSectno"/>
        </w:rPr>
        <w:t>18</w:t>
      </w:r>
      <w:r>
        <w:t>.</w:t>
      </w:r>
      <w:r>
        <w:tab/>
        <w:t>Schedule 4 amended</w:t>
      </w:r>
      <w:bookmarkEnd w:id="43"/>
      <w:bookmarkEnd w:id="44"/>
    </w:p>
    <w:p>
      <w:pPr>
        <w:pStyle w:val="Subsection"/>
        <w:keepNext/>
      </w:pPr>
      <w:r>
        <w:tab/>
      </w:r>
      <w:r>
        <w:tab/>
        <w:t>In Schedule 4 delete:</w:t>
      </w:r>
    </w:p>
    <w:p>
      <w:pPr>
        <w:pStyle w:val="DeleteOpen"/>
      </w:pPr>
    </w:p>
    <w:p>
      <w:pPr>
        <w:pStyle w:val="yTHeadingNAm"/>
      </w:pPr>
      <w:r>
        <w:t>Other amounts (maximums)</w:t>
      </w:r>
    </w:p>
    <w:tbl>
      <w:tblPr>
        <w:tblW w:w="0" w:type="auto"/>
        <w:tblInd w:w="426" w:type="dxa"/>
        <w:tblBorders>
          <w:top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p>
            <w:pPr>
              <w:pStyle w:val="yTableNAm"/>
              <w:keepNext/>
              <w:keepLines/>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keepNext/>
              <w:keepLines/>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bl>
    <w:p>
      <w:pPr>
        <w:pStyle w:val="DeleteClose"/>
      </w:pPr>
    </w:p>
    <w:p>
      <w:pPr>
        <w:pStyle w:val="Subsection"/>
      </w:pPr>
      <w:r>
        <w:tab/>
      </w:r>
      <w:r>
        <w:tab/>
        <w:t>and insert:</w:t>
      </w:r>
    </w:p>
    <w:p>
      <w:pPr>
        <w:pStyle w:val="BlankOpen"/>
        <w:rPr>
          <w:highlight w:val="yellow"/>
        </w:rPr>
      </w:pPr>
    </w:p>
    <w:p>
      <w:pPr>
        <w:pStyle w:val="z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zyTableNAmBold"/>
            </w:pPr>
            <w:r>
              <w:t>Booking fee</w:t>
            </w:r>
          </w:p>
        </w:tc>
        <w:tc>
          <w:tcPr>
            <w:tcW w:w="1417" w:type="dxa"/>
            <w:tcBorders>
              <w:top w:val="single" w:sz="4" w:space="0" w:color="auto"/>
              <w:bottom w:val="nil"/>
            </w:tcBorders>
            <w:noWrap/>
            <w:vAlign w:val="bottom"/>
          </w:tcPr>
          <w:p>
            <w:pPr>
              <w:pStyle w:val="zyTableNAmRight"/>
            </w:pPr>
            <w:r>
              <w:t>$1.90</w:t>
            </w:r>
          </w:p>
        </w:tc>
      </w:tr>
    </w:tbl>
    <w:p>
      <w:pPr>
        <w:pStyle w:val="BlankClose"/>
      </w:pPr>
    </w:p>
    <w:p>
      <w:pPr>
        <w:pStyle w:val="Heading5"/>
        <w:rPr>
          <w:rStyle w:val="CharSectno"/>
        </w:rPr>
      </w:pPr>
      <w:bookmarkStart w:id="45" w:name="_Toc184909519"/>
      <w:bookmarkStart w:id="46" w:name="_Toc185340731"/>
      <w:r>
        <w:rPr>
          <w:rStyle w:val="CharSectno"/>
        </w:rPr>
        <w:lastRenderedPageBreak/>
        <w:t>19.</w:t>
      </w:r>
      <w:r>
        <w:rPr>
          <w:rStyle w:val="CharSectno"/>
        </w:rPr>
        <w:tab/>
        <w:t>Schedule 5 amended</w:t>
      </w:r>
      <w:bookmarkEnd w:id="45"/>
      <w:bookmarkEnd w:id="46"/>
    </w:p>
    <w:p>
      <w:pPr>
        <w:pStyle w:val="Subsection"/>
        <w:keepNext/>
      </w:pPr>
      <w:r>
        <w:tab/>
      </w:r>
      <w:r>
        <w:tab/>
        <w:t>In Schedule 5 delete “</w:t>
      </w:r>
      <w:r>
        <w:rPr>
          <w:b/>
          <w:bCs/>
          <w:sz w:val="22"/>
          <w:szCs w:val="18"/>
        </w:rPr>
        <w:t>Call out</w:t>
      </w:r>
      <w:r>
        <w:t>” (each occurrence) and insert:</w:t>
      </w:r>
    </w:p>
    <w:p>
      <w:pPr>
        <w:pStyle w:val="BlankOpen"/>
      </w:pPr>
    </w:p>
    <w:p>
      <w:pPr>
        <w:pStyle w:val="Subsection"/>
        <w:keepNext/>
        <w:rPr>
          <w:b/>
          <w:bCs/>
        </w:rPr>
      </w:pPr>
      <w:r>
        <w:tab/>
      </w:r>
      <w:r>
        <w:tab/>
      </w:r>
      <w:r>
        <w:rPr>
          <w:b/>
          <w:bCs/>
          <w:sz w:val="22"/>
          <w:szCs w:val="18"/>
        </w:rPr>
        <w:t>Booking</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5AF1C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AFFABDD" w14:textId="755357DD" w:rsidR="0006791F" w:rsidRDefault="000679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3B73">
                        <w:rPr>
                          <w:sz w:val="16"/>
                        </w:rPr>
                        <w:t>2024</w:t>
                      </w:r>
                      <w:r>
                        <w:rPr>
                          <w:sz w:val="16"/>
                        </w:rPr>
                        <w:fldChar w:fldCharType="end"/>
                      </w:r>
                      <w:r>
                        <w:rPr>
                          <w:sz w:val="16"/>
                        </w:rPr>
                        <w:t>.</w:t>
                      </w:r>
                    </w:p>
                    <w:p w14:paraId="7D711B2B" w14:textId="77777777" w:rsidR="0006791F" w:rsidRDefault="000679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2C314F" w14:textId="3A72964A" w:rsidR="0006791F" w:rsidRDefault="000679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3B73">
                        <w:rPr>
                          <w:sz w:val="16"/>
                        </w:rPr>
                        <w:t>2024</w:t>
                      </w:r>
                      <w:r>
                        <w:rPr>
                          <w:sz w:val="16"/>
                        </w:rPr>
                        <w:fldChar w:fldCharType="end"/>
                      </w:r>
                      <w:r>
                        <w:rPr>
                          <w:sz w:val="16"/>
                        </w:rPr>
                        <w:t>.</w:t>
                      </w:r>
                    </w:p>
                    <w:p w14:paraId="756CAB17" w14:textId="77777777" w:rsidR="0006791F" w:rsidRDefault="000679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Amendment Regulations (No. 2)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Amendment Regulations (No. 2)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Amendment Regulations (No. 2)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Amendment Regulations (No. 2)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4"/>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241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015095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5095745_GUID" w:val="e1c14c81-c62c-4310-a466-64b3f1cd9fd4"/>
    <w:docVar w:name="WAFER_20241104110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4110253_GUID" w:val="db1ac8a2-ad1d-4dde-8384-37eaa1311942"/>
    <w:docVar w:name="WAFER_20241212152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2418_GUID" w:val="381a9f82-7145-4565-bd34-af8ea57040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7E9AA1BA-07D5-4028-BF32-9811E00DA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yTableNAm"/>
    <w:rPr>
      <w:b/>
    </w:rPr>
  </w:style>
  <w:style w:type="paragraph" w:customStyle="1" w:styleId="zyTableNAmRight">
    <w:name w:val="zyTableNAm + Right"/>
    <w:aliases w:val="Right:  0.68 cm"/>
    <w:basedOn w:val="yTableNAm"/>
    <w:pPr>
      <w:tabs>
        <w:tab w:val="clear" w:pos="567"/>
        <w:tab w:val="left" w:pos="639"/>
      </w:tabs>
      <w:ind w:right="387"/>
      <w:jc w:val="right"/>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1334</Words>
  <Characters>7151</Characters>
  <Application>Microsoft Office Word</Application>
  <DocSecurity>0</DocSecurity>
  <Lines>310</Lines>
  <Paragraphs>184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Amendment Regulations (No. 2) 2024 - 00-00-00</dc:title>
  <dc:subject/>
  <dc:creator/>
  <cp:keywords/>
  <dc:description/>
  <cp:lastModifiedBy>Master Repository Process</cp:lastModifiedBy>
  <cp:revision>4</cp:revision>
  <cp:lastPrinted>2024-11-05T01:12:00Z</cp:lastPrinted>
  <dcterms:created xsi:type="dcterms:W3CDTF">2025-05-29T04:49:00Z</dcterms:created>
  <dcterms:modified xsi:type="dcterms:W3CDTF">2025-05-29T04:49:00Z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54824</vt:lpwstr>
  </property>
  <property fmtid="{D5CDD505-2E9C-101B-9397-08002B2CF9AE}" pid="3" name="DocumentType">
    <vt:lpwstr>Reg</vt:lpwstr>
  </property>
  <property fmtid="{D5CDD505-2E9C-101B-9397-08002B2CF9AE}" pid="4" name="AsAtDate">
    <vt:lpwstr>18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2024/286</vt:lpwstr>
  </property>
  <property fmtid="{D5CDD505-2E9C-101B-9397-08002B2CF9AE}" pid="8" name="PublishDate">
    <vt:lpwstr>18 Dec 2024</vt:lpwstr>
  </property>
  <property fmtid="{D5CDD505-2E9C-101B-9397-08002B2CF9AE}" pid="9" name="CommencementDate">
    <vt:lpwstr>20241218</vt:lpwstr>
  </property>
  <property fmtid="{D5CDD505-2E9C-101B-9397-08002B2CF9AE}" pid="10" name="CommencementAsAt">
    <vt:filetime>2024-12-17T16:00:00Z</vt:filetime>
  </property>
  <property fmtid="{D5CDD505-2E9C-101B-9397-08002B2CF9AE}" pid="11" name="CommencementYear">
    <vt:lpwstr>2024</vt:lpwstr>
  </property>
</Properties>
</file>