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Bail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Bail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Bail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_Toc184810071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_Toc184810072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_Toc184810073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Information prescribed for sections 8(1)(a) and 37(1)(b) of the Act</w:t>
      </w:r>
      <w:r>
        <w:tab/>
      </w:r>
      <w:r>
        <w:fldChar w:fldCharType="begin"/>
      </w:r>
      <w:r>
        <w:instrText xml:space="preserve"> PAGEREF _Toc184810074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 prescribed</w:t>
      </w:r>
      <w:r>
        <w:tab/>
      </w:r>
      <w:r>
        <w:fldChar w:fldCharType="begin"/>
      </w:r>
      <w:r>
        <w:instrText xml:space="preserve"> PAGEREF _Toc184810075 \h </w:instrText>
      </w:r>
      <w:r>
        <w:fldChar w:fldCharType="separate"/>
      </w:r>
      <w:r>
        <w:t>2</w:t>
      </w:r>
      <w:r>
        <w:fldChar w:fldCharType="end"/>
      </w:r>
    </w:p>
    <w:p>
      <w:pPr>
        <w:pStyle w:val="TOC8"/>
        <w:rPr>
          <w:rFonts w:asciiTheme="minorHAnsi" w:eastAsiaTheme="minorEastAsia" w:hAnsiTheme="minorHAnsi" w:cstheme="minorBidi"/>
          <w:szCs w:val="22"/>
        </w:rPr>
      </w:pPr>
      <w:r>
        <w:t>7AA.</w:t>
      </w:r>
      <w:r>
        <w:tab/>
        <w:t>Entering information on ECMS</w:t>
      </w:r>
      <w:r>
        <w:tab/>
      </w:r>
      <w:r>
        <w:fldChar w:fldCharType="begin"/>
      </w:r>
      <w:r>
        <w:instrText xml:space="preserve"> PAGEREF _Toc184810076 \h </w:instrText>
      </w:r>
      <w:r>
        <w:fldChar w:fldCharType="separate"/>
      </w:r>
      <w:r>
        <w:t>3</w:t>
      </w:r>
      <w:r>
        <w:fldChar w:fldCharType="end"/>
      </w:r>
    </w:p>
    <w:p>
      <w:pPr>
        <w:pStyle w:val="TOC8"/>
        <w:rPr>
          <w:rFonts w:asciiTheme="minorHAnsi" w:eastAsiaTheme="minorEastAsia" w:hAnsiTheme="minorHAnsi" w:cstheme="minorBidi"/>
          <w:szCs w:val="22"/>
        </w:rPr>
      </w:pPr>
      <w:r>
        <w:t>7AB.</w:t>
      </w:r>
      <w:r>
        <w:tab/>
        <w:t>Providing notice under section 13A(3) of the Act electronically</w:t>
      </w:r>
      <w:r>
        <w:tab/>
      </w:r>
      <w:r>
        <w:fldChar w:fldCharType="begin"/>
      </w:r>
      <w:r>
        <w:instrText xml:space="preserve"> PAGEREF _Toc184810077 \h </w:instrText>
      </w:r>
      <w:r>
        <w:fldChar w:fldCharType="separate"/>
      </w:r>
      <w:r>
        <w:t>3</w:t>
      </w:r>
      <w:r>
        <w:fldChar w:fldCharType="end"/>
      </w:r>
    </w:p>
    <w:p>
      <w:pPr>
        <w:pStyle w:val="TOC8"/>
        <w:rPr>
          <w:rFonts w:asciiTheme="minorHAnsi" w:eastAsiaTheme="minorEastAsia" w:hAnsiTheme="minorHAnsi" w:cstheme="minorBidi"/>
          <w:szCs w:val="22"/>
        </w:rPr>
      </w:pPr>
      <w:r>
        <w:t>7A.</w:t>
      </w:r>
      <w:r>
        <w:tab/>
        <w:t>Notice under s. 13A(3) of the Act to be made available to court before which accused to appear</w:t>
      </w:r>
      <w:r>
        <w:tab/>
      </w:r>
      <w:r>
        <w:fldChar w:fldCharType="begin"/>
      </w:r>
      <w:r>
        <w:instrText xml:space="preserve"> PAGEREF _Toc184810078 \h </w:instrText>
      </w:r>
      <w:r>
        <w:fldChar w:fldCharType="separate"/>
      </w:r>
      <w:r>
        <w:t>4</w:t>
      </w:r>
      <w:r>
        <w:fldChar w:fldCharType="end"/>
      </w:r>
    </w:p>
    <w:p>
      <w:pPr>
        <w:pStyle w:val="TOC8"/>
        <w:rPr>
          <w:rFonts w:asciiTheme="minorHAnsi" w:eastAsiaTheme="minorEastAsia" w:hAnsiTheme="minorHAnsi" w:cstheme="minorBidi"/>
          <w:szCs w:val="22"/>
        </w:rPr>
      </w:pPr>
      <w:r>
        <w:t>7.</w:t>
      </w:r>
      <w:r>
        <w:tab/>
        <w:t>Relevant papers prescribed for s. 27 of the Act</w:t>
      </w:r>
      <w:r>
        <w:tab/>
      </w:r>
      <w:r>
        <w:fldChar w:fldCharType="begin"/>
      </w:r>
      <w:r>
        <w:instrText xml:space="preserve"> PAGEREF _Toc184810079 \h </w:instrText>
      </w:r>
      <w:r>
        <w:fldChar w:fldCharType="separate"/>
      </w:r>
      <w:r>
        <w:t>5</w:t>
      </w:r>
      <w:r>
        <w:fldChar w:fldCharType="end"/>
      </w:r>
    </w:p>
    <w:p>
      <w:pPr>
        <w:pStyle w:val="TOC8"/>
        <w:rPr>
          <w:rFonts w:asciiTheme="minorHAnsi" w:eastAsiaTheme="minorEastAsia" w:hAnsiTheme="minorHAnsi" w:cstheme="minorBidi"/>
          <w:szCs w:val="22"/>
        </w:rPr>
      </w:pPr>
      <w:r>
        <w:t>8A.</w:t>
      </w:r>
      <w:r>
        <w:tab/>
        <w:t>Amending bail undertaking electronically</w:t>
      </w:r>
      <w:r>
        <w:tab/>
      </w:r>
      <w:r>
        <w:fldChar w:fldCharType="begin"/>
      </w:r>
      <w:r>
        <w:instrText xml:space="preserve"> PAGEREF _Toc184810080 \h </w:instrText>
      </w:r>
      <w:r>
        <w:fldChar w:fldCharType="separate"/>
      </w:r>
      <w:r>
        <w:t>6</w:t>
      </w:r>
      <w:r>
        <w:fldChar w:fldCharType="end"/>
      </w:r>
    </w:p>
    <w:p>
      <w:pPr>
        <w:pStyle w:val="TOC8"/>
        <w:rPr>
          <w:rFonts w:asciiTheme="minorHAnsi" w:eastAsiaTheme="minorEastAsia" w:hAnsiTheme="minorHAnsi" w:cstheme="minorBidi"/>
          <w:szCs w:val="22"/>
        </w:rPr>
      </w:pPr>
      <w:r>
        <w:t>8B.</w:t>
      </w:r>
      <w:r>
        <w:tab/>
        <w:t>Giving and proof of notices under section 32(1) of the Act</w:t>
      </w:r>
      <w:r>
        <w:tab/>
      </w:r>
      <w:r>
        <w:fldChar w:fldCharType="begin"/>
      </w:r>
      <w:r>
        <w:instrText xml:space="preserve"> PAGEREF _Toc184810081 \h </w:instrText>
      </w:r>
      <w:r>
        <w:fldChar w:fldCharType="separate"/>
      </w:r>
      <w:r>
        <w:t>7</w:t>
      </w:r>
      <w:r>
        <w:fldChar w:fldCharType="end"/>
      </w:r>
    </w:p>
    <w:p>
      <w:pPr>
        <w:pStyle w:val="TOC8"/>
        <w:rPr>
          <w:rFonts w:asciiTheme="minorHAnsi" w:eastAsiaTheme="minorEastAsia" w:hAnsiTheme="minorHAnsi" w:cstheme="minorBidi"/>
          <w:szCs w:val="22"/>
        </w:rPr>
      </w:pPr>
      <w:r>
        <w:t>8.</w:t>
      </w:r>
      <w:r>
        <w:tab/>
        <w:t>Notice of application for approval as a surety</w:t>
      </w:r>
      <w:r>
        <w:tab/>
      </w:r>
      <w:r>
        <w:fldChar w:fldCharType="begin"/>
      </w:r>
      <w:r>
        <w:instrText xml:space="preserve"> PAGEREF _Toc184810082 \h </w:instrText>
      </w:r>
      <w:r>
        <w:fldChar w:fldCharType="separate"/>
      </w:r>
      <w:r>
        <w:t>8</w:t>
      </w:r>
      <w:r>
        <w:fldChar w:fldCharType="end"/>
      </w:r>
    </w:p>
    <w:p>
      <w:pPr>
        <w:pStyle w:val="TOC8"/>
        <w:rPr>
          <w:rFonts w:asciiTheme="minorHAnsi" w:eastAsiaTheme="minorEastAsia" w:hAnsiTheme="minorHAnsi" w:cstheme="minorBidi"/>
          <w:szCs w:val="22"/>
        </w:rPr>
      </w:pPr>
      <w:r>
        <w:t>9AA.</w:t>
      </w:r>
      <w:r>
        <w:tab/>
        <w:t>Provision of information and form to surety undertaking electronically</w:t>
      </w:r>
      <w:r>
        <w:tab/>
      </w:r>
      <w:r>
        <w:fldChar w:fldCharType="begin"/>
      </w:r>
      <w:r>
        <w:instrText xml:space="preserve"> PAGEREF _Toc184810083 \h </w:instrText>
      </w:r>
      <w:r>
        <w:fldChar w:fldCharType="separate"/>
      </w:r>
      <w:r>
        <w:t>9</w:t>
      </w:r>
      <w:r>
        <w:fldChar w:fldCharType="end"/>
      </w:r>
    </w:p>
    <w:p>
      <w:pPr>
        <w:pStyle w:val="TOC8"/>
        <w:rPr>
          <w:rFonts w:asciiTheme="minorHAnsi" w:eastAsiaTheme="minorEastAsia" w:hAnsiTheme="minorHAnsi" w:cstheme="minorBidi"/>
          <w:szCs w:val="22"/>
        </w:rPr>
      </w:pPr>
      <w:r>
        <w:t>9AB.</w:t>
      </w:r>
      <w:r>
        <w:tab/>
        <w:t>Provision of surety undertaking to proposed surety electronically</w:t>
      </w:r>
      <w:r>
        <w:tab/>
      </w:r>
      <w:r>
        <w:fldChar w:fldCharType="begin"/>
      </w:r>
      <w:r>
        <w:instrText xml:space="preserve"> PAGEREF _Toc184810084 \h </w:instrText>
      </w:r>
      <w:r>
        <w:fldChar w:fldCharType="separate"/>
      </w:r>
      <w:r>
        <w:t>9</w:t>
      </w:r>
      <w:r>
        <w:fldChar w:fldCharType="end"/>
      </w:r>
    </w:p>
    <w:p>
      <w:pPr>
        <w:pStyle w:val="TOC8"/>
        <w:rPr>
          <w:rFonts w:asciiTheme="minorHAnsi" w:eastAsiaTheme="minorEastAsia" w:hAnsiTheme="minorHAnsi" w:cstheme="minorBidi"/>
          <w:szCs w:val="22"/>
        </w:rPr>
      </w:pPr>
      <w:r>
        <w:t>9AC.</w:t>
      </w:r>
      <w:r>
        <w:tab/>
        <w:t>Provision of notice to surety electronically</w:t>
      </w:r>
      <w:r>
        <w:tab/>
      </w:r>
      <w:r>
        <w:fldChar w:fldCharType="begin"/>
      </w:r>
      <w:r>
        <w:instrText xml:space="preserve"> PAGEREF _Toc184810085 \h </w:instrText>
      </w:r>
      <w:r>
        <w:fldChar w:fldCharType="separate"/>
      </w:r>
      <w:r>
        <w:t>10</w:t>
      </w:r>
      <w:r>
        <w:fldChar w:fldCharType="end"/>
      </w:r>
    </w:p>
    <w:p>
      <w:pPr>
        <w:pStyle w:val="TOC8"/>
        <w:rPr>
          <w:rFonts w:asciiTheme="minorHAnsi" w:eastAsiaTheme="minorEastAsia" w:hAnsiTheme="minorHAnsi" w:cstheme="minorBidi"/>
          <w:szCs w:val="22"/>
        </w:rPr>
      </w:pPr>
      <w:r>
        <w:t>9A.</w:t>
      </w:r>
      <w:r>
        <w:tab/>
        <w:t>Application for cancellation of surety undertaking — court of summary jurisdiction</w:t>
      </w:r>
      <w:r>
        <w:tab/>
      </w:r>
      <w:r>
        <w:fldChar w:fldCharType="begin"/>
      </w:r>
      <w:r>
        <w:instrText xml:space="preserve"> PAGEREF _Toc184810086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for forfeiture of amount in surety undertaking — court of summary jurisdiction</w:t>
      </w:r>
      <w:r>
        <w:tab/>
      </w:r>
      <w:r>
        <w:fldChar w:fldCharType="begin"/>
      </w:r>
      <w:r>
        <w:instrText xml:space="preserve"> PAGEREF _Toc184810087 \h </w:instrText>
      </w:r>
      <w:r>
        <w:fldChar w:fldCharType="separate"/>
      </w:r>
      <w:r>
        <w:t>12</w:t>
      </w:r>
      <w:r>
        <w:fldChar w:fldCharType="end"/>
      </w:r>
    </w:p>
    <w:p>
      <w:pPr>
        <w:pStyle w:val="TOC8"/>
        <w:rPr>
          <w:rFonts w:asciiTheme="minorHAnsi" w:eastAsiaTheme="minorEastAsia" w:hAnsiTheme="minorHAnsi" w:cstheme="minorBidi"/>
          <w:szCs w:val="22"/>
        </w:rPr>
      </w:pPr>
      <w:r>
        <w:t>9.</w:t>
      </w:r>
      <w:r>
        <w:tab/>
      </w:r>
      <w:r>
        <w:rPr>
          <w:snapToGrid w:val="0"/>
        </w:rPr>
        <w:t>Accused to be given copy of conditions applicable to home detention condition or electronic monitoring condition</w:t>
      </w:r>
      <w:r>
        <w:tab/>
      </w:r>
      <w:r>
        <w:fldChar w:fldCharType="begin"/>
      </w:r>
      <w:r>
        <w:instrText xml:space="preserve"> PAGEREF _Toc184810088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10A.</w:t>
      </w:r>
      <w:r>
        <w:tab/>
        <w:t>Notifying change of residential address</w:t>
      </w:r>
      <w:r>
        <w:tab/>
      </w:r>
      <w:r>
        <w:fldChar w:fldCharType="begin"/>
      </w:r>
      <w:r>
        <w:instrText xml:space="preserve"> PAGEREF _Toc184810089 \h </w:instrText>
      </w:r>
      <w:r>
        <w:fldChar w:fldCharType="separate"/>
      </w:r>
      <w:r>
        <w:t>13</w:t>
      </w:r>
      <w:r>
        <w:fldChar w:fldCharType="end"/>
      </w:r>
    </w:p>
    <w:p>
      <w:pPr>
        <w:pStyle w:val="TOC8"/>
        <w:rPr>
          <w:rFonts w:asciiTheme="minorHAnsi" w:eastAsiaTheme="minorEastAsia" w:hAnsiTheme="minorHAnsi" w:cstheme="minorBidi"/>
          <w:szCs w:val="22"/>
        </w:rPr>
      </w:pPr>
      <w:r>
        <w:t>10B.</w:t>
      </w:r>
      <w:r>
        <w:tab/>
        <w:t>Certificate of non</w:t>
      </w:r>
      <w:r>
        <w:noBreakHyphen/>
        <w:t>appearance</w:t>
      </w:r>
      <w:r>
        <w:tab/>
      </w:r>
      <w:r>
        <w:fldChar w:fldCharType="begin"/>
      </w:r>
      <w:r>
        <w:instrText xml:space="preserve"> PAGEREF _Toc184810090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Formalities for undertaking under Schedule 1 Part C clause 2(3)(c)</w:t>
      </w:r>
      <w:r>
        <w:tab/>
      </w:r>
      <w:r>
        <w:fldChar w:fldCharType="begin"/>
      </w:r>
      <w:r>
        <w:instrText xml:space="preserve"> PAGEREF _Toc184810091 \h </w:instrText>
      </w:r>
      <w:r>
        <w:fldChar w:fldCharType="separate"/>
      </w:r>
      <w:r>
        <w:t>14</w:t>
      </w:r>
      <w:r>
        <w:fldChar w:fldCharType="end"/>
      </w:r>
    </w:p>
    <w:p>
      <w:pPr>
        <w:pStyle w:val="TOC8"/>
        <w:rPr>
          <w:rFonts w:asciiTheme="minorHAnsi" w:eastAsiaTheme="minorEastAsia" w:hAnsiTheme="minorHAnsi" w:cstheme="minorBidi"/>
          <w:szCs w:val="22"/>
        </w:rPr>
      </w:pPr>
      <w:r>
        <w:t>11.</w:t>
      </w:r>
      <w:r>
        <w:tab/>
        <w:t>Persons and programmes prescribed for Schedule 1 Part D clause 2(2b)</w:t>
      </w:r>
      <w:r>
        <w:tab/>
      </w:r>
      <w:r>
        <w:fldChar w:fldCharType="begin"/>
      </w:r>
      <w:r>
        <w:instrText xml:space="preserve"> PAGEREF _Toc184810092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4"/>
        <w:tabs>
          <w:tab w:val="right" w:leader="dot" w:pos="7077"/>
        </w:tabs>
        <w:rPr>
          <w:rFonts w:asciiTheme="minorHAnsi" w:eastAsiaTheme="minorEastAsia" w:hAnsiTheme="minorHAnsi" w:cstheme="minorBidi"/>
          <w:b w:val="0"/>
          <w:szCs w:val="22"/>
        </w:rPr>
      </w:pPr>
      <w:r>
        <w:t>Form 1</w:t>
      </w:r>
    </w:p>
    <w:p>
      <w:pPr>
        <w:pStyle w:val="TOC8"/>
        <w:rPr>
          <w:rFonts w:asciiTheme="minorHAnsi" w:eastAsiaTheme="minorEastAsia" w:hAnsiTheme="minorHAnsi" w:cstheme="minorBidi"/>
          <w:szCs w:val="22"/>
        </w:rPr>
      </w:pPr>
      <w:r>
        <w:rPr>
          <w:snapToGrid w:val="0"/>
        </w:rPr>
        <w:t>1.</w:t>
      </w:r>
      <w:r>
        <w:rPr>
          <w:snapToGrid w:val="0"/>
        </w:rPr>
        <w:tab/>
        <w:t>Summary</w:t>
      </w:r>
      <w:r>
        <w:tab/>
      </w:r>
      <w:r>
        <w:fldChar w:fldCharType="begin"/>
      </w:r>
      <w:r>
        <w:instrText xml:space="preserve"> PAGEREF _Toc184810095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2.</w:t>
      </w:r>
      <w:r>
        <w:rPr>
          <w:snapToGrid w:val="0"/>
        </w:rPr>
        <w:tab/>
        <w:t>Bail information form</w:t>
      </w:r>
      <w:r>
        <w:tab/>
      </w:r>
      <w:r>
        <w:fldChar w:fldCharType="begin"/>
      </w:r>
      <w:r>
        <w:instrText xml:space="preserve"> PAGEREF _Toc184810096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3.</w:t>
      </w:r>
      <w:r>
        <w:rPr>
          <w:snapToGrid w:val="0"/>
        </w:rPr>
        <w:tab/>
        <w:t>At time of arrest</w:t>
      </w:r>
      <w:r>
        <w:tab/>
      </w:r>
      <w:r>
        <w:fldChar w:fldCharType="begin"/>
      </w:r>
      <w:r>
        <w:instrText xml:space="preserve"> PAGEREF _Toc184810097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4.</w:t>
      </w:r>
      <w:r>
        <w:rPr>
          <w:snapToGrid w:val="0"/>
        </w:rPr>
        <w:tab/>
        <w:t>On appearance in court</w:t>
      </w:r>
      <w:r>
        <w:tab/>
      </w:r>
      <w:r>
        <w:fldChar w:fldCharType="begin"/>
      </w:r>
      <w:r>
        <w:instrText xml:space="preserve"> PAGEREF _Toc184810098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5.</w:t>
      </w:r>
      <w:r>
        <w:rPr>
          <w:snapToGrid w:val="0"/>
        </w:rPr>
        <w:tab/>
        <w:t>Warrant cases</w:t>
      </w:r>
      <w:r>
        <w:tab/>
      </w:r>
      <w:r>
        <w:fldChar w:fldCharType="begin"/>
      </w:r>
      <w:r>
        <w:instrText xml:space="preserve"> PAGEREF _Toc184810099 \h </w:instrText>
      </w:r>
      <w:r>
        <w:fldChar w:fldCharType="separate"/>
      </w:r>
      <w:r>
        <w:t>18</w:t>
      </w:r>
      <w:r>
        <w:fldChar w:fldCharType="end"/>
      </w:r>
    </w:p>
    <w:p>
      <w:pPr>
        <w:pStyle w:val="TOC8"/>
        <w:rPr>
          <w:rFonts w:asciiTheme="minorHAnsi" w:eastAsiaTheme="minorEastAsia" w:hAnsiTheme="minorHAnsi" w:cstheme="minorBidi"/>
          <w:szCs w:val="22"/>
        </w:rPr>
      </w:pPr>
      <w:r>
        <w:t>6.</w:t>
      </w:r>
      <w:r>
        <w:tab/>
        <w:t>Where charge is murder</w:t>
      </w:r>
      <w:r>
        <w:tab/>
      </w:r>
      <w:r>
        <w:fldChar w:fldCharType="begin"/>
      </w:r>
      <w:r>
        <w:instrText xml:space="preserve"> PAGEREF _Toc184810100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7.</w:t>
      </w:r>
      <w:r>
        <w:rPr>
          <w:snapToGrid w:val="0"/>
        </w:rPr>
        <w:tab/>
        <w:t>Decision may be delayed</w:t>
      </w:r>
      <w:r>
        <w:tab/>
      </w:r>
      <w:r>
        <w:fldChar w:fldCharType="begin"/>
      </w:r>
      <w:r>
        <w:instrText xml:space="preserve"> PAGEREF _Toc184810101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8.</w:t>
      </w:r>
      <w:r>
        <w:rPr>
          <w:snapToGrid w:val="0"/>
        </w:rPr>
        <w:tab/>
        <w:t>How decision to be made — adult</w:t>
      </w:r>
      <w:r>
        <w:tab/>
      </w:r>
      <w:r>
        <w:fldChar w:fldCharType="begin"/>
      </w:r>
      <w:r>
        <w:instrText xml:space="preserve"> PAGEREF _Toc184810102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8A.</w:t>
      </w:r>
      <w:r>
        <w:rPr>
          <w:snapToGrid w:val="0"/>
        </w:rPr>
        <w:tab/>
        <w:t>How decision to be made — child</w:t>
      </w:r>
      <w:r>
        <w:tab/>
      </w:r>
      <w:r>
        <w:fldChar w:fldCharType="begin"/>
      </w:r>
      <w:r>
        <w:instrText xml:space="preserve"> PAGEREF _Toc184810103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8B.</w:t>
      </w:r>
      <w:r>
        <w:rPr>
          <w:snapToGrid w:val="0"/>
        </w:rPr>
        <w:tab/>
        <w:t>Where serious offence committed while on bail for another serious offence</w:t>
      </w:r>
      <w:r>
        <w:tab/>
      </w:r>
      <w:r>
        <w:fldChar w:fldCharType="begin"/>
      </w:r>
      <w:r>
        <w:instrText xml:space="preserve"> PAGEREF _Toc184810104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9.</w:t>
      </w:r>
      <w:r>
        <w:rPr>
          <w:snapToGrid w:val="0"/>
        </w:rPr>
        <w:tab/>
        <w:t>Points to be considered</w:t>
      </w:r>
      <w:r>
        <w:tab/>
      </w:r>
      <w:r>
        <w:fldChar w:fldCharType="begin"/>
      </w:r>
      <w:r>
        <w:instrText xml:space="preserve"> PAGEREF _Toc184810105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10.</w:t>
      </w:r>
      <w:r>
        <w:rPr>
          <w:snapToGrid w:val="0"/>
        </w:rPr>
        <w:tab/>
        <w:t>Conditions</w:t>
      </w:r>
      <w:r>
        <w:tab/>
      </w:r>
      <w:r>
        <w:fldChar w:fldCharType="begin"/>
      </w:r>
      <w:r>
        <w:instrText xml:space="preserve"> PAGEREF _Toc184810106 \h </w:instrText>
      </w:r>
      <w:r>
        <w:fldChar w:fldCharType="separate"/>
      </w:r>
      <w:r>
        <w:t>20</w:t>
      </w:r>
      <w:r>
        <w:fldChar w:fldCharType="end"/>
      </w:r>
    </w:p>
    <w:p>
      <w:pPr>
        <w:pStyle w:val="TOC8"/>
        <w:rPr>
          <w:rFonts w:asciiTheme="minorHAnsi" w:eastAsiaTheme="minorEastAsia" w:hAnsiTheme="minorHAnsi" w:cstheme="minorBidi"/>
          <w:szCs w:val="22"/>
        </w:rPr>
      </w:pPr>
      <w:r>
        <w:rPr>
          <w:snapToGrid w:val="0"/>
        </w:rPr>
        <w:t>11.</w:t>
      </w:r>
      <w:r>
        <w:rPr>
          <w:snapToGrid w:val="0"/>
        </w:rPr>
        <w:tab/>
        <w:t>Accused to receive copy of bail decision form or court record</w:t>
      </w:r>
      <w:r>
        <w:tab/>
      </w:r>
      <w:r>
        <w:fldChar w:fldCharType="begin"/>
      </w:r>
      <w:r>
        <w:instrText xml:space="preserve"> PAGEREF _Toc184810107 \h </w:instrText>
      </w:r>
      <w:r>
        <w:fldChar w:fldCharType="separate"/>
      </w:r>
      <w:r>
        <w:t>20</w:t>
      </w:r>
      <w:r>
        <w:fldChar w:fldCharType="end"/>
      </w:r>
    </w:p>
    <w:p>
      <w:pPr>
        <w:pStyle w:val="TOC8"/>
        <w:rPr>
          <w:rFonts w:asciiTheme="minorHAnsi" w:eastAsiaTheme="minorEastAsia" w:hAnsiTheme="minorHAnsi" w:cstheme="minorBidi"/>
          <w:szCs w:val="22"/>
        </w:rPr>
      </w:pPr>
      <w:r>
        <w:t>12.</w:t>
      </w:r>
      <w:r>
        <w:tab/>
        <w:t>Bail undertaking</w:t>
      </w:r>
      <w:r>
        <w:tab/>
      </w:r>
      <w:r>
        <w:fldChar w:fldCharType="begin"/>
      </w:r>
      <w:r>
        <w:instrText xml:space="preserve"> PAGEREF _Toc184810108 \h </w:instrText>
      </w:r>
      <w:r>
        <w:fldChar w:fldCharType="separate"/>
      </w:r>
      <w:r>
        <w:t>21</w:t>
      </w:r>
      <w:r>
        <w:fldChar w:fldCharType="end"/>
      </w:r>
    </w:p>
    <w:p>
      <w:pPr>
        <w:pStyle w:val="TOC8"/>
        <w:rPr>
          <w:rFonts w:asciiTheme="minorHAnsi" w:eastAsiaTheme="minorEastAsia" w:hAnsiTheme="minorHAnsi" w:cstheme="minorBidi"/>
          <w:szCs w:val="22"/>
        </w:rPr>
      </w:pPr>
      <w:r>
        <w:t>13.</w:t>
      </w:r>
      <w:r>
        <w:tab/>
        <w:t>Release from custody</w:t>
      </w:r>
      <w:r>
        <w:tab/>
      </w:r>
      <w:r>
        <w:fldChar w:fldCharType="begin"/>
      </w:r>
      <w:r>
        <w:instrText xml:space="preserve"> PAGEREF _Toc184810109 \h </w:instrText>
      </w:r>
      <w:r>
        <w:fldChar w:fldCharType="separate"/>
      </w:r>
      <w:r>
        <w:t>21</w:t>
      </w:r>
      <w:r>
        <w:fldChar w:fldCharType="end"/>
      </w:r>
    </w:p>
    <w:p>
      <w:pPr>
        <w:pStyle w:val="TOC8"/>
        <w:rPr>
          <w:rFonts w:asciiTheme="minorHAnsi" w:eastAsiaTheme="minorEastAsia" w:hAnsiTheme="minorHAnsi" w:cstheme="minorBidi"/>
          <w:szCs w:val="22"/>
        </w:rPr>
      </w:pPr>
      <w:r>
        <w:t>14.</w:t>
      </w:r>
      <w:r>
        <w:tab/>
        <w:t>Reconsideration of decision</w:t>
      </w:r>
      <w:r>
        <w:tab/>
      </w:r>
      <w:r>
        <w:fldChar w:fldCharType="begin"/>
      </w:r>
      <w:r>
        <w:instrText xml:space="preserve"> PAGEREF _Toc184810110 \h </w:instrText>
      </w:r>
      <w:r>
        <w:fldChar w:fldCharType="separate"/>
      </w:r>
      <w:r>
        <w:t>21</w:t>
      </w:r>
      <w:r>
        <w:fldChar w:fldCharType="end"/>
      </w:r>
    </w:p>
    <w:p>
      <w:pPr>
        <w:pStyle w:val="TOC8"/>
        <w:rPr>
          <w:rFonts w:asciiTheme="minorHAnsi" w:eastAsiaTheme="minorEastAsia" w:hAnsiTheme="minorHAnsi" w:cstheme="minorBidi"/>
          <w:szCs w:val="22"/>
        </w:rPr>
      </w:pPr>
      <w:r>
        <w:t>15.</w:t>
      </w:r>
      <w:r>
        <w:tab/>
        <w:t>Application to judge</w:t>
      </w:r>
      <w:r>
        <w:tab/>
      </w:r>
      <w:r>
        <w:fldChar w:fldCharType="begin"/>
      </w:r>
      <w:r>
        <w:instrText xml:space="preserve"> PAGEREF _Toc184810111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16.</w:t>
      </w:r>
      <w:r>
        <w:rPr>
          <w:snapToGrid w:val="0"/>
        </w:rPr>
        <w:tab/>
        <w:t>Sureties</w:t>
      </w:r>
      <w:r>
        <w:tab/>
      </w:r>
      <w:r>
        <w:fldChar w:fldCharType="begin"/>
      </w:r>
      <w:r>
        <w:instrText xml:space="preserve"> PAGEREF _Toc184810112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17.</w:t>
      </w:r>
      <w:r>
        <w:rPr>
          <w:snapToGrid w:val="0"/>
        </w:rPr>
        <w:tab/>
        <w:t>False information</w:t>
      </w:r>
      <w:r>
        <w:tab/>
      </w:r>
      <w:r>
        <w:fldChar w:fldCharType="begin"/>
      </w:r>
      <w:r>
        <w:instrText xml:space="preserve"> PAGEREF _Toc184810113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18.</w:t>
      </w:r>
      <w:r>
        <w:rPr>
          <w:snapToGrid w:val="0"/>
        </w:rPr>
        <w:tab/>
        <w:t>Offence to compensate surety</w:t>
      </w:r>
      <w:r>
        <w:tab/>
      </w:r>
      <w:r>
        <w:fldChar w:fldCharType="begin"/>
      </w:r>
      <w:r>
        <w:instrText xml:space="preserve"> PAGEREF _Toc184810114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Form 6</w:t>
      </w:r>
    </w:p>
    <w:p>
      <w:pPr>
        <w:pStyle w:val="TOC4"/>
        <w:tabs>
          <w:tab w:val="right" w:leader="dot" w:pos="7077"/>
        </w:tabs>
        <w:rPr>
          <w:rFonts w:asciiTheme="minorHAnsi" w:eastAsiaTheme="minorEastAsia" w:hAnsiTheme="minorHAnsi" w:cstheme="minorBidi"/>
          <w:b w:val="0"/>
          <w:szCs w:val="22"/>
        </w:rPr>
      </w:pPr>
      <w:r>
        <w:t>Form 8</w:t>
      </w:r>
    </w:p>
    <w:p>
      <w:pPr>
        <w:pStyle w:val="TOC4"/>
        <w:tabs>
          <w:tab w:val="right" w:leader="dot" w:pos="7077"/>
        </w:tabs>
        <w:rPr>
          <w:rFonts w:asciiTheme="minorHAnsi" w:eastAsiaTheme="minorEastAsia" w:hAnsiTheme="minorHAnsi" w:cstheme="minorBidi"/>
          <w:b w:val="0"/>
          <w:szCs w:val="22"/>
        </w:rPr>
      </w:pPr>
      <w:r>
        <w:t>Form 9</w:t>
      </w:r>
    </w:p>
    <w:p>
      <w:pPr>
        <w:pStyle w:val="TOC8"/>
        <w:rPr>
          <w:rFonts w:asciiTheme="minorHAnsi" w:eastAsiaTheme="minorEastAsia" w:hAnsiTheme="minorHAnsi" w:cstheme="minorBidi"/>
          <w:szCs w:val="22"/>
        </w:rPr>
      </w:pPr>
      <w:r>
        <w:rPr>
          <w:snapToGrid w:val="0"/>
        </w:rPr>
        <w:t>1.</w:t>
      </w:r>
      <w:r>
        <w:rPr>
          <w:snapToGrid w:val="0"/>
        </w:rPr>
        <w:tab/>
        <w:t>Contents of this form</w:t>
      </w:r>
      <w:r>
        <w:tab/>
      </w:r>
      <w:r>
        <w:fldChar w:fldCharType="begin"/>
      </w:r>
      <w:r>
        <w:instrText xml:space="preserve"> PAGEREF _Toc184810118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2.</w:t>
      </w:r>
      <w:r>
        <w:rPr>
          <w:snapToGrid w:val="0"/>
        </w:rPr>
        <w:tab/>
        <w:t>Meaning and function of surety</w:t>
      </w:r>
      <w:r>
        <w:tab/>
      </w:r>
      <w:r>
        <w:fldChar w:fldCharType="begin"/>
      </w:r>
      <w:r>
        <w:instrText xml:space="preserve"> PAGEREF _Toc184810119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3.</w:t>
      </w:r>
      <w:r>
        <w:rPr>
          <w:snapToGrid w:val="0"/>
        </w:rPr>
        <w:tab/>
        <w:t>Information to be given to surety</w:t>
      </w:r>
      <w:r>
        <w:tab/>
      </w:r>
      <w:r>
        <w:fldChar w:fldCharType="begin"/>
      </w:r>
      <w:r>
        <w:instrText xml:space="preserve"> PAGEREF _Toc184810120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4.</w:t>
      </w:r>
      <w:r>
        <w:rPr>
          <w:snapToGrid w:val="0"/>
        </w:rPr>
        <w:tab/>
        <w:t>Application for approval</w:t>
      </w:r>
      <w:r>
        <w:tab/>
      </w:r>
      <w:r>
        <w:fldChar w:fldCharType="begin"/>
      </w:r>
      <w:r>
        <w:instrText xml:space="preserve"> PAGEREF _Toc184810121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5.</w:t>
      </w:r>
      <w:r>
        <w:rPr>
          <w:snapToGrid w:val="0"/>
        </w:rPr>
        <w:tab/>
        <w:t>Disqualified persons</w:t>
      </w:r>
      <w:r>
        <w:tab/>
      </w:r>
      <w:r>
        <w:fldChar w:fldCharType="begin"/>
      </w:r>
      <w:r>
        <w:instrText xml:space="preserve"> PAGEREF _Toc184810122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lastRenderedPageBreak/>
        <w:t>6.</w:t>
      </w:r>
      <w:r>
        <w:rPr>
          <w:snapToGrid w:val="0"/>
        </w:rPr>
        <w:tab/>
        <w:t>Points to be considered</w:t>
      </w:r>
      <w:r>
        <w:tab/>
      </w:r>
      <w:r>
        <w:fldChar w:fldCharType="begin"/>
      </w:r>
      <w:r>
        <w:instrText xml:space="preserve"> PAGEREF _Toc184810123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7.</w:t>
      </w:r>
      <w:r>
        <w:rPr>
          <w:snapToGrid w:val="0"/>
        </w:rPr>
        <w:tab/>
        <w:t>Reconsideration</w:t>
      </w:r>
      <w:r>
        <w:tab/>
      </w:r>
      <w:r>
        <w:fldChar w:fldCharType="begin"/>
      </w:r>
      <w:r>
        <w:instrText xml:space="preserve"> PAGEREF _Toc184810124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8.</w:t>
      </w:r>
      <w:r>
        <w:rPr>
          <w:snapToGrid w:val="0"/>
        </w:rPr>
        <w:tab/>
        <w:t>Copy of surety undertaking</w:t>
      </w:r>
      <w:r>
        <w:tab/>
      </w:r>
      <w:r>
        <w:fldChar w:fldCharType="begin"/>
      </w:r>
      <w:r>
        <w:instrText xml:space="preserve"> PAGEREF _Toc184810125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9.</w:t>
      </w:r>
      <w:r>
        <w:rPr>
          <w:snapToGrid w:val="0"/>
        </w:rPr>
        <w:tab/>
        <w:t>Remand etc. of accused to later date</w:t>
      </w:r>
      <w:r>
        <w:tab/>
      </w:r>
      <w:r>
        <w:fldChar w:fldCharType="begin"/>
      </w:r>
      <w:r>
        <w:instrText xml:space="preserve"> PAGEREF _Toc184810126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10.</w:t>
      </w:r>
      <w:r>
        <w:rPr>
          <w:snapToGrid w:val="0"/>
        </w:rPr>
        <w:tab/>
        <w:t>Change of address</w:t>
      </w:r>
      <w:r>
        <w:tab/>
      </w:r>
      <w:r>
        <w:fldChar w:fldCharType="begin"/>
      </w:r>
      <w:r>
        <w:instrText xml:space="preserve"> PAGEREF _Toc184810127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 xml:space="preserve">11. </w:t>
      </w:r>
      <w:r>
        <w:rPr>
          <w:snapToGrid w:val="0"/>
        </w:rPr>
        <w:tab/>
        <w:t>Action by surety where accused likely to default</w:t>
      </w:r>
      <w:r>
        <w:tab/>
      </w:r>
      <w:r>
        <w:fldChar w:fldCharType="begin"/>
      </w:r>
      <w:r>
        <w:instrText xml:space="preserve"> PAGEREF _Toc184810128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12.</w:t>
      </w:r>
      <w:r>
        <w:rPr>
          <w:snapToGrid w:val="0"/>
        </w:rPr>
        <w:tab/>
        <w:t>Cancellation of surety undertaking</w:t>
      </w:r>
      <w:r>
        <w:tab/>
      </w:r>
      <w:r>
        <w:fldChar w:fldCharType="begin"/>
      </w:r>
      <w:r>
        <w:instrText xml:space="preserve"> PAGEREF _Toc184810129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13.</w:t>
      </w:r>
      <w:r>
        <w:rPr>
          <w:snapToGrid w:val="0"/>
        </w:rPr>
        <w:tab/>
        <w:t>Enforcing payment by surety</w:t>
      </w:r>
      <w:r>
        <w:tab/>
      </w:r>
      <w:r>
        <w:fldChar w:fldCharType="begin"/>
      </w:r>
      <w:r>
        <w:instrText xml:space="preserve"> PAGEREF _Toc184810130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 xml:space="preserve">14. </w:t>
      </w:r>
      <w:r>
        <w:rPr>
          <w:snapToGrid w:val="0"/>
        </w:rPr>
        <w:tab/>
        <w:t>Cases of hardship</w:t>
      </w:r>
      <w:r>
        <w:tab/>
      </w:r>
      <w:r>
        <w:fldChar w:fldCharType="begin"/>
      </w:r>
      <w:r>
        <w:instrText xml:space="preserve"> PAGEREF _Toc184810131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15.</w:t>
      </w:r>
      <w:r>
        <w:rPr>
          <w:snapToGrid w:val="0"/>
        </w:rPr>
        <w:tab/>
        <w:t>Surety becoming unsuitable</w:t>
      </w:r>
      <w:r>
        <w:tab/>
      </w:r>
      <w:r>
        <w:fldChar w:fldCharType="begin"/>
      </w:r>
      <w:r>
        <w:instrText xml:space="preserve"> PAGEREF _Toc184810132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 xml:space="preserve">16. </w:t>
      </w:r>
      <w:r>
        <w:rPr>
          <w:snapToGrid w:val="0"/>
        </w:rPr>
        <w:tab/>
        <w:t>Offence to compensate surety</w:t>
      </w:r>
      <w:r>
        <w:tab/>
      </w:r>
      <w:r>
        <w:fldChar w:fldCharType="begin"/>
      </w:r>
      <w:r>
        <w:instrText xml:space="preserve"> PAGEREF _Toc184810133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Form 11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_Toc184810136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Bail Act 1982</w:t>
      </w:r>
    </w:p>
    <w:p>
      <w:pPr>
        <w:pStyle w:val="NameofActReg"/>
      </w:pPr>
      <w:r>
        <w:t>Bail Regulations 1988</w:t>
      </w:r>
    </w:p>
    <w:p>
      <w:pPr>
        <w:pStyle w:val="Heading5"/>
        <w:rPr>
          <w:snapToGrid w:val="0"/>
        </w:rPr>
      </w:pPr>
      <w:bookmarkStart w:id="2" w:name="_Toc184810071"/>
      <w:r>
        <w:rPr>
          <w:rStyle w:val="CharSectno"/>
        </w:rPr>
        <w:t>1</w:t>
      </w:r>
      <w:r>
        <w:rPr>
          <w:snapToGrid w:val="0"/>
        </w:rPr>
        <w:t>.</w:t>
      </w:r>
      <w:r>
        <w:rPr>
          <w:snapToGrid w:val="0"/>
        </w:rPr>
        <w:tab/>
        <w:t>Citation</w:t>
      </w:r>
      <w:bookmarkEnd w:id="2"/>
      <w:r>
        <w:rPr>
          <w:snapToGrid w:val="0"/>
        </w:rPr>
        <w:t xml:space="preserve"> </w:t>
      </w:r>
    </w:p>
    <w:p>
      <w:pPr>
        <w:pStyle w:val="Subsection"/>
      </w:pPr>
      <w:r>
        <w:rPr>
          <w:snapToGrid w:val="0"/>
        </w:rPr>
        <w:tab/>
      </w:r>
      <w:r>
        <w:rPr>
          <w:snapToGrid w:val="0"/>
        </w:rPr>
        <w:tab/>
        <w:t xml:space="preserve">These regulations may be cited as the </w:t>
      </w:r>
      <w:r>
        <w:rPr>
          <w:i/>
          <w:snapToGrid w:val="0"/>
        </w:rPr>
        <w:t>Bail Regulations 1988</w:t>
      </w:r>
      <w:r>
        <w:rPr>
          <w:snapToGrid w:val="0"/>
        </w:rPr>
        <w:t>.</w:t>
      </w:r>
    </w:p>
    <w:p>
      <w:pPr>
        <w:pStyle w:val="Heading5"/>
        <w:rPr>
          <w:snapToGrid w:val="0"/>
        </w:rPr>
      </w:pPr>
      <w:bookmarkStart w:id="3" w:name="_Toc184810072"/>
      <w:r>
        <w:rPr>
          <w:rStyle w:val="CharSectno"/>
        </w:rPr>
        <w:t>2</w:t>
      </w:r>
      <w:r>
        <w:rPr>
          <w:snapToGrid w:val="0"/>
        </w:rPr>
        <w:t>.</w:t>
      </w:r>
      <w:r>
        <w:rPr>
          <w:snapToGrid w:val="0"/>
        </w:rPr>
        <w:tab/>
        <w:t>Commencement</w:t>
      </w:r>
      <w:bookmarkEnd w:id="3"/>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p>
    <w:p>
      <w:pPr>
        <w:pStyle w:val="Heading5"/>
      </w:pPr>
      <w:bookmarkStart w:id="4" w:name="_Toc184810073"/>
      <w:r>
        <w:rPr>
          <w:rStyle w:val="CharSectno"/>
        </w:rPr>
        <w:t>3A</w:t>
      </w:r>
      <w:r>
        <w:t>.</w:t>
      </w:r>
      <w:r>
        <w:tab/>
        <w:t>Terms used</w:t>
      </w:r>
      <w:bookmarkEnd w:id="4"/>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Department</w:t>
      </w:r>
      <w:r>
        <w:t xml:space="preserve"> means the department of the Public Service principally assisting in the administration of the Act;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working day</w:t>
      </w:r>
      <w:r>
        <w:t xml:space="preserve"> means a day other than a Saturday, a Sunday, or a public holiday.</w:t>
      </w:r>
    </w:p>
    <w:p>
      <w:pPr>
        <w:pStyle w:val="Footnotesection"/>
      </w:pPr>
      <w:r>
        <w:tab/>
        <w:t>[Regulation 3A inserted: Gazette 12 Sep 2014 p. 3282; amended: Gazette 29 Jun 2018 p. 2436; 31 Dec 2019 p. 4669</w:t>
      </w:r>
      <w:r>
        <w:noBreakHyphen/>
        <w:t>70.]</w:t>
      </w:r>
    </w:p>
    <w:p>
      <w:pPr>
        <w:pStyle w:val="Heading5"/>
        <w:rPr>
          <w:snapToGrid w:val="0"/>
        </w:rPr>
      </w:pPr>
      <w:bookmarkStart w:id="5" w:name="_Toc184810074"/>
      <w:r>
        <w:rPr>
          <w:rStyle w:val="CharSectno"/>
        </w:rPr>
        <w:t>3</w:t>
      </w:r>
      <w:r>
        <w:rPr>
          <w:snapToGrid w:val="0"/>
        </w:rPr>
        <w:t>.</w:t>
      </w:r>
      <w:r>
        <w:rPr>
          <w:snapToGrid w:val="0"/>
        </w:rPr>
        <w:tab/>
        <w:t>Information prescribed for sections 8(1)(a) and 37(1)(b) of the Act</w:t>
      </w:r>
      <w:bookmarkEnd w:id="5"/>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lastRenderedPageBreak/>
        <w:tab/>
        <w:t>(2)</w:t>
      </w:r>
      <w:r>
        <w:rPr>
          <w:snapToGrid w:val="0"/>
        </w:rPr>
        <w:tab/>
        <w:t>The information set out in Form 9 in the Schedule is prescribed for the purposes of section 37(1)(b) of the Act.</w:t>
      </w:r>
    </w:p>
    <w:p>
      <w:pPr>
        <w:pStyle w:val="Ednotesection"/>
      </w:pPr>
      <w:r>
        <w:t>[</w:t>
      </w:r>
      <w:r>
        <w:rPr>
          <w:b/>
          <w:bCs/>
        </w:rPr>
        <w:t>4, 5.</w:t>
      </w:r>
      <w:r>
        <w:tab/>
        <w:t>Deleted: Gazette 25 Feb 2009 p. 473.]</w:t>
      </w:r>
    </w:p>
    <w:p>
      <w:pPr>
        <w:pStyle w:val="Heading5"/>
        <w:rPr>
          <w:snapToGrid w:val="0"/>
        </w:rPr>
      </w:pPr>
      <w:bookmarkStart w:id="6" w:name="_Toc184810075"/>
      <w:r>
        <w:rPr>
          <w:rStyle w:val="CharSectno"/>
        </w:rPr>
        <w:t>6</w:t>
      </w:r>
      <w:r>
        <w:rPr>
          <w:snapToGrid w:val="0"/>
        </w:rPr>
        <w:t>.</w:t>
      </w:r>
      <w:r>
        <w:rPr>
          <w:snapToGrid w:val="0"/>
        </w:rPr>
        <w:tab/>
        <w:t>Forms prescribed</w:t>
      </w:r>
      <w:bookmarkEnd w:id="6"/>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pPr>
      <w:r>
        <w:tab/>
        <w:t>(3)</w:t>
      </w:r>
      <w:r>
        <w:tab/>
        <w:t>Form 6 consists of a court copy, a releasing authority’s copy and an accused’s copy as set out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w:t>
      </w:r>
      <w:r>
        <w:t>accused’s copy</w:t>
      </w:r>
      <w:r>
        <w:rPr>
          <w:snapToGrid w:val="0"/>
        </w:rPr>
        <w:t xml:space="preserv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releasing authority’s copy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r>
              <w:rPr>
                <w:szCs w:val="22"/>
              </w:rPr>
              <w:t xml:space="preserve"> and 50Q(5)</w:t>
            </w:r>
          </w:p>
        </w:tc>
        <w:tc>
          <w:tcPr>
            <w:tcW w:w="3543" w:type="dxa"/>
            <w:tcBorders>
              <w:top w:val="nil"/>
              <w:left w:val="nil"/>
              <w:bottom w:val="nil"/>
              <w:right w:val="nil"/>
            </w:tcBorders>
          </w:tcPr>
          <w:p>
            <w:pPr>
              <w:pStyle w:val="Table"/>
            </w:pPr>
            <w:r>
              <w:t>Form 11 (warrant to arrest)</w:t>
            </w:r>
          </w:p>
        </w:tc>
      </w:tr>
    </w:tbl>
    <w:p>
      <w:pPr>
        <w:pStyle w:val="Footnotesection"/>
      </w:pPr>
      <w:r>
        <w:tab/>
        <w:t xml:space="preserve">[Regulation 6 amended: Gazette 22 Mar 1991 p. 1212; 4 Mar 1994 p. 852; 25 Feb 2009 p. 473-4; 12 Sep 2014 p. 3282; SL 2024/252 r. 4.] </w:t>
      </w:r>
    </w:p>
    <w:p>
      <w:pPr>
        <w:pStyle w:val="Heading5"/>
      </w:pPr>
      <w:bookmarkStart w:id="7" w:name="_Toc184810076"/>
      <w:r>
        <w:rPr>
          <w:rStyle w:val="CharSectno"/>
        </w:rPr>
        <w:lastRenderedPageBreak/>
        <w:t>7AA</w:t>
      </w:r>
      <w:r>
        <w:t>.</w:t>
      </w:r>
      <w:r>
        <w:tab/>
        <w:t>Entering information on ECMS</w:t>
      </w:r>
      <w:bookmarkEnd w:id="7"/>
    </w:p>
    <w:p>
      <w:pPr>
        <w:pStyle w:val="Subsection"/>
      </w:pPr>
      <w:r>
        <w:tab/>
        <w:t>(1)</w:t>
      </w:r>
      <w:r>
        <w:tab/>
        <w:t>Each form in the Schedule may be completed electronically by an approved user by entering the information required to complete the form into the ECMS.</w:t>
      </w:r>
    </w:p>
    <w:p>
      <w:pPr>
        <w:pStyle w:val="Subsection"/>
      </w:pPr>
      <w:r>
        <w:tab/>
        <w:t>(2)</w:t>
      </w:r>
      <w:r>
        <w:tab/>
        <w:t>If a hard copy of a form in the Schedule is handed to a court, an officer of the court must enter the information contained in the form into the ECMS.</w:t>
      </w:r>
    </w:p>
    <w:p>
      <w:pPr>
        <w:pStyle w:val="Footnotesection"/>
      </w:pPr>
      <w:r>
        <w:tab/>
        <w:t>[Regulation 7AA inserted: Gazette 12 Sep 2014 p. 3282</w:t>
      </w:r>
      <w:r>
        <w:noBreakHyphen/>
        <w:t xml:space="preserve">3; amended: Gazette 31 Dec 2019 p. 4670.] </w:t>
      </w:r>
    </w:p>
    <w:p>
      <w:pPr>
        <w:pStyle w:val="Heading5"/>
      </w:pPr>
      <w:bookmarkStart w:id="8" w:name="_Toc184810077"/>
      <w:r>
        <w:rPr>
          <w:rStyle w:val="CharSectno"/>
        </w:rPr>
        <w:t>7AB</w:t>
      </w:r>
      <w:r>
        <w:t>.</w:t>
      </w:r>
      <w:r>
        <w:tab/>
        <w:t>Providing notice under section 13A(3) of the Act electronically</w:t>
      </w:r>
      <w:bookmarkEnd w:id="8"/>
    </w:p>
    <w:p>
      <w:pPr>
        <w:pStyle w:val="Subsection"/>
      </w:pPr>
      <w:r>
        <w:tab/>
        <w:t>(1)</w:t>
      </w:r>
      <w:r>
        <w:tab/>
        <w:t xml:space="preserve">For the purposes of section 13B(1)(c) of the Act, written notice to the accused under section 13A(3)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13B(2) of the Act — </w:t>
      </w:r>
    </w:p>
    <w:p>
      <w:pPr>
        <w:pStyle w:val="Indenta"/>
      </w:pPr>
      <w:r>
        <w:tab/>
        <w:t>(a)</w:t>
      </w:r>
      <w:r>
        <w:tab/>
        <w:t>may be incorporated in an electronic form of the file copy of the notice to the accused by noting the matters referred to in that subsection on the ECMS in respect of the notice; or</w:t>
      </w:r>
    </w:p>
    <w:p>
      <w:pPr>
        <w:pStyle w:val="Indenta"/>
        <w:keepNext/>
      </w:pPr>
      <w:r>
        <w:lastRenderedPageBreak/>
        <w:tab/>
        <w:t>(b)</w:t>
      </w:r>
      <w:r>
        <w:tab/>
        <w:t>may be associated electronically with the file copy of the notice to the accused by means of the ECMS.</w:t>
      </w:r>
    </w:p>
    <w:p>
      <w:pPr>
        <w:pStyle w:val="Subsection"/>
        <w:keepNext/>
      </w:pPr>
      <w:r>
        <w:tab/>
        <w:t>(3)</w:t>
      </w:r>
      <w:r>
        <w:tab/>
        <w:t xml:space="preserve">A certificate referred to in section 13B(2)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Footnotesection"/>
      </w:pPr>
      <w:r>
        <w:tab/>
        <w:t xml:space="preserve">[Regulation 7AB inserted: Gazette 12 Sep 2014 p. 3283; amended: Gazette 31 Dec 2019 p. 4670.] </w:t>
      </w:r>
    </w:p>
    <w:p>
      <w:pPr>
        <w:pStyle w:val="Heading5"/>
      </w:pPr>
      <w:bookmarkStart w:id="9" w:name="_Toc184810078"/>
      <w:r>
        <w:rPr>
          <w:rStyle w:val="CharSectno"/>
        </w:rPr>
        <w:t>7A</w:t>
      </w:r>
      <w:r>
        <w:t>.</w:t>
      </w:r>
      <w:r>
        <w:tab/>
        <w:t>Notice under s. 13A(3) of the Act to be made available to court before which accused to appear</w:t>
      </w:r>
      <w:bookmarkEnd w:id="9"/>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made available as soon as is practicable to the court before which the accused is required to appear.</w:t>
      </w:r>
    </w:p>
    <w:p>
      <w:pPr>
        <w:pStyle w:val="Footnotesection"/>
      </w:pPr>
      <w:r>
        <w:tab/>
        <w:t xml:space="preserve">[Regulation 7A inserted: Gazette 25 Feb 2009 p. 474; amended: Gazette 12 Sep 2014 p. 3284.] </w:t>
      </w:r>
    </w:p>
    <w:p>
      <w:pPr>
        <w:pStyle w:val="Heading5"/>
        <w:pageBreakBefore/>
        <w:spacing w:before="0"/>
      </w:pPr>
      <w:bookmarkStart w:id="10" w:name="_Toc184810079"/>
      <w:r>
        <w:rPr>
          <w:rStyle w:val="CharSectno"/>
        </w:rPr>
        <w:lastRenderedPageBreak/>
        <w:t>7</w:t>
      </w:r>
      <w:r>
        <w:t>.</w:t>
      </w:r>
      <w:r>
        <w:tab/>
        <w:t>Relevant papers prescribed for s. 27 of the Act</w:t>
      </w:r>
      <w:bookmarkEnd w:id="10"/>
    </w:p>
    <w:p>
      <w:pPr>
        <w:pStyle w:val="Subsection"/>
      </w:pPr>
      <w:r>
        <w:tab/>
        <w:t>(1)</w:t>
      </w:r>
      <w:r>
        <w:tab/>
        <w:t xml:space="preserve">For the purposes of the definition of the </w:t>
      </w:r>
      <w:r>
        <w:rPr>
          <w:b/>
          <w:bCs/>
          <w:i/>
          <w:iCs/>
        </w:rPr>
        <w:t>relevant papers</w:t>
      </w:r>
      <w:r>
        <w:t xml:space="preserve"> in section 27(2) of the Act — </w:t>
      </w:r>
    </w:p>
    <w:p>
      <w:pPr>
        <w:pStyle w:val="Indenta"/>
      </w:pPr>
      <w:r>
        <w:tab/>
        <w:t>(a)</w:t>
      </w:r>
      <w:r>
        <w:tab/>
        <w:t xml:space="preserve">the following papers are to be made available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made available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made available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 xml:space="preserve">in circumstances involving a committal to the Supreme Court or District Court or a change of venue of any proceedings, if the papers concerned are in the custody </w:t>
      </w:r>
      <w:r>
        <w:lastRenderedPageBreak/>
        <w:t>of the court from which the committal is made or the venue is changed.</w:t>
      </w:r>
    </w:p>
    <w:p>
      <w:pPr>
        <w:pStyle w:val="Subsection"/>
      </w:pPr>
      <w:r>
        <w:tab/>
        <w:t>(3)</w:t>
      </w:r>
      <w:r>
        <w:tab/>
        <w:t xml:space="preserve">A relevant paper made available electronically that is required to be signed by a person is authenticated for the purposes of the </w:t>
      </w:r>
      <w:r>
        <w:rPr>
          <w:i/>
        </w:rPr>
        <w:t>Courts and Tribunals (Electronic Processes Facilitation) Act 2013</w:t>
      </w:r>
      <w:r>
        <w:t xml:space="preserve"> section 10 if — </w:t>
      </w:r>
    </w:p>
    <w:p>
      <w:pPr>
        <w:pStyle w:val="Indenta"/>
        <w:spacing w:before="120"/>
      </w:pPr>
      <w:r>
        <w:tab/>
        <w:t>(a)</w:t>
      </w:r>
      <w:r>
        <w:tab/>
        <w:t>an electronic version of it that includes the signature on it is made available; or</w:t>
      </w:r>
    </w:p>
    <w:p>
      <w:pPr>
        <w:pStyle w:val="Indenta"/>
        <w:spacing w:before="120"/>
      </w:pPr>
      <w:r>
        <w:tab/>
        <w:t>(b)</w:t>
      </w:r>
      <w:r>
        <w:tab/>
        <w:t>the electronic version that is made available states the name of the person whose signature it is at any place where a signature appears in the paper version.</w:t>
      </w:r>
    </w:p>
    <w:p>
      <w:pPr>
        <w:pStyle w:val="Subsection"/>
      </w:pPr>
      <w:r>
        <w:tab/>
        <w:t>(4)</w:t>
      </w:r>
      <w:r>
        <w:tab/>
        <w:t xml:space="preserve">A person who makes available electronically a relevant paper that is required to be signed must ensure that, subject to any order of the court, arrangements are made for the retention of a paper version of the relevant paper that was — </w:t>
      </w:r>
    </w:p>
    <w:p>
      <w:pPr>
        <w:pStyle w:val="Indenta"/>
        <w:spacing w:before="120"/>
      </w:pPr>
      <w:r>
        <w:tab/>
        <w:t>(a)</w:t>
      </w:r>
      <w:r>
        <w:tab/>
        <w:t>signed according to law; and</w:t>
      </w:r>
    </w:p>
    <w:p>
      <w:pPr>
        <w:pStyle w:val="Indenta"/>
        <w:spacing w:before="120"/>
      </w:pPr>
      <w:r>
        <w:tab/>
        <w:t>(b)</w:t>
      </w:r>
      <w:r>
        <w:tab/>
        <w:t>held by the person at the time the paper was made available.</w:t>
      </w:r>
    </w:p>
    <w:p>
      <w:pPr>
        <w:pStyle w:val="Footnotesection"/>
        <w:spacing w:before="160"/>
        <w:ind w:left="890" w:hanging="890"/>
      </w:pPr>
      <w:r>
        <w:tab/>
        <w:t xml:space="preserve">[Regulation 7 inserted: Gazette 25 Feb 2009 p. 475-6; amended: Gazette 12 Sep 2014 p. 3284.] </w:t>
      </w:r>
    </w:p>
    <w:p>
      <w:pPr>
        <w:pStyle w:val="Heading5"/>
      </w:pPr>
      <w:bookmarkStart w:id="11" w:name="_Toc184810080"/>
      <w:r>
        <w:rPr>
          <w:rStyle w:val="CharSectno"/>
        </w:rPr>
        <w:t>8A</w:t>
      </w:r>
      <w:r>
        <w:t>.</w:t>
      </w:r>
      <w:r>
        <w:tab/>
        <w:t>Amending bail undertaking electronically</w:t>
      </w:r>
      <w:bookmarkEnd w:id="11"/>
    </w:p>
    <w:p>
      <w:pPr>
        <w:pStyle w:val="Subsection"/>
      </w:pPr>
      <w:r>
        <w:tab/>
        <w:t>(1)</w:t>
      </w:r>
      <w:r>
        <w:tab/>
        <w:t xml:space="preserve">For the purposes of the </w:t>
      </w:r>
      <w:r>
        <w:rPr>
          <w:i/>
        </w:rPr>
        <w:t>Courts and Tribunals (Electronic Processes Facilitation) Act 2013</w:t>
      </w:r>
      <w:r>
        <w:t xml:space="preserve"> section 11, the certificate referred to in section 31A(3)(b) of the Act, including any statement referred to in section 31A(4) of the Act, may be incorporated in an electronic form of the court copy of the bail undertaking by an officer of the court noting in the ECMS the relevant matters in respect of the bail undertaking. </w:t>
      </w:r>
    </w:p>
    <w:p>
      <w:pPr>
        <w:pStyle w:val="Subsection"/>
        <w:keepNext/>
      </w:pPr>
      <w:r>
        <w:tab/>
        <w:t>(2)</w:t>
      </w:r>
      <w:r>
        <w:tab/>
        <w:t xml:space="preserve">A certificate incorporated in a bail undertaking under subregulation (1) is authenticated for the purposes of the </w:t>
      </w:r>
      <w:r>
        <w:rPr>
          <w:i/>
        </w:rPr>
        <w:t>Courts and Tribunals (Electronic Processes Facilitation) Act 2013</w:t>
      </w:r>
      <w:r>
        <w:t xml:space="preserve"> </w:t>
      </w:r>
      <w:r>
        <w:lastRenderedPageBreak/>
        <w:t>section 10 if the name of the officer of the court who notes the relevant matters in the ECMS is stated on the electronic form of the court copy of the bail undertaking.</w:t>
      </w:r>
    </w:p>
    <w:p>
      <w:pPr>
        <w:pStyle w:val="Footnotesection"/>
      </w:pPr>
      <w:r>
        <w:tab/>
        <w:t>[Regulation 8A inserted: Gazette 12 Sep 2014 p. 3284</w:t>
      </w:r>
      <w:r>
        <w:noBreakHyphen/>
        <w:t xml:space="preserve">5; amended: Gazette 31 Dec 2019 p. 4670.] </w:t>
      </w:r>
    </w:p>
    <w:p>
      <w:pPr>
        <w:pStyle w:val="Heading5"/>
      </w:pPr>
      <w:bookmarkStart w:id="12" w:name="_Toc184810081"/>
      <w:r>
        <w:rPr>
          <w:rStyle w:val="CharSectno"/>
        </w:rPr>
        <w:t>8B</w:t>
      </w:r>
      <w:r>
        <w:t>.</w:t>
      </w:r>
      <w:r>
        <w:tab/>
        <w:t>Giving and proof of notices under section 32(1) of the Act</w:t>
      </w:r>
      <w:bookmarkEnd w:id="12"/>
    </w:p>
    <w:p>
      <w:pPr>
        <w:pStyle w:val="Subsection"/>
      </w:pPr>
      <w:r>
        <w:tab/>
        <w:t>(1)</w:t>
      </w:r>
      <w:r>
        <w:tab/>
        <w:t xml:space="preserve">For the purposes of section 32(1)(c) of the Act, written notice to the accused under section 31(2)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32(2) of the Act — </w:t>
      </w:r>
    </w:p>
    <w:p>
      <w:pPr>
        <w:pStyle w:val="Indenta"/>
      </w:pPr>
      <w:r>
        <w:tab/>
        <w:t>(a)</w:t>
      </w:r>
      <w:r>
        <w:tab/>
        <w:t>may be incorporated in an electronic form of the file copy of the notice to the accused by noting the relevant matters in the ECMS in respect of the notice; or</w:t>
      </w:r>
    </w:p>
    <w:p>
      <w:pPr>
        <w:pStyle w:val="Indenta"/>
      </w:pPr>
      <w:r>
        <w:tab/>
        <w:t>(b)</w:t>
      </w:r>
      <w:r>
        <w:tab/>
        <w:t>may be associated electronically with the file copy of the notice to the accused by means of the ECMS.</w:t>
      </w:r>
    </w:p>
    <w:p>
      <w:pPr>
        <w:pStyle w:val="Subsection"/>
      </w:pPr>
      <w:r>
        <w:tab/>
        <w:t>(3)</w:t>
      </w:r>
      <w:r>
        <w:tab/>
        <w:t xml:space="preserve">A certificate referred to in section 32(2)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person who gave, sent or provided the notice is recorded on the certificate. </w:t>
      </w:r>
    </w:p>
    <w:p>
      <w:pPr>
        <w:pStyle w:val="Subsection"/>
        <w:keepNext/>
      </w:pPr>
      <w:r>
        <w:lastRenderedPageBreak/>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Subsection"/>
      </w:pPr>
      <w:r>
        <w:tab/>
        <w:t>(5)</w:t>
      </w:r>
      <w:r>
        <w:tab/>
        <w:t xml:space="preserve">For the purposes of the </w:t>
      </w:r>
      <w:r>
        <w:rPr>
          <w:i/>
        </w:rPr>
        <w:t>Courts and Tribunals (Electronic Processes Facilitation) Act 2013</w:t>
      </w:r>
      <w:r>
        <w:t xml:space="preserve"> section 11, a certificate referred to in section 32(4) of the Act may be incorporated electronically in the accused’s bail undertaking by noting the relevant matters on an electronic form of the undertaking by means of the ECMS.</w:t>
      </w:r>
    </w:p>
    <w:p>
      <w:pPr>
        <w:pStyle w:val="Footnotesection"/>
      </w:pPr>
      <w:r>
        <w:tab/>
        <w:t>[Regulation 8B inserted: Gazette 12 Sep 2014 p. 3285</w:t>
      </w:r>
      <w:r>
        <w:noBreakHyphen/>
        <w:t xml:space="preserve">6; amended: Gazette 31 Dec 2019 p. 4670.] </w:t>
      </w:r>
    </w:p>
    <w:p>
      <w:pPr>
        <w:pStyle w:val="Heading5"/>
      </w:pPr>
      <w:bookmarkStart w:id="13" w:name="_Toc184810082"/>
      <w:r>
        <w:rPr>
          <w:rStyle w:val="CharSectno"/>
        </w:rPr>
        <w:t>8</w:t>
      </w:r>
      <w:r>
        <w:t>.</w:t>
      </w:r>
      <w:r>
        <w:tab/>
        <w:t>Notice of application for approval as a surety</w:t>
      </w:r>
      <w:bookmarkEnd w:id="13"/>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keepNext/>
      </w:pPr>
      <w:r>
        <w:lastRenderedPageBreak/>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 xml:space="preserve">[Regulation 8 inserted: Gazette 25 Feb 2009 p. 476-7.] </w:t>
      </w:r>
    </w:p>
    <w:p>
      <w:pPr>
        <w:pStyle w:val="Heading5"/>
      </w:pPr>
      <w:bookmarkStart w:id="14" w:name="_Toc184810083"/>
      <w:r>
        <w:rPr>
          <w:rStyle w:val="CharSectno"/>
        </w:rPr>
        <w:t>9AA</w:t>
      </w:r>
      <w:r>
        <w:t>.</w:t>
      </w:r>
      <w:r>
        <w:tab/>
        <w:t>Provision of information and form to surety undertaking electronically</w:t>
      </w:r>
      <w:bookmarkEnd w:id="14"/>
    </w:p>
    <w:p>
      <w:pPr>
        <w:pStyle w:val="Subsection"/>
        <w:keepNext/>
      </w:pPr>
      <w:r>
        <w:tab/>
        <w:t>(1)</w:t>
      </w:r>
      <w:r>
        <w:tab/>
        <w:t xml:space="preserve">The notice, information and declaration referred to in section 37(1) of the Act may be provided to the applicant by — </w:t>
      </w:r>
    </w:p>
    <w:p>
      <w:pPr>
        <w:pStyle w:val="Indenta"/>
      </w:pPr>
      <w:r>
        <w:tab/>
        <w:t>(a)</w:t>
      </w:r>
      <w:r>
        <w:tab/>
        <w:t>faxing the notice, information or declaration to a fax number provided by the applicant; or</w:t>
      </w:r>
    </w:p>
    <w:p>
      <w:pPr>
        <w:pStyle w:val="Indenta"/>
      </w:pPr>
      <w:r>
        <w:tab/>
        <w:t>(b)</w:t>
      </w:r>
      <w:r>
        <w:tab/>
        <w:t>emailing the notice, information or declaration (whether or not as an attachment) to an email address provided by the applicant.</w:t>
      </w:r>
    </w:p>
    <w:p>
      <w:pPr>
        <w:pStyle w:val="Subsection"/>
      </w:pPr>
      <w:r>
        <w:tab/>
        <w:t>(2)</w:t>
      </w:r>
      <w:r>
        <w:tab/>
        <w:t xml:space="preserve">The declaration referred to in section 37(1)(c) of the Act, duly completed, may be provided to the surety approval officer by — </w:t>
      </w:r>
    </w:p>
    <w:p>
      <w:pPr>
        <w:pStyle w:val="Indenta"/>
      </w:pPr>
      <w:r>
        <w:tab/>
        <w:t>(a)</w:t>
      </w:r>
      <w:r>
        <w:tab/>
        <w:t>faxing the declaration to a fax number provided by the surety approval officer; or</w:t>
      </w:r>
    </w:p>
    <w:p>
      <w:pPr>
        <w:pStyle w:val="Indenta"/>
      </w:pPr>
      <w:r>
        <w:tab/>
        <w:t>(b)</w:t>
      </w:r>
      <w:r>
        <w:tab/>
        <w:t>emailing the declaration (whether or not as an attachment) to an email address provided by the surety approval officer.</w:t>
      </w:r>
    </w:p>
    <w:p>
      <w:pPr>
        <w:pStyle w:val="Footnotesection"/>
      </w:pPr>
      <w:r>
        <w:tab/>
        <w:t xml:space="preserve">[Regulation 9AA inserted: Gazette 12 Sep 2014 p. 3286.] </w:t>
      </w:r>
    </w:p>
    <w:p>
      <w:pPr>
        <w:pStyle w:val="Heading5"/>
      </w:pPr>
      <w:bookmarkStart w:id="15" w:name="_Toc184810084"/>
      <w:r>
        <w:rPr>
          <w:rStyle w:val="CharSectno"/>
        </w:rPr>
        <w:t>9AB</w:t>
      </w:r>
      <w:r>
        <w:t>.</w:t>
      </w:r>
      <w:r>
        <w:tab/>
        <w:t>Provision of surety undertaking to proposed surety electronically</w:t>
      </w:r>
      <w:bookmarkEnd w:id="15"/>
    </w:p>
    <w:p>
      <w:pPr>
        <w:pStyle w:val="Subsection"/>
      </w:pPr>
      <w:r>
        <w:tab/>
        <w:t>(1)</w:t>
      </w:r>
      <w:r>
        <w:tab/>
        <w:t xml:space="preserve">For the purpose of section 43A(4) and (7) of the Act, the relevant official may provide a surety undertaking for </w:t>
      </w:r>
      <w:r>
        <w:lastRenderedPageBreak/>
        <w:t xml:space="preserve">completion or a copy of a completed surety undertaking, as required, to a person by — </w:t>
      </w:r>
    </w:p>
    <w:p>
      <w:pPr>
        <w:pStyle w:val="Indenta"/>
      </w:pPr>
      <w:r>
        <w:tab/>
        <w:t>(a)</w:t>
      </w:r>
      <w:r>
        <w:tab/>
        <w:t>faxing the document to a fax number provided by the person; or</w:t>
      </w:r>
    </w:p>
    <w:p>
      <w:pPr>
        <w:pStyle w:val="Indenta"/>
      </w:pPr>
      <w:r>
        <w:tab/>
        <w:t>(b)</w:t>
      </w:r>
      <w:r>
        <w:tab/>
        <w:t>emailing the document (whether or not as an attachment) to an email address provided by the person.</w:t>
      </w:r>
    </w:p>
    <w:p>
      <w:pPr>
        <w:pStyle w:val="Subsection"/>
      </w:pPr>
      <w:r>
        <w:tab/>
        <w:t>(2)</w:t>
      </w:r>
      <w:r>
        <w:tab/>
        <w:t xml:space="preserve">For the purpose of section 43A(5) of the Act, the proposed surety may provide the completed surety undertaking to the relevant official by electronic communication by — </w:t>
      </w:r>
    </w:p>
    <w:p>
      <w:pPr>
        <w:pStyle w:val="Indenta"/>
      </w:pPr>
      <w:r>
        <w:tab/>
        <w:t>(a)</w:t>
      </w:r>
      <w:r>
        <w:tab/>
        <w:t>faxing the declaration to a fax number provided by the relevant official; or</w:t>
      </w:r>
    </w:p>
    <w:p>
      <w:pPr>
        <w:pStyle w:val="Indenta"/>
      </w:pPr>
      <w:r>
        <w:tab/>
        <w:t>(b)</w:t>
      </w:r>
      <w:r>
        <w:tab/>
        <w:t>emailing the declaration (whether or not as an attachment) to an email address provided by the relevant official.</w:t>
      </w:r>
    </w:p>
    <w:p>
      <w:pPr>
        <w:pStyle w:val="Subsection"/>
      </w:pPr>
      <w:r>
        <w:tab/>
        <w:t>(3)</w:t>
      </w:r>
      <w:r>
        <w:tab/>
        <w:t xml:space="preserve">An electronic copy of a surety undertaking certified to be a copy of a surety undertaking entered into in accordance with section 43A of the Act is authenticated for the purposes of the </w:t>
      </w:r>
      <w:r>
        <w:rPr>
          <w:i/>
        </w:rPr>
        <w:t>Courts and Tribunals (Electronic Processes Facilitation) Act 2013</w:t>
      </w:r>
      <w:r>
        <w:t xml:space="preserve"> section 10 if the electronic copy states the name of the relevant official by whom the certification is made.</w:t>
      </w:r>
    </w:p>
    <w:p>
      <w:pPr>
        <w:pStyle w:val="Footnotesection"/>
      </w:pPr>
      <w:r>
        <w:tab/>
        <w:t>[Regulation 9AB inserted: Gazette 12 Sep 2014 p. 3286</w:t>
      </w:r>
      <w:r>
        <w:noBreakHyphen/>
        <w:t xml:space="preserve">7.] </w:t>
      </w:r>
    </w:p>
    <w:p>
      <w:pPr>
        <w:pStyle w:val="Heading5"/>
      </w:pPr>
      <w:bookmarkStart w:id="16" w:name="_Toc184810085"/>
      <w:r>
        <w:rPr>
          <w:rStyle w:val="CharSectno"/>
        </w:rPr>
        <w:t>9AC</w:t>
      </w:r>
      <w:r>
        <w:t>.</w:t>
      </w:r>
      <w:r>
        <w:tab/>
        <w:t>Provision of notice to surety electronically</w:t>
      </w:r>
      <w:bookmarkEnd w:id="16"/>
    </w:p>
    <w:p>
      <w:pPr>
        <w:pStyle w:val="Subsection"/>
      </w:pPr>
      <w:r>
        <w:tab/>
        <w:t>(1)</w:t>
      </w:r>
      <w:r>
        <w:tab/>
        <w:t xml:space="preserve">For the purpose of section 45(1)(c)(ii) of the Act, the approved form may be provided to the surety by — </w:t>
      </w:r>
    </w:p>
    <w:p>
      <w:pPr>
        <w:pStyle w:val="Indenta"/>
      </w:pPr>
      <w:r>
        <w:tab/>
        <w:t>(a)</w:t>
      </w:r>
      <w:r>
        <w:tab/>
        <w:t>faxing the form to a fax number provided by the surety; or</w:t>
      </w:r>
    </w:p>
    <w:p>
      <w:pPr>
        <w:pStyle w:val="Indenta"/>
      </w:pPr>
      <w:r>
        <w:tab/>
        <w:t>(b)</w:t>
      </w:r>
      <w:r>
        <w:tab/>
        <w:t>emailing an electronic version of the form (whether or not as an attachment) to an email address provided by the surety.</w:t>
      </w:r>
    </w:p>
    <w:p>
      <w:pPr>
        <w:pStyle w:val="Subsection"/>
        <w:keepNext/>
      </w:pPr>
      <w:r>
        <w:lastRenderedPageBreak/>
        <w:tab/>
        <w:t>(2)</w:t>
      </w:r>
      <w:r>
        <w:tab/>
        <w:t xml:space="preserve">For the purposes of the </w:t>
      </w:r>
      <w:r>
        <w:rPr>
          <w:i/>
        </w:rPr>
        <w:t>Courts and Tribunals (Electronic Processes Facilitation) Act 2013</w:t>
      </w:r>
      <w:r>
        <w:t xml:space="preserve"> section 11, the certificate referred to in section 45(2) of the Act — </w:t>
      </w:r>
    </w:p>
    <w:p>
      <w:pPr>
        <w:pStyle w:val="Indenta"/>
      </w:pPr>
      <w:r>
        <w:tab/>
        <w:t>(a)</w:t>
      </w:r>
      <w:r>
        <w:tab/>
        <w:t>may be incorporated in an electronic form of the file copy of the notice to the surety by noting the relevant matters in the ECMS in respect of the notice; or</w:t>
      </w:r>
    </w:p>
    <w:p>
      <w:pPr>
        <w:pStyle w:val="Indenta"/>
      </w:pPr>
      <w:r>
        <w:tab/>
        <w:t>(b)</w:t>
      </w:r>
      <w:r>
        <w:tab/>
        <w:t>may be associated electronically with the file copy of the notice to the surety by means of the ECMS.</w:t>
      </w:r>
    </w:p>
    <w:p>
      <w:pPr>
        <w:pStyle w:val="Subsection"/>
        <w:keepNext/>
      </w:pPr>
      <w:r>
        <w:tab/>
        <w:t>(3)</w:t>
      </w:r>
      <w:r>
        <w:tab/>
        <w:t xml:space="preserve">If an approved form is provided by electronic means in accordance with this regulation, the form is to be presumed, unless the contrary is shown, to have been received — </w:t>
      </w:r>
    </w:p>
    <w:p>
      <w:pPr>
        <w:pStyle w:val="Indenta"/>
      </w:pPr>
      <w:r>
        <w:tab/>
        <w:t>(a)</w:t>
      </w:r>
      <w:r>
        <w:tab/>
        <w:t>if the fax or email is sent before 4.00 p.m. on a working day — on that day; or</w:t>
      </w:r>
    </w:p>
    <w:p>
      <w:pPr>
        <w:pStyle w:val="Indenta"/>
      </w:pPr>
      <w:r>
        <w:tab/>
        <w:t>(b)</w:t>
      </w:r>
      <w:r>
        <w:tab/>
        <w:t>otherwise — on the next working day after the fax or email is sent.</w:t>
      </w:r>
    </w:p>
    <w:p>
      <w:pPr>
        <w:pStyle w:val="Subsection"/>
      </w:pPr>
      <w:r>
        <w:tab/>
        <w:t>(4)</w:t>
      </w:r>
      <w:r>
        <w:tab/>
        <w:t xml:space="preserve">An endorsement on an electronic form of a notice given under section 45(1)(b) or (c) of the Act that purports to be a certificate referred to in section 45(2) of the Act is authenticated for the purposes of the </w:t>
      </w:r>
      <w:r>
        <w:rPr>
          <w:i/>
        </w:rPr>
        <w:t>Courts and Tribunals (Electronic Processes Facilitation) Act 2013</w:t>
      </w:r>
      <w:r>
        <w:t xml:space="preserve"> section 10 if the electronic version states the name of the person who made the endorsement.</w:t>
      </w:r>
    </w:p>
    <w:p>
      <w:pPr>
        <w:pStyle w:val="Footnotesection"/>
      </w:pPr>
      <w:r>
        <w:tab/>
        <w:t>[Regulation 9AC inserted: Gazette 12 Sep 2014 p. 3287</w:t>
      </w:r>
      <w:r>
        <w:noBreakHyphen/>
        <w:t xml:space="preserve">8; amended: Gazette 31 Dec 2019 p. 4670.] </w:t>
      </w:r>
    </w:p>
    <w:p>
      <w:pPr>
        <w:pStyle w:val="Heading5"/>
      </w:pPr>
      <w:bookmarkStart w:id="17" w:name="_Toc184810086"/>
      <w:r>
        <w:rPr>
          <w:rStyle w:val="CharSectno"/>
        </w:rPr>
        <w:t>9A</w:t>
      </w:r>
      <w:r>
        <w:t>.</w:t>
      </w:r>
      <w:r>
        <w:tab/>
        <w:t>Application for cancellation of surety undertaking — court of summary jurisdiction</w:t>
      </w:r>
      <w:bookmarkEnd w:id="17"/>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keepNext/>
      </w:pPr>
      <w:r>
        <w:lastRenderedPageBreak/>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 xml:space="preserve">[Regulation 9A inserted: Gazette 25 Feb 2009 p. 477.] </w:t>
      </w:r>
    </w:p>
    <w:p>
      <w:pPr>
        <w:pStyle w:val="Heading5"/>
      </w:pPr>
      <w:bookmarkStart w:id="18" w:name="_Toc184810087"/>
      <w:r>
        <w:rPr>
          <w:rStyle w:val="CharSectno"/>
        </w:rPr>
        <w:t>9B</w:t>
      </w:r>
      <w:r>
        <w:t>.</w:t>
      </w:r>
      <w:r>
        <w:tab/>
        <w:t>Application for forfeiture of amount in surety undertaking — court of summary jurisdiction</w:t>
      </w:r>
      <w:bookmarkEnd w:id="18"/>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 xml:space="preserve">[Regulation 9B inserted: Gazette 25 Feb 2009 p. 478.] </w:t>
      </w:r>
    </w:p>
    <w:p>
      <w:pPr>
        <w:pStyle w:val="Heading5"/>
        <w:rPr>
          <w:snapToGrid w:val="0"/>
        </w:rPr>
      </w:pPr>
      <w:bookmarkStart w:id="19" w:name="_Toc184296970"/>
      <w:bookmarkStart w:id="20" w:name="_Toc184723907"/>
      <w:bookmarkStart w:id="21" w:name="_Toc184810088"/>
      <w:r>
        <w:rPr>
          <w:rStyle w:val="CharSectno"/>
        </w:rPr>
        <w:lastRenderedPageBreak/>
        <w:t>9</w:t>
      </w:r>
      <w:r>
        <w:t>.</w:t>
      </w:r>
      <w:r>
        <w:tab/>
      </w:r>
      <w:r>
        <w:rPr>
          <w:snapToGrid w:val="0"/>
        </w:rPr>
        <w:t>Accused to be given copy of conditions applicable to home detention condition or electronic monitoring condition</w:t>
      </w:r>
      <w:bookmarkEnd w:id="19"/>
      <w:bookmarkEnd w:id="20"/>
      <w:bookmarkEnd w:id="21"/>
    </w:p>
    <w:p>
      <w:pPr>
        <w:pStyle w:val="Subsection"/>
      </w:pPr>
      <w:r>
        <w:tab/>
        <w:t>(1)</w:t>
      </w:r>
      <w:r>
        <w:tab/>
        <w:t>If an accused is granted bail subject to a home detention condition the accused must, when entering into the bail undertaking —</w:t>
      </w:r>
    </w:p>
    <w:p>
      <w:pPr>
        <w:pStyle w:val="Indenta"/>
      </w:pPr>
      <w:r>
        <w:tab/>
        <w:t>(a)</w:t>
      </w:r>
      <w:r>
        <w:tab/>
        <w:t xml:space="preserve">be provided with a list of the conditions in rules </w:t>
      </w:r>
      <w:r>
        <w:rPr>
          <w:snapToGrid w:val="0"/>
        </w:rPr>
        <w:t xml:space="preserve">made under section 50L of the Act that may be applied to the accused by the </w:t>
      </w:r>
      <w:r>
        <w:t xml:space="preserve">CEO (corrections) </w:t>
      </w:r>
      <w:r>
        <w:rPr>
          <w:snapToGrid w:val="0"/>
        </w:rPr>
        <w:t xml:space="preserve">while the </w:t>
      </w:r>
      <w:r>
        <w:t>accused</w:t>
      </w:r>
      <w:r>
        <w:rPr>
          <w:snapToGrid w:val="0"/>
        </w:rPr>
        <w:t xml:space="preserve"> is subject to the home detention condition; and</w:t>
      </w:r>
    </w:p>
    <w:p>
      <w:pPr>
        <w:pStyle w:val="Indenta"/>
      </w:pPr>
      <w:r>
        <w:tab/>
        <w:t>(b)</w:t>
      </w:r>
      <w:r>
        <w:tab/>
        <w:t>acknowledge in writing that the list referred to in paragraph (a) has been provided.</w:t>
      </w:r>
    </w:p>
    <w:p>
      <w:pPr>
        <w:pStyle w:val="Subsection"/>
      </w:pPr>
      <w:r>
        <w:tab/>
        <w:t>(2)</w:t>
      </w:r>
      <w:r>
        <w:tab/>
        <w:t>If an accused is granted bail subject to an electronic monitoring condition the accused must, when entering into the bail undertaking —</w:t>
      </w:r>
    </w:p>
    <w:p>
      <w:pPr>
        <w:pStyle w:val="Indenta"/>
      </w:pPr>
      <w:r>
        <w:tab/>
        <w:t>(a)</w:t>
      </w:r>
      <w:r>
        <w:tab/>
        <w:t xml:space="preserve">be provided with a list of the conditions in rules </w:t>
      </w:r>
      <w:r>
        <w:rPr>
          <w:snapToGrid w:val="0"/>
        </w:rPr>
        <w:t xml:space="preserve">made under section 50U of the Act that may be applied to the accused by the </w:t>
      </w:r>
      <w:r>
        <w:t xml:space="preserve">CEO (corrections) </w:t>
      </w:r>
      <w:r>
        <w:rPr>
          <w:snapToGrid w:val="0"/>
        </w:rPr>
        <w:t xml:space="preserve">while the </w:t>
      </w:r>
      <w:r>
        <w:t>accused</w:t>
      </w:r>
      <w:r>
        <w:rPr>
          <w:snapToGrid w:val="0"/>
        </w:rPr>
        <w:t xml:space="preserve"> is subject to the electronic monitoring condition; and</w:t>
      </w:r>
    </w:p>
    <w:p>
      <w:pPr>
        <w:pStyle w:val="Indenta"/>
      </w:pPr>
      <w:r>
        <w:tab/>
        <w:t>(b)</w:t>
      </w:r>
      <w:r>
        <w:tab/>
        <w:t>acknowledge in writing that the list referred to in paragraph (a) has been provided.</w:t>
      </w:r>
    </w:p>
    <w:p>
      <w:pPr>
        <w:pStyle w:val="Footnotesection"/>
      </w:pPr>
      <w:r>
        <w:tab/>
        <w:t>[Regulation 9 inserted: SL 2024/252 r. 5.]</w:t>
      </w:r>
    </w:p>
    <w:p>
      <w:pPr>
        <w:pStyle w:val="Heading5"/>
      </w:pPr>
      <w:bookmarkStart w:id="22" w:name="_Toc184810089"/>
      <w:r>
        <w:rPr>
          <w:rStyle w:val="CharSectno"/>
        </w:rPr>
        <w:t>10A</w:t>
      </w:r>
      <w:r>
        <w:t>.</w:t>
      </w:r>
      <w:r>
        <w:tab/>
        <w:t>Notifying change of residential address</w:t>
      </w:r>
      <w:bookmarkEnd w:id="22"/>
    </w:p>
    <w:p>
      <w:pPr>
        <w:pStyle w:val="Subsection"/>
        <w:keepNext/>
      </w:pPr>
      <w:r>
        <w:tab/>
      </w:r>
      <w:r>
        <w:tab/>
        <w:t xml:space="preserve">For the purposes of section 60 of the Act notice of the change of residential address of the accused or of a surety may be provided to the registrar of the court by — </w:t>
      </w:r>
    </w:p>
    <w:p>
      <w:pPr>
        <w:pStyle w:val="Indenta"/>
      </w:pPr>
      <w:r>
        <w:tab/>
        <w:t>(a)</w:t>
      </w:r>
      <w:r>
        <w:tab/>
        <w:t>sending details of the change by fax to the court’s fax number; or</w:t>
      </w:r>
    </w:p>
    <w:p>
      <w:pPr>
        <w:pStyle w:val="Indenta"/>
      </w:pPr>
      <w:r>
        <w:tab/>
        <w:t>(b)</w:t>
      </w:r>
      <w:r>
        <w:tab/>
        <w:t>emailing details of the change to the court’s email address.</w:t>
      </w:r>
    </w:p>
    <w:p>
      <w:pPr>
        <w:pStyle w:val="Footnotesection"/>
      </w:pPr>
      <w:r>
        <w:tab/>
        <w:t xml:space="preserve">[Regulation 10A inserted: Gazette 12 Sep 2014 p. 3288.] </w:t>
      </w:r>
    </w:p>
    <w:p>
      <w:pPr>
        <w:pStyle w:val="Heading5"/>
      </w:pPr>
      <w:bookmarkStart w:id="23" w:name="_Toc184810090"/>
      <w:r>
        <w:rPr>
          <w:rStyle w:val="CharSectno"/>
        </w:rPr>
        <w:lastRenderedPageBreak/>
        <w:t>10B</w:t>
      </w:r>
      <w:r>
        <w:t>.</w:t>
      </w:r>
      <w:r>
        <w:tab/>
        <w:t>Certificate of non</w:t>
      </w:r>
      <w:r>
        <w:noBreakHyphen/>
        <w:t>appearance</w:t>
      </w:r>
      <w:bookmarkEnd w:id="23"/>
    </w:p>
    <w:p>
      <w:pPr>
        <w:pStyle w:val="Subsection"/>
      </w:pPr>
      <w:r>
        <w:tab/>
        <w:t>(1)</w:t>
      </w:r>
      <w:r>
        <w:tab/>
        <w:t xml:space="preserve">A certificate referred to in section 64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judicial officer or registrar of the court before whom the accused was required to appear is recorded on the certificate as the person who authorised the certificate. </w:t>
      </w:r>
    </w:p>
    <w:p>
      <w:pPr>
        <w:pStyle w:val="Subsection"/>
      </w:pPr>
      <w:r>
        <w:tab/>
        <w:t>(2)</w:t>
      </w:r>
      <w:r>
        <w:tab/>
        <w:t xml:space="preserve">For the purposes of the </w:t>
      </w:r>
      <w:r>
        <w:rPr>
          <w:i/>
        </w:rPr>
        <w:t>Courts and Tribunals (Electronic Processes Facilitation) Act 2013</w:t>
      </w:r>
      <w:r>
        <w:t xml:space="preserve"> section 12, a certificate under section 64 of the Act is issued to the Commissioner of Police for the purposes of sections 51A(3) and 52(3a) of the Act if — </w:t>
      </w:r>
    </w:p>
    <w:p>
      <w:pPr>
        <w:pStyle w:val="Indenta"/>
      </w:pPr>
      <w:r>
        <w:tab/>
        <w:t>(a)</w:t>
      </w:r>
      <w:r>
        <w:tab/>
        <w:t>an electronic form of the certificate is sent to the Commissioner by email; or</w:t>
      </w:r>
    </w:p>
    <w:p>
      <w:pPr>
        <w:pStyle w:val="Indenta"/>
      </w:pPr>
      <w:r>
        <w:tab/>
        <w:t>(b)</w:t>
      </w:r>
      <w:r>
        <w:tab/>
        <w:t xml:space="preserve"> the certificate is made available to the Commissioner by means of the ECMS.</w:t>
      </w:r>
    </w:p>
    <w:p>
      <w:pPr>
        <w:pStyle w:val="Footnotesection"/>
      </w:pPr>
      <w:r>
        <w:tab/>
        <w:t xml:space="preserve">[Regulation 10B inserted: Gazette 12 Sep 2014 p. 3288; amended: Gazette 31 Dec 2019 p. 4670.] </w:t>
      </w:r>
    </w:p>
    <w:p>
      <w:pPr>
        <w:pStyle w:val="Heading5"/>
        <w:rPr>
          <w:snapToGrid w:val="0"/>
        </w:rPr>
      </w:pPr>
      <w:bookmarkStart w:id="24" w:name="_Toc184810091"/>
      <w:r>
        <w:rPr>
          <w:rStyle w:val="CharSectno"/>
        </w:rPr>
        <w:t>10</w:t>
      </w:r>
      <w:r>
        <w:rPr>
          <w:snapToGrid w:val="0"/>
        </w:rPr>
        <w:t>.</w:t>
      </w:r>
      <w:r>
        <w:rPr>
          <w:snapToGrid w:val="0"/>
        </w:rPr>
        <w:tab/>
        <w:t>Formalities for undertaking under Schedule 1 Part C clause 2(3)(c)</w:t>
      </w:r>
      <w:bookmarkEnd w:id="24"/>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pPr>
      <w:r>
        <w:lastRenderedPageBreak/>
        <w:tab/>
        <w:t>(3)</w:t>
      </w:r>
      <w:r>
        <w:tab/>
        <w:t>The person before whom the undertaking is entered into must make available a copy of the undertaking, as duly completed, to the responsible person, or cause such a copy to be made available to him or her.</w:t>
      </w:r>
    </w:p>
    <w:p>
      <w:pPr>
        <w:pStyle w:val="Footnotesection"/>
      </w:pPr>
      <w:r>
        <w:tab/>
        <w:t xml:space="preserve">[Regulation 10 inserted: Gazette 4 Mar 1994 p. 852; amended: Gazette 12 Sep 2014 p. 3289.] </w:t>
      </w:r>
    </w:p>
    <w:p>
      <w:pPr>
        <w:pStyle w:val="Heading5"/>
      </w:pPr>
      <w:bookmarkStart w:id="25" w:name="_Toc184810092"/>
      <w:r>
        <w:rPr>
          <w:rStyle w:val="CharSectno"/>
        </w:rPr>
        <w:t>11</w:t>
      </w:r>
      <w:r>
        <w:t>.</w:t>
      </w:r>
      <w:r>
        <w:tab/>
        <w:t>Persons and programmes prescribed for Schedule 1 Part D clause 2(2b)</w:t>
      </w:r>
      <w:bookmarkEnd w:id="25"/>
    </w:p>
    <w:p>
      <w:pPr>
        <w:pStyle w:val="Subsection"/>
      </w:pPr>
      <w:r>
        <w:tab/>
        <w:t>(1)</w:t>
      </w:r>
      <w:r>
        <w:tab/>
        <w:t>For the purposes of clause 2(2b)(c) of Part D of Schedule 1 to the Act a person who —</w:t>
      </w:r>
    </w:p>
    <w:p>
      <w:pPr>
        <w:pStyle w:val="Indenta"/>
      </w:pPr>
      <w:r>
        <w:tab/>
        <w:t>(a)</w:t>
      </w:r>
      <w:r>
        <w:tab/>
        <w:t xml:space="preserve">is registered under the </w:t>
      </w:r>
      <w:r>
        <w:rPr>
          <w:i/>
        </w:rPr>
        <w:t>Health Practitioner Regulation National Law (Western Australia)</w:t>
      </w:r>
      <w:r>
        <w:t xml:space="preserve"> in the psychology profession; and</w:t>
      </w:r>
    </w:p>
    <w:p>
      <w:pPr>
        <w:pStyle w:val="Indenta"/>
        <w:keepNext/>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spacing w:before="80"/>
        <w:ind w:left="890" w:hanging="890"/>
      </w:pPr>
      <w:r>
        <w:tab/>
        <w:t xml:space="preserve">[Regulation 11 inserted: Gazette 29 Aug 2000 p. 4986; amended: Gazette 25 Feb 2009 p. 479; 6 Mar 2012 p. 895; 29 Jun 2018 p. 2436.] </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6" w:name="_Toc184806456"/>
      <w:bookmarkStart w:id="27" w:name="_Toc184808027"/>
      <w:bookmarkStart w:id="28" w:name="_Toc184810093"/>
      <w:r>
        <w:rPr>
          <w:rStyle w:val="CharSchNo"/>
        </w:rPr>
        <w:lastRenderedPageBreak/>
        <w:t>Schedule</w:t>
      </w:r>
      <w:bookmarkEnd w:id="26"/>
      <w:bookmarkEnd w:id="27"/>
      <w:bookmarkEnd w:id="28"/>
      <w:r>
        <w:rPr>
          <w:rStyle w:val="CharSchText"/>
        </w:rPr>
        <w:t xml:space="preserve"> </w:t>
      </w:r>
    </w:p>
    <w:p>
      <w:pPr>
        <w:pStyle w:val="yShoulderClause"/>
        <w:rPr>
          <w:snapToGrid w:val="0"/>
        </w:rPr>
      </w:pPr>
      <w:r>
        <w:rPr>
          <w:snapToGrid w:val="0"/>
        </w:rPr>
        <w:t>[reg. 3(1)]</w:t>
      </w:r>
    </w:p>
    <w:p>
      <w:pPr>
        <w:pStyle w:val="yHeading3"/>
      </w:pPr>
      <w:bookmarkStart w:id="29" w:name="_Toc184806457"/>
      <w:bookmarkStart w:id="30" w:name="_Toc184808028"/>
      <w:bookmarkStart w:id="31" w:name="_Toc184810094"/>
      <w:r>
        <w:rPr>
          <w:rStyle w:val="CharSClsNo"/>
        </w:rPr>
        <w:t>Form 1</w:t>
      </w:r>
      <w:bookmarkEnd w:id="29"/>
      <w:bookmarkEnd w:id="30"/>
      <w:bookmarkEnd w:id="31"/>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outlineLvl w:val="9"/>
        <w:rPr>
          <w:snapToGrid w:val="0"/>
        </w:rPr>
      </w:pPr>
      <w:bookmarkStart w:id="32" w:name="_Toc184810095"/>
      <w:r>
        <w:rPr>
          <w:snapToGrid w:val="0"/>
        </w:rPr>
        <w:t>1.</w:t>
      </w:r>
      <w:r>
        <w:rPr>
          <w:snapToGrid w:val="0"/>
        </w:rPr>
        <w:tab/>
        <w:t>Summary</w:t>
      </w:r>
      <w:bookmarkEnd w:id="32"/>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outlineLvl w:val="9"/>
        <w:rPr>
          <w:snapToGrid w:val="0"/>
        </w:rPr>
      </w:pPr>
      <w:bookmarkStart w:id="33" w:name="_Toc184810096"/>
      <w:r>
        <w:rPr>
          <w:snapToGrid w:val="0"/>
        </w:rPr>
        <w:t>2.</w:t>
      </w:r>
      <w:r>
        <w:rPr>
          <w:snapToGrid w:val="0"/>
        </w:rPr>
        <w:tab/>
        <w:t>Bail information form</w:t>
      </w:r>
      <w:bookmarkEnd w:id="33"/>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outlineLvl w:val="9"/>
        <w:rPr>
          <w:snapToGrid w:val="0"/>
        </w:rPr>
      </w:pPr>
      <w:bookmarkStart w:id="34" w:name="_Toc184810097"/>
      <w:r>
        <w:rPr>
          <w:snapToGrid w:val="0"/>
        </w:rPr>
        <w:t>3.</w:t>
      </w:r>
      <w:r>
        <w:rPr>
          <w:snapToGrid w:val="0"/>
        </w:rPr>
        <w:tab/>
        <w:t>At time of arrest</w:t>
      </w:r>
      <w:bookmarkEnd w:id="34"/>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lastRenderedPageBreak/>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 or</w:t>
      </w:r>
    </w:p>
    <w:p>
      <w:pPr>
        <w:pStyle w:val="yIndenta"/>
      </w:pPr>
      <w:r>
        <w:tab/>
        <w:t>(b)</w:t>
      </w:r>
      <w:r>
        <w:tab/>
        <w:t>where the arrest is made under a warrant; or</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pPr>
      <w:r>
        <w:tab/>
        <w:t>(d)</w:t>
      </w:r>
      <w:r>
        <w:tab/>
        <w:t>where the arrest is made in an urban area (as defined) for an offence that involves breach of a family violence restraining order or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except —</w:t>
      </w:r>
    </w:p>
    <w:p>
      <w:pPr>
        <w:pStyle w:val="yIndenta"/>
      </w:pPr>
      <w:r>
        <w:tab/>
        <w:t>(a)</w:t>
      </w:r>
      <w:r>
        <w:tab/>
        <w:t>for the offence of murder; or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pPr>
      <w:r>
        <w:tab/>
        <w:t>(c)</w:t>
      </w:r>
      <w:r>
        <w:tab/>
        <w:t>where the arrest is made in an urban area (as defined) for an offence that involves breach of a family violence restraining order or violence restraining order.</w:t>
      </w:r>
    </w:p>
    <w:p>
      <w:pPr>
        <w:pStyle w:val="yHeading5"/>
        <w:outlineLvl w:val="9"/>
        <w:rPr>
          <w:snapToGrid w:val="0"/>
        </w:rPr>
      </w:pPr>
      <w:bookmarkStart w:id="35" w:name="_Toc184810098"/>
      <w:r>
        <w:rPr>
          <w:snapToGrid w:val="0"/>
        </w:rPr>
        <w:t>4.</w:t>
      </w:r>
      <w:r>
        <w:rPr>
          <w:snapToGrid w:val="0"/>
        </w:rPr>
        <w:tab/>
        <w:t>On appearance in court</w:t>
      </w:r>
      <w:bookmarkEnd w:id="35"/>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lastRenderedPageBreak/>
        <w:tab/>
        <w:t>(b)</w:t>
      </w:r>
      <w:r>
        <w:rPr>
          <w:snapToGrid w:val="0"/>
        </w:rPr>
        <w:tab/>
        <w:t>you did not present your case properly at the time when bail was refused.</w:t>
      </w:r>
    </w:p>
    <w:p>
      <w:pPr>
        <w:pStyle w:val="ySubsection"/>
      </w:pPr>
      <w:r>
        <w:tab/>
      </w:r>
      <w:r>
        <w:tab/>
        <w:t>If you are in custody during a trial that extends beyond one day, a judicial officer need not consider your case for bail, however, you may apply for bail.</w:t>
      </w:r>
    </w:p>
    <w:p>
      <w:pPr>
        <w:pStyle w:val="yHeading5"/>
        <w:outlineLvl w:val="9"/>
        <w:rPr>
          <w:snapToGrid w:val="0"/>
        </w:rPr>
      </w:pPr>
      <w:bookmarkStart w:id="36" w:name="_Toc184810099"/>
      <w:r>
        <w:rPr>
          <w:snapToGrid w:val="0"/>
        </w:rPr>
        <w:t>5.</w:t>
      </w:r>
      <w:r>
        <w:rPr>
          <w:snapToGrid w:val="0"/>
        </w:rPr>
        <w:tab/>
        <w:t>Warrant cases</w:t>
      </w:r>
      <w:bookmarkEnd w:id="36"/>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outlineLvl w:val="9"/>
      </w:pPr>
      <w:bookmarkStart w:id="37" w:name="_Toc184810100"/>
      <w:r>
        <w:t>6.</w:t>
      </w:r>
      <w:r>
        <w:rPr>
          <w:b w:val="0"/>
        </w:rPr>
        <w:tab/>
      </w:r>
      <w:r>
        <w:t>Where charge is murder</w:t>
      </w:r>
      <w:bookmarkEnd w:id="37"/>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outlineLvl w:val="9"/>
        <w:rPr>
          <w:snapToGrid w:val="0"/>
        </w:rPr>
      </w:pPr>
      <w:bookmarkStart w:id="38" w:name="_Toc184810101"/>
      <w:r>
        <w:rPr>
          <w:snapToGrid w:val="0"/>
        </w:rPr>
        <w:t>7.</w:t>
      </w:r>
      <w:r>
        <w:rPr>
          <w:snapToGrid w:val="0"/>
        </w:rPr>
        <w:tab/>
        <w:t>Decision may be delayed</w:t>
      </w:r>
      <w:bookmarkEnd w:id="38"/>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outlineLvl w:val="9"/>
        <w:rPr>
          <w:snapToGrid w:val="0"/>
        </w:rPr>
      </w:pPr>
      <w:bookmarkStart w:id="39" w:name="_Toc184810102"/>
      <w:r>
        <w:rPr>
          <w:snapToGrid w:val="0"/>
        </w:rPr>
        <w:t>8.</w:t>
      </w:r>
      <w:r>
        <w:rPr>
          <w:snapToGrid w:val="0"/>
        </w:rPr>
        <w:tab/>
        <w:t>How decision to be made — adult</w:t>
      </w:r>
      <w:bookmarkEnd w:id="39"/>
    </w:p>
    <w:p>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outlineLvl w:val="9"/>
        <w:rPr>
          <w:snapToGrid w:val="0"/>
        </w:rPr>
      </w:pPr>
      <w:bookmarkStart w:id="40" w:name="_Toc184810103"/>
      <w:r>
        <w:rPr>
          <w:snapToGrid w:val="0"/>
        </w:rPr>
        <w:t>8A.</w:t>
      </w:r>
      <w:r>
        <w:rPr>
          <w:snapToGrid w:val="0"/>
        </w:rPr>
        <w:tab/>
        <w:t>How decision to be made — child</w:t>
      </w:r>
      <w:bookmarkEnd w:id="40"/>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lastRenderedPageBreak/>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outlineLvl w:val="9"/>
        <w:rPr>
          <w:snapToGrid w:val="0"/>
        </w:rPr>
      </w:pPr>
      <w:bookmarkStart w:id="41" w:name="_Toc184810104"/>
      <w:r>
        <w:rPr>
          <w:snapToGrid w:val="0"/>
        </w:rPr>
        <w:t>8B.</w:t>
      </w:r>
      <w:r>
        <w:rPr>
          <w:snapToGrid w:val="0"/>
        </w:rPr>
        <w:tab/>
        <w:t>Where serious offence committed while on bail for another serious offence</w:t>
      </w:r>
      <w:bookmarkEnd w:id="41"/>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outlineLvl w:val="9"/>
        <w:rPr>
          <w:snapToGrid w:val="0"/>
        </w:rPr>
      </w:pPr>
      <w:bookmarkStart w:id="42" w:name="_Toc184810105"/>
      <w:r>
        <w:rPr>
          <w:snapToGrid w:val="0"/>
        </w:rPr>
        <w:t>9.</w:t>
      </w:r>
      <w:r>
        <w:rPr>
          <w:snapToGrid w:val="0"/>
        </w:rPr>
        <w:tab/>
        <w:t>Points to be considered</w:t>
      </w:r>
      <w:bookmarkEnd w:id="42"/>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keepNext/>
        <w:rPr>
          <w:snapToGrid w:val="0"/>
        </w:rPr>
      </w:pPr>
      <w:r>
        <w:rPr>
          <w:snapToGrid w:val="0"/>
        </w:rPr>
        <w:lastRenderedPageBreak/>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the Magistrates Court</w:t>
      </w:r>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outlineLvl w:val="9"/>
        <w:rPr>
          <w:snapToGrid w:val="0"/>
        </w:rPr>
      </w:pPr>
      <w:bookmarkStart w:id="43" w:name="_Toc184810106"/>
      <w:r>
        <w:rPr>
          <w:snapToGrid w:val="0"/>
        </w:rPr>
        <w:t>10.</w:t>
      </w:r>
      <w:r>
        <w:rPr>
          <w:snapToGrid w:val="0"/>
        </w:rPr>
        <w:tab/>
        <w:t>Conditions</w:t>
      </w:r>
      <w:bookmarkEnd w:id="43"/>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outlineLvl w:val="9"/>
        <w:rPr>
          <w:snapToGrid w:val="0"/>
        </w:rPr>
      </w:pPr>
      <w:bookmarkStart w:id="44" w:name="_Toc184810107"/>
      <w:r>
        <w:rPr>
          <w:snapToGrid w:val="0"/>
        </w:rPr>
        <w:t>11.</w:t>
      </w:r>
      <w:r>
        <w:rPr>
          <w:snapToGrid w:val="0"/>
        </w:rPr>
        <w:tab/>
        <w:t>Accused to receive copy of bail decision form or court record</w:t>
      </w:r>
      <w:bookmarkEnd w:id="44"/>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outlineLvl w:val="9"/>
      </w:pPr>
      <w:bookmarkStart w:id="45" w:name="_Toc184810108"/>
      <w:r>
        <w:lastRenderedPageBreak/>
        <w:t>12.</w:t>
      </w:r>
      <w:r>
        <w:tab/>
        <w:t>Bail undertaking</w:t>
      </w:r>
      <w:bookmarkEnd w:id="45"/>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outlineLvl w:val="9"/>
      </w:pPr>
      <w:bookmarkStart w:id="46" w:name="_Toc184810109"/>
      <w:r>
        <w:t>13.</w:t>
      </w:r>
      <w:r>
        <w:tab/>
        <w:t>Release from custody</w:t>
      </w:r>
      <w:bookmarkEnd w:id="46"/>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outlineLvl w:val="9"/>
      </w:pPr>
      <w:bookmarkStart w:id="47" w:name="_Toc184810110"/>
      <w:r>
        <w:t>14.</w:t>
      </w:r>
      <w:r>
        <w:rPr>
          <w:b w:val="0"/>
        </w:rPr>
        <w:tab/>
      </w:r>
      <w:r>
        <w:t>Reconsideration of decision</w:t>
      </w:r>
      <w:bookmarkEnd w:id="47"/>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outlineLvl w:val="9"/>
      </w:pPr>
      <w:bookmarkStart w:id="48" w:name="_Toc184810111"/>
      <w:r>
        <w:t>15.</w:t>
      </w:r>
      <w:r>
        <w:rPr>
          <w:b w:val="0"/>
        </w:rPr>
        <w:tab/>
      </w:r>
      <w:r>
        <w:t>Application to judge</w:t>
      </w:r>
      <w:bookmarkEnd w:id="48"/>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outlineLvl w:val="9"/>
        <w:rPr>
          <w:snapToGrid w:val="0"/>
        </w:rPr>
      </w:pPr>
      <w:bookmarkStart w:id="49" w:name="_Toc184810112"/>
      <w:r>
        <w:rPr>
          <w:snapToGrid w:val="0"/>
        </w:rPr>
        <w:lastRenderedPageBreak/>
        <w:t>16.</w:t>
      </w:r>
      <w:r>
        <w:rPr>
          <w:snapToGrid w:val="0"/>
        </w:rPr>
        <w:tab/>
        <w:t>Sureties</w:t>
      </w:r>
      <w:bookmarkEnd w:id="49"/>
    </w:p>
    <w:p>
      <w:pPr>
        <w:pStyle w:val="ySubsection"/>
        <w:keepNext/>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outlineLvl w:val="9"/>
        <w:rPr>
          <w:snapToGrid w:val="0"/>
        </w:rPr>
      </w:pPr>
      <w:bookmarkStart w:id="50" w:name="_Toc184810113"/>
      <w:r>
        <w:rPr>
          <w:snapToGrid w:val="0"/>
        </w:rPr>
        <w:t>17.</w:t>
      </w:r>
      <w:r>
        <w:rPr>
          <w:snapToGrid w:val="0"/>
        </w:rPr>
        <w:tab/>
        <w:t>False information</w:t>
      </w:r>
      <w:bookmarkEnd w:id="50"/>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outlineLvl w:val="9"/>
        <w:rPr>
          <w:snapToGrid w:val="0"/>
        </w:rPr>
      </w:pPr>
      <w:bookmarkStart w:id="51" w:name="_Toc184810114"/>
      <w:r>
        <w:rPr>
          <w:snapToGrid w:val="0"/>
        </w:rPr>
        <w:t>18.</w:t>
      </w:r>
      <w:r>
        <w:rPr>
          <w:snapToGrid w:val="0"/>
        </w:rPr>
        <w:tab/>
        <w:t>Offence to compensate surety</w:t>
      </w:r>
      <w:bookmarkEnd w:id="51"/>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Gazette 4 Mar 1994 p. 853-4; 7 Mar 2000 p. 1040; 19 Apr 2005 p. 1295; 25 Feb 2009 p. 479-83; 27 Jun 2017 p. 3433.]</w:t>
      </w:r>
    </w:p>
    <w:p>
      <w:pPr>
        <w:pStyle w:val="yEdnotesection"/>
      </w:pPr>
      <w:r>
        <w:t>[Forms 2</w:t>
      </w:r>
      <w:r>
        <w:noBreakHyphen/>
        <w:t>5 deleted: Gazette 25 Feb 2009 p. 483.]</w:t>
      </w:r>
    </w:p>
    <w:p>
      <w:pPr>
        <w:pStyle w:val="yShoulderClause"/>
        <w:keepNext/>
        <w:pageBreakBefore/>
        <w:rPr>
          <w:snapToGrid w:val="0"/>
        </w:rPr>
      </w:pPr>
      <w:r>
        <w:rPr>
          <w:snapToGrid w:val="0"/>
        </w:rPr>
        <w:lastRenderedPageBreak/>
        <w:t>[reg. 6]</w:t>
      </w:r>
    </w:p>
    <w:p>
      <w:pPr>
        <w:pStyle w:val="yMiscellaneousBody"/>
        <w:jc w:val="right"/>
        <w:rPr>
          <w:snapToGrid w:val="0"/>
        </w:rPr>
      </w:pPr>
      <w:r>
        <w:t>COURT COPY</w:t>
      </w:r>
    </w:p>
    <w:p>
      <w:pPr>
        <w:pStyle w:val="yHeading3"/>
      </w:pPr>
      <w:bookmarkStart w:id="52" w:name="_Toc184806478"/>
      <w:bookmarkStart w:id="53" w:name="_Toc184808049"/>
      <w:bookmarkStart w:id="54" w:name="_Toc184810115"/>
      <w:r>
        <w:rPr>
          <w:rStyle w:val="CharSClsNo"/>
        </w:rPr>
        <w:t>Form 6</w:t>
      </w:r>
      <w:bookmarkEnd w:id="52"/>
      <w:bookmarkEnd w:id="53"/>
      <w:bookmarkEnd w:id="54"/>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yTable"/>
            </w:pPr>
            <w:r>
              <w:t>Telephone No: .......................................</w:t>
            </w:r>
          </w:p>
        </w:tc>
        <w:tc>
          <w:tcPr>
            <w:tcW w:w="3402" w:type="dxa"/>
            <w:tcBorders>
              <w:top w:val="nil"/>
              <w:left w:val="nil"/>
              <w:bottom w:val="nil"/>
              <w:right w:val="nil"/>
            </w:tcBorders>
          </w:tcPr>
          <w:p>
            <w:pPr>
              <w:pStyle w:val="yTable"/>
            </w:pPr>
            <w:r>
              <w:t>Fax No: ..........................................</w:t>
            </w:r>
          </w:p>
        </w:tc>
      </w:tr>
      <w:tr>
        <w:trPr>
          <w:cantSplit/>
        </w:trPr>
        <w:tc>
          <w:tcPr>
            <w:tcW w:w="3806" w:type="dxa"/>
            <w:tcBorders>
              <w:top w:val="nil"/>
              <w:left w:val="nil"/>
              <w:bottom w:val="nil"/>
              <w:right w:val="nil"/>
            </w:tcBorders>
          </w:tcPr>
          <w:p>
            <w:pPr>
              <w:pStyle w:val="yTable"/>
            </w:pPr>
            <w:r>
              <w:t>Mobile No: ............................................</w:t>
            </w:r>
          </w:p>
        </w:tc>
        <w:tc>
          <w:tcPr>
            <w:tcW w:w="3402" w:type="dxa"/>
            <w:tcBorders>
              <w:top w:val="nil"/>
              <w:left w:val="nil"/>
              <w:bottom w:val="nil"/>
              <w:right w:val="nil"/>
            </w:tcBorders>
          </w:tcPr>
          <w:p>
            <w:pPr>
              <w:pStyle w:val="yTable"/>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NAm"/>
      </w:pPr>
      <w:r>
        <w:t>The Department will send electronic notifications in relation to court appearances mentioned in this form.</w:t>
      </w:r>
    </w:p>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keepNext/>
        <w:spacing w:before="240" w:after="160"/>
        <w:jc w:val="center"/>
        <w:rPr>
          <w:b/>
          <w:snapToGrid w:val="0"/>
        </w:rPr>
      </w:pPr>
      <w:r>
        <w:rPr>
          <w:b/>
          <w:snapToGrid w:val="0"/>
        </w:rPr>
        <w:lastRenderedPageBreak/>
        <w:t>UNDERTAKING</w:t>
      </w:r>
    </w:p>
    <w:p>
      <w:pPr>
        <w:pStyle w:val="yTable"/>
        <w:keepNext/>
        <w:rPr>
          <w:snapToGrid w:val="0"/>
        </w:rPr>
      </w:pPr>
      <w:r>
        <w:rPr>
          <w:snapToGrid w:val="0"/>
        </w:rPr>
        <w:t>I, the abovenamed accused — </w:t>
      </w:r>
    </w:p>
    <w:p>
      <w:pPr>
        <w:pStyle w:val="yTable"/>
        <w:keepNext/>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lastRenderedPageBreak/>
        <w:t>[reg. 6]</w:t>
      </w:r>
    </w:p>
    <w:p>
      <w:pPr>
        <w:pStyle w:val="yMiscellaneousBody"/>
        <w:jc w:val="right"/>
        <w:rPr>
          <w:snapToGrid w:val="0"/>
        </w:rPr>
      </w:pPr>
      <w:r>
        <w:t>RELEASING AUTHORITY’S COPY</w:t>
      </w:r>
    </w:p>
    <w:p>
      <w:pPr>
        <w:pStyle w:val="MiscellaneousHeading"/>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p>
        </w:tc>
      </w:tr>
      <w:tr>
        <w:trPr>
          <w:cantSplit/>
        </w:trPr>
        <w:tc>
          <w:tcPr>
            <w:tcW w:w="3806" w:type="dxa"/>
            <w:tcBorders>
              <w:top w:val="nil"/>
              <w:left w:val="nil"/>
              <w:bottom w:val="nil"/>
              <w:right w:val="nil"/>
            </w:tcBorders>
          </w:tcPr>
          <w:p>
            <w:pPr>
              <w:pStyle w:val="zytable"/>
              <w:ind w:left="0" w:right="0"/>
            </w:pPr>
            <w:r>
              <w:t>Mobile No: ...........................................</w:t>
            </w:r>
          </w:p>
        </w:tc>
        <w:tc>
          <w:tcPr>
            <w:tcW w:w="3402" w:type="dxa"/>
            <w:tcBorders>
              <w:top w:val="nil"/>
              <w:left w:val="nil"/>
              <w:bottom w:val="nil"/>
              <w:right w:val="nil"/>
            </w:tcBorders>
          </w:tcPr>
          <w:p>
            <w:pPr>
              <w:pStyle w:val="zytable"/>
              <w:ind w:left="0" w:right="0"/>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NAm"/>
      </w:pPr>
      <w:r>
        <w:t>The Department will send electronic notifications in relation to court appearances mentioned in this form.</w:t>
      </w:r>
    </w:p>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lastRenderedPageBreak/>
        <w:t>UNDERTAKING</w:t>
      </w:r>
    </w:p>
    <w:p>
      <w:pPr>
        <w:pStyle w:val="yTable"/>
        <w:keepNext/>
        <w:rPr>
          <w:snapToGrid w:val="0"/>
        </w:rPr>
      </w:pPr>
      <w:r>
        <w:rPr>
          <w:snapToGrid w:val="0"/>
        </w:rPr>
        <w:t>I, the abovenamed accused — </w:t>
      </w:r>
    </w:p>
    <w:p>
      <w:pPr>
        <w:pStyle w:val="yTable"/>
        <w:keepNext/>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lastRenderedPageBreak/>
        <w:t>[reg. 6]</w:t>
      </w:r>
    </w:p>
    <w:p>
      <w:pPr>
        <w:pStyle w:val="yMiscellaneousBody"/>
        <w:jc w:val="right"/>
        <w:rPr>
          <w:snapToGrid w:val="0"/>
        </w:rPr>
      </w:pPr>
      <w:r>
        <w:t>ACCUSED’S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8"/>
      </w:tblGrid>
      <w:tr>
        <w:trPr>
          <w:cantSplit/>
        </w:trPr>
        <w:tc>
          <w:tcPr>
            <w:tcW w:w="7208" w:type="dxa"/>
            <w:tcBorders>
              <w:top w:val="nil"/>
              <w:left w:val="nil"/>
              <w:bottom w:val="nil"/>
              <w:right w:val="nil"/>
            </w:tcBorders>
          </w:tcPr>
          <w:p>
            <w:pPr>
              <w:pStyle w:val="zytable"/>
              <w:ind w:left="0" w:right="0"/>
            </w:pPr>
            <w:r>
              <w:t>Date of birth: ........................................................................................................</w:t>
            </w:r>
          </w:p>
        </w:tc>
      </w:tr>
      <w:tr>
        <w:trPr>
          <w:cantSplit/>
        </w:trPr>
        <w:tc>
          <w:tcPr>
            <w:tcW w:w="7208" w:type="dxa"/>
            <w:tcBorders>
              <w:top w:val="nil"/>
              <w:left w:val="nil"/>
              <w:bottom w:val="nil"/>
              <w:right w:val="nil"/>
            </w:tcBorders>
          </w:tcPr>
          <w:p>
            <w:pPr>
              <w:pStyle w:val="zytable"/>
              <w:ind w:left="0" w:right="0"/>
            </w:pPr>
            <w:r>
              <w:t>Address: ...............................................................................................................</w:t>
            </w:r>
          </w:p>
        </w:tc>
      </w:tr>
      <w:tr>
        <w:trPr>
          <w:cantSplit/>
        </w:trPr>
        <w:tc>
          <w:tcPr>
            <w:tcW w:w="7208" w:type="dxa"/>
            <w:tcBorders>
              <w:top w:val="nil"/>
              <w:left w:val="nil"/>
              <w:bottom w:val="nil"/>
              <w:right w:val="nil"/>
            </w:tcBorders>
          </w:tcPr>
          <w:tbl>
            <w:tblPr>
              <w:tblW w:w="7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0"/>
              <w:gridCol w:w="3642"/>
            </w:tblGrid>
            <w:tr>
              <w:trPr>
                <w:cantSplit/>
              </w:trPr>
              <w:tc>
                <w:tcPr>
                  <w:tcW w:w="3680" w:type="dxa"/>
                  <w:tcBorders>
                    <w:top w:val="nil"/>
                    <w:left w:val="nil"/>
                    <w:bottom w:val="nil"/>
                    <w:right w:val="nil"/>
                  </w:tcBorders>
                </w:tcPr>
                <w:p>
                  <w:pPr>
                    <w:pStyle w:val="zytable"/>
                    <w:ind w:left="-96" w:right="0"/>
                  </w:pPr>
                  <w:r>
                    <w:t>Telephone No: .......................................</w:t>
                  </w:r>
                </w:p>
              </w:tc>
              <w:tc>
                <w:tcPr>
                  <w:tcW w:w="3642" w:type="dxa"/>
                  <w:tcBorders>
                    <w:top w:val="nil"/>
                    <w:left w:val="nil"/>
                    <w:bottom w:val="nil"/>
                    <w:right w:val="nil"/>
                  </w:tcBorders>
                </w:tcPr>
                <w:p>
                  <w:pPr>
                    <w:pStyle w:val="zytable"/>
                    <w:ind w:left="0" w:right="0"/>
                  </w:pPr>
                  <w:r>
                    <w:t>Fax No: ...........................................</w:t>
                  </w:r>
                </w:p>
              </w:tc>
            </w:tr>
            <w:tr>
              <w:trPr>
                <w:cantSplit/>
              </w:trPr>
              <w:tc>
                <w:tcPr>
                  <w:tcW w:w="3680" w:type="dxa"/>
                  <w:tcBorders>
                    <w:top w:val="nil"/>
                    <w:left w:val="nil"/>
                    <w:bottom w:val="nil"/>
                    <w:right w:val="nil"/>
                  </w:tcBorders>
                </w:tcPr>
                <w:p>
                  <w:pPr>
                    <w:pStyle w:val="zytable"/>
                    <w:ind w:left="-96" w:right="0"/>
                  </w:pPr>
                  <w:r>
                    <w:t>Mobile No: ............................................</w:t>
                  </w:r>
                </w:p>
              </w:tc>
              <w:tc>
                <w:tcPr>
                  <w:tcW w:w="3642" w:type="dxa"/>
                  <w:tcBorders>
                    <w:top w:val="nil"/>
                    <w:left w:val="nil"/>
                    <w:bottom w:val="nil"/>
                    <w:right w:val="nil"/>
                  </w:tcBorders>
                </w:tcPr>
                <w:p>
                  <w:pPr>
                    <w:pStyle w:val="zytable"/>
                    <w:ind w:left="0" w:right="0"/>
                  </w:pPr>
                </w:p>
              </w:tc>
            </w:tr>
          </w:tbl>
          <w:p>
            <w:pPr>
              <w:pStyle w:val="zytable"/>
              <w:ind w:left="0" w:right="0"/>
            </w:pPr>
            <w:r>
              <w:t>Email address: ......................................................................................................</w:t>
            </w:r>
          </w:p>
        </w:tc>
      </w:tr>
    </w:tbl>
    <w:p>
      <w:pPr>
        <w:pStyle w:val="yTableNAm"/>
        <w:rPr>
          <w:snapToGrid w:val="0"/>
        </w:rPr>
      </w:pPr>
      <w:r>
        <w:t>The Department will send electronic notifications in relation to court appearances mentioned in this form.</w:t>
      </w:r>
    </w:p>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lastRenderedPageBreak/>
        <w:t>UNDERTAKING</w:t>
      </w:r>
    </w:p>
    <w:p>
      <w:pPr>
        <w:pStyle w:val="yTable"/>
        <w:keepNext/>
        <w:rPr>
          <w:snapToGrid w:val="0"/>
        </w:rPr>
      </w:pPr>
      <w:r>
        <w:rPr>
          <w:snapToGrid w:val="0"/>
        </w:rPr>
        <w:t>I, the abovenamed accused — </w:t>
      </w:r>
    </w:p>
    <w:p>
      <w:pPr>
        <w:pStyle w:val="yTable"/>
        <w:keepNext/>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keepNext/>
        <w:ind w:left="3119"/>
        <w:rPr>
          <w:b/>
          <w:snapToGrid w:val="0"/>
        </w:rPr>
      </w:pPr>
      <w:r>
        <w:rPr>
          <w:b/>
          <w:snapToGrid w:val="0"/>
        </w:rPr>
        <w:t>TO THE ACCUSED</w:t>
      </w:r>
    </w:p>
    <w:p>
      <w:pPr>
        <w:pStyle w:val="yTable"/>
        <w:keepNext/>
        <w:ind w:left="1276"/>
        <w:rPr>
          <w:snapToGrid w:val="0"/>
        </w:rPr>
      </w:pPr>
      <w:r>
        <w:rPr>
          <w:snapToGrid w:val="0"/>
        </w:rPr>
        <w:t xml:space="preserve">THE NOTICE ON THE REVERSE OF THIS FORM SETS OUT YOUR OBLIGATIONS AND THE CONSEQUENCES OF YOUR FAILURE TO COMPLY WITH THEM. YOU SHOULD READ THE NOTICE OR REQUIRE THE PERSON WHO </w:t>
      </w:r>
      <w:r>
        <w:rPr>
          <w:snapToGrid w:val="0"/>
        </w:rPr>
        <w:lastRenderedPageBreak/>
        <w:t>TAKES YOUR BAIL UNDERTAKING TO READ IT TO YOU OR HAVE IT TRANSLATED TO YOU.</w:t>
      </w:r>
    </w:p>
    <w:p>
      <w:pPr>
        <w:pStyle w:val="yFootnotesection"/>
        <w:keepNext/>
      </w:pPr>
      <w:r>
        <w:tab/>
        <w:t>[Form 6 amended: Gazette 19 Apr 2005 p. 1295; 25 Feb 2009 p. 483</w:t>
      </w:r>
      <w:r>
        <w:noBreakHyphen/>
        <w:t>5; 12 Sep 2014 p. 3289; 29 Jun 2018 p. 2437; SL 2021/38 r. 4.]</w:t>
      </w:r>
    </w:p>
    <w:p>
      <w:pPr>
        <w:pStyle w:val="yEdnotedivision"/>
        <w:keepNext/>
        <w:keepLines/>
      </w:pPr>
      <w:r>
        <w:t>[Form 7 deleted: Gazette 25 Feb 2009 p. 485.]</w:t>
      </w:r>
    </w:p>
    <w:p>
      <w:pPr>
        <w:pStyle w:val="yShoulderClause"/>
        <w:pageBreakBefore/>
        <w:rPr>
          <w:snapToGrid w:val="0"/>
        </w:rPr>
      </w:pPr>
      <w:r>
        <w:rPr>
          <w:snapToGrid w:val="0"/>
        </w:rPr>
        <w:lastRenderedPageBreak/>
        <w:t>[reg. 6]</w:t>
      </w:r>
    </w:p>
    <w:p>
      <w:pPr>
        <w:pStyle w:val="yHeading3"/>
      </w:pPr>
      <w:bookmarkStart w:id="55" w:name="_Toc184806479"/>
      <w:bookmarkStart w:id="56" w:name="_Toc184808050"/>
      <w:bookmarkStart w:id="57" w:name="_Toc184810116"/>
      <w:r>
        <w:rPr>
          <w:rStyle w:val="CharSClsNo"/>
        </w:rPr>
        <w:t>Form 8</w:t>
      </w:r>
      <w:bookmarkEnd w:id="55"/>
      <w:bookmarkEnd w:id="56"/>
      <w:bookmarkEnd w:id="57"/>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r>
        <w:br/>
        <w:t xml:space="preserve"> OF SURETY APPROVAL OFFICER</w:t>
      </w:r>
      <w:r>
        <w:rPr>
          <w:snapToGrid w:val="0"/>
        </w:rPr>
        <w:t xml:space="preserve"> </w:t>
      </w:r>
    </w:p>
    <w:p>
      <w:pPr>
        <w:pStyle w:val="yTable"/>
        <w:pageBreakBefore/>
        <w:jc w:val="center"/>
        <w:rPr>
          <w:b/>
          <w:snapToGrid w:val="0"/>
        </w:rPr>
      </w:pPr>
      <w:r>
        <w:rPr>
          <w:b/>
          <w:snapToGrid w:val="0"/>
        </w:rPr>
        <w:lastRenderedPageBreak/>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t xml:space="preserve"> 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Address ...................................................................................................</w:t>
            </w:r>
          </w:p>
          <w:p>
            <w:pPr>
              <w:pStyle w:val="zytable"/>
              <w:tabs>
                <w:tab w:val="left" w:pos="604"/>
              </w:tabs>
              <w:ind w:left="34" w:right="0"/>
            </w:pPr>
            <w:r>
              <w:tab/>
              <w:t>Telephone No ................................  Fax No............................................</w:t>
            </w:r>
          </w:p>
          <w:p>
            <w:pPr>
              <w:pStyle w:val="zytable"/>
              <w:tabs>
                <w:tab w:val="left" w:pos="604"/>
              </w:tabs>
              <w:ind w:left="34" w:right="0"/>
            </w:pPr>
            <w:r>
              <w:tab/>
              <w:t>Mobile No: ....................................</w:t>
            </w:r>
          </w:p>
          <w:p>
            <w:pPr>
              <w:pStyle w:val="zytable"/>
              <w:tabs>
                <w:tab w:val="left" w:pos="604"/>
              </w:tabs>
              <w:ind w:left="34" w:right="0"/>
            </w:pPr>
            <w:r>
              <w:tab/>
              <w:t>Email address...........................................................................................</w:t>
            </w:r>
          </w:p>
        </w:tc>
      </w:tr>
      <w:tr>
        <w:trPr>
          <w:cantSplit/>
        </w:trPr>
        <w:tc>
          <w:tcPr>
            <w:tcW w:w="7192" w:type="dxa"/>
            <w:tcBorders>
              <w:top w:val="nil"/>
              <w:left w:val="nil"/>
              <w:bottom w:val="nil"/>
              <w:right w:val="nil"/>
            </w:tcBorders>
          </w:tcPr>
          <w:p>
            <w:pPr>
              <w:pStyle w:val="yTableNAm"/>
              <w:rPr>
                <w:snapToGrid w:val="0"/>
              </w:rPr>
            </w:pPr>
            <w:r>
              <w:rPr>
                <w:snapToGrid w:val="0"/>
              </w:rPr>
              <w:t>3A.</w:t>
            </w:r>
            <w:r>
              <w:rPr>
                <w:snapToGrid w:val="0"/>
              </w:rPr>
              <w:tab/>
              <w:t>Electronic notification of accused’s court appearances</w:t>
            </w:r>
          </w:p>
          <w:p>
            <w:pPr>
              <w:pStyle w:val="yTableNAm"/>
              <w:ind w:left="567" w:hanging="567"/>
            </w:pPr>
            <w:r>
              <w:rPr>
                <w:snapToGrid w:val="0"/>
              </w:rPr>
              <w:tab/>
              <w:t>The Department will send electronic notifications in relation to the accused’s court appearances mentioned in this form.</w:t>
            </w:r>
          </w:p>
          <w:p>
            <w:pPr>
              <w:pStyle w:val="zytable"/>
              <w:tabs>
                <w:tab w:val="left" w:pos="604"/>
              </w:tabs>
              <w:ind w:left="34" w:right="0"/>
            </w:pPr>
            <w:r>
              <w:t>4.</w:t>
            </w:r>
            <w:r>
              <w:tab/>
              <w:t>Occupation ..............................................................................................</w:t>
            </w:r>
          </w:p>
          <w:p>
            <w:pPr>
              <w:pStyle w:val="zytable"/>
              <w:tabs>
                <w:tab w:val="left" w:pos="604"/>
              </w:tabs>
              <w:ind w:left="34" w:right="0"/>
            </w:pPr>
            <w:r>
              <w:tab/>
              <w:t>Employer details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lastRenderedPageBreak/>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MiscellaneousBody"/>
        <w:keepNext/>
        <w:tabs>
          <w:tab w:val="left" w:pos="1134"/>
        </w:tabs>
        <w:rPr>
          <w:snapToGrid w:val="0"/>
        </w:rPr>
      </w:pPr>
      <w:r>
        <w:rPr>
          <w:snapToGrid w:val="0"/>
        </w:rPr>
        <w:lastRenderedPageBreak/>
        <w:t>7.</w:t>
      </w:r>
      <w:r>
        <w:rPr>
          <w:snapToGrid w:val="0"/>
        </w:rPr>
        <w:tab/>
        <w:t>Character</w:t>
      </w:r>
    </w:p>
    <w:p>
      <w:pPr>
        <w:pStyle w:val="yMiscellaneousBody"/>
        <w:keepNext/>
        <w:tabs>
          <w:tab w:val="left" w:pos="1134"/>
        </w:tabs>
        <w:spacing w:before="60"/>
        <w:ind w:left="1134"/>
        <w:rPr>
          <w:snapToGrid w:val="0"/>
        </w:rPr>
      </w:pPr>
      <w:r>
        <w:rPr>
          <w:snapToGrid w:val="0"/>
        </w:rPr>
        <w:t>Do you have any convictions? (tick appropriate box)</w:t>
      </w:r>
    </w:p>
    <w:p>
      <w:pPr>
        <w:pStyle w:val="yMiscellaneousBody"/>
        <w:spacing w:before="6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MiscellaneousBody"/>
        <w:spacing w:before="60"/>
        <w:rPr>
          <w:snapToGrid w:val="0"/>
        </w:rPr>
      </w:pPr>
      <w:r>
        <w:rPr>
          <w:snapToGrid w:val="0"/>
        </w:rPr>
        <w:tab/>
        <w:t>If yes, give details......................................................................</w:t>
      </w:r>
    </w:p>
    <w:p>
      <w:pPr>
        <w:pStyle w:val="yMiscellaneousBody"/>
        <w:rPr>
          <w:snapToGrid w:val="0"/>
        </w:rPr>
      </w:pPr>
      <w:r>
        <w:rPr>
          <w:snapToGrid w:val="0"/>
        </w:rPr>
        <w:tab/>
        <w:t>...................................................................................................</w:t>
      </w:r>
    </w:p>
    <w:p>
      <w:pPr>
        <w:pStyle w:val="yMiscellaneousBody"/>
        <w:rPr>
          <w:snapToGrid w:val="0"/>
        </w:rPr>
      </w:pPr>
      <w:r>
        <w:rPr>
          <w:snapToGrid w:val="0"/>
        </w:rPr>
        <w:tab/>
        <w:t>...................................................................................................</w:t>
      </w:r>
    </w:p>
    <w:p>
      <w:pPr>
        <w:pStyle w:val="yMiscellaneousBody"/>
        <w:rPr>
          <w:snapToGrid w:val="0"/>
        </w:rPr>
      </w:pPr>
      <w:r>
        <w:rPr>
          <w:snapToGrid w:val="0"/>
        </w:rPr>
        <w:tab/>
        <w:t>...................................................................................................</w:t>
      </w:r>
    </w:p>
    <w:p>
      <w:pPr>
        <w:pStyle w:val="yMiscellaneousBody"/>
        <w:ind w:left="1134"/>
        <w:rPr>
          <w:snapToGrid w:val="0"/>
        </w:rPr>
      </w:pPr>
      <w:r>
        <w:rPr>
          <w:snapToGrid w:val="0"/>
        </w:rPr>
        <w:t>Do you have any criminal proceedings pending against you? (tick appropriate box)</w:t>
      </w:r>
    </w:p>
    <w:p>
      <w:pPr>
        <w:pStyle w:val="yMiscellaneousBody"/>
        <w:spacing w:before="6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MiscellaneousBody"/>
        <w:spacing w:before="60"/>
        <w:rPr>
          <w:snapToGrid w:val="0"/>
        </w:rPr>
      </w:pPr>
      <w:r>
        <w:rPr>
          <w:snapToGrid w:val="0"/>
        </w:rPr>
        <w:tab/>
        <w:t>If yes, give details......................................................................</w:t>
      </w:r>
    </w:p>
    <w:p>
      <w:pPr>
        <w:pStyle w:val="yMiscellaneousBody"/>
        <w:rPr>
          <w:snapToGrid w:val="0"/>
        </w:rPr>
      </w:pPr>
      <w:r>
        <w:rPr>
          <w:snapToGrid w:val="0"/>
        </w:rPr>
        <w:tab/>
        <w:t>...................................................................................................</w:t>
      </w:r>
    </w:p>
    <w:p>
      <w:pPr>
        <w:pStyle w:val="yMiscellaneousBody"/>
        <w:rPr>
          <w:snapToGrid w:val="0"/>
        </w:rPr>
      </w:pPr>
      <w:r>
        <w:rPr>
          <w:snapToGrid w:val="0"/>
        </w:rPr>
        <w:tab/>
        <w:t>...................................................................................................</w:t>
      </w:r>
    </w:p>
    <w:p>
      <w:pPr>
        <w:pStyle w:val="yMiscellaneousBody"/>
        <w:rPr>
          <w:snapToGrid w:val="0"/>
        </w:rPr>
      </w:pPr>
      <w:r>
        <w:rPr>
          <w:snapToGrid w:val="0"/>
        </w:rPr>
        <w:tab/>
        <w:t>...................................................................................................</w:t>
      </w:r>
    </w:p>
    <w:p>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lastRenderedPageBreak/>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o:ole="" fillcolor="window">
            <v:imagedata r:id="rId24" o:title=""/>
          </v:shape>
          <o:OLEObject Type="Embed" ProgID="PBrush" ShapeID="_x0000_i1025" DrawAspect="Content" ObjectID="_1810115192" r:id="rId25"/>
        </w:obje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pPr>
        <w:pStyle w:val="MiscellaneousBody"/>
        <w:spacing w:before="0"/>
      </w:pPr>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Gazette 19 Apr 2005 p. 1295; 25 Feb 2009 p. 485</w:t>
      </w:r>
      <w:r>
        <w:noBreakHyphen/>
        <w:t>8; 12 Sep 2014 p. 3289; 29 Jun 2018 p. 2437; SL 2020/235 r. 4; SL 2021/38 r. 5.]</w:t>
      </w:r>
    </w:p>
    <w:p>
      <w:pPr>
        <w:pStyle w:val="yShoulderClause"/>
        <w:pageBreakBefore/>
        <w:rPr>
          <w:snapToGrid w:val="0"/>
        </w:rPr>
      </w:pPr>
      <w:r>
        <w:rPr>
          <w:snapToGrid w:val="0"/>
        </w:rPr>
        <w:lastRenderedPageBreak/>
        <w:t>[reg. 3(2)]</w:t>
      </w:r>
    </w:p>
    <w:p>
      <w:pPr>
        <w:pStyle w:val="yHeading3"/>
      </w:pPr>
      <w:bookmarkStart w:id="58" w:name="_Toc184806480"/>
      <w:bookmarkStart w:id="59" w:name="_Toc184808051"/>
      <w:bookmarkStart w:id="60" w:name="_Toc184810117"/>
      <w:r>
        <w:rPr>
          <w:rStyle w:val="CharSClsNo"/>
        </w:rPr>
        <w:t>Form 9</w:t>
      </w:r>
      <w:bookmarkEnd w:id="58"/>
      <w:bookmarkEnd w:id="59"/>
      <w:bookmarkEnd w:id="60"/>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 xml:space="preserve">NOTE: If a proposed surety has difficulty with reading English </w:t>
      </w:r>
      <w:r>
        <w:rPr>
          <w:szCs w:val="22"/>
        </w:rPr>
        <w:t>the proposed surety</w:t>
      </w:r>
      <w:r>
        <w:rPr>
          <w:snapToGrid w:val="0"/>
        </w:rPr>
        <w:t xml:space="preserve"> may ask to have this form translated to </w:t>
      </w:r>
      <w:r>
        <w:rPr>
          <w:szCs w:val="22"/>
        </w:rPr>
        <w:t>the proposed surety.</w:t>
      </w:r>
    </w:p>
    <w:p>
      <w:pPr>
        <w:pStyle w:val="yHeading5"/>
        <w:outlineLvl w:val="9"/>
        <w:rPr>
          <w:b w:val="0"/>
          <w:sz w:val="24"/>
        </w:rPr>
      </w:pPr>
      <w:bookmarkStart w:id="61" w:name="_Toc184810118"/>
      <w:r>
        <w:rPr>
          <w:snapToGrid w:val="0"/>
        </w:rPr>
        <w:t>1.</w:t>
      </w:r>
      <w:r>
        <w:rPr>
          <w:snapToGrid w:val="0"/>
        </w:rPr>
        <w:tab/>
        <w:t>Contents of this form</w:t>
      </w:r>
      <w:bookmarkEnd w:id="61"/>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outlineLvl w:val="9"/>
        <w:rPr>
          <w:b w:val="0"/>
          <w:snapToGrid w:val="0"/>
        </w:rPr>
      </w:pPr>
      <w:bookmarkStart w:id="62" w:name="_Toc184810119"/>
      <w:r>
        <w:rPr>
          <w:snapToGrid w:val="0"/>
        </w:rPr>
        <w:t>2.</w:t>
      </w:r>
      <w:r>
        <w:rPr>
          <w:snapToGrid w:val="0"/>
        </w:rPr>
        <w:tab/>
        <w:t>Meaning and function of surety</w:t>
      </w:r>
      <w:bookmarkEnd w:id="62"/>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outlineLvl w:val="9"/>
        <w:rPr>
          <w:b w:val="0"/>
          <w:snapToGrid w:val="0"/>
        </w:rPr>
      </w:pPr>
      <w:bookmarkStart w:id="63" w:name="_Toc184810120"/>
      <w:r>
        <w:rPr>
          <w:snapToGrid w:val="0"/>
        </w:rPr>
        <w:t>3.</w:t>
      </w:r>
      <w:r>
        <w:rPr>
          <w:snapToGrid w:val="0"/>
        </w:rPr>
        <w:tab/>
        <w:t>Information</w:t>
      </w:r>
      <w:r>
        <w:rPr>
          <w:b w:val="0"/>
          <w:snapToGrid w:val="0"/>
        </w:rPr>
        <w:t xml:space="preserve"> </w:t>
      </w:r>
      <w:r>
        <w:rPr>
          <w:snapToGrid w:val="0"/>
        </w:rPr>
        <w:t>to be given to surety</w:t>
      </w:r>
      <w:bookmarkEnd w:id="63"/>
    </w:p>
    <w:p>
      <w:pPr>
        <w:pStyle w:val="ySubsection"/>
        <w:rPr>
          <w:snapToGrid w:val="0"/>
        </w:rPr>
      </w:pPr>
      <w:r>
        <w:rPr>
          <w:snapToGrid w:val="0"/>
        </w:rPr>
        <w:tab/>
      </w:r>
      <w:r>
        <w:rPr>
          <w:snapToGrid w:val="0"/>
        </w:rPr>
        <w:tab/>
        <w:t xml:space="preserve">As well as this form, a proposed surety must be given a form (Part A of Form 8) showing details of the accused’s bail. The proposed surety must read the forms or have them read to </w:t>
      </w:r>
      <w:r>
        <w:rPr>
          <w:szCs w:val="22"/>
        </w:rPr>
        <w:t>the proposed surety.</w:t>
      </w:r>
    </w:p>
    <w:p>
      <w:pPr>
        <w:pStyle w:val="yHeading5"/>
        <w:keepLines w:val="0"/>
        <w:outlineLvl w:val="9"/>
        <w:rPr>
          <w:snapToGrid w:val="0"/>
        </w:rPr>
      </w:pPr>
      <w:bookmarkStart w:id="64" w:name="_Toc184810121"/>
      <w:r>
        <w:rPr>
          <w:snapToGrid w:val="0"/>
        </w:rPr>
        <w:lastRenderedPageBreak/>
        <w:t>4.</w:t>
      </w:r>
      <w:r>
        <w:rPr>
          <w:snapToGrid w:val="0"/>
        </w:rPr>
        <w:tab/>
        <w:t>Application for approval</w:t>
      </w:r>
      <w:bookmarkEnd w:id="64"/>
    </w:p>
    <w:p>
      <w:pPr>
        <w:pStyle w:val="ySubsection"/>
        <w:rPr>
          <w:snapToGrid w:val="0"/>
        </w:rPr>
      </w:pPr>
      <w:r>
        <w:rPr>
          <w:snapToGrid w:val="0"/>
        </w:rPr>
        <w:tab/>
      </w:r>
      <w:r>
        <w:rPr>
          <w:snapToGrid w:val="0"/>
        </w:rPr>
        <w:tab/>
        <w:t xml:space="preserve">A proposed surety must apply for approval and be approved by an authorised official. </w:t>
      </w:r>
      <w:r>
        <w:rPr>
          <w:szCs w:val="22"/>
        </w:rPr>
        <w:t>The proposed surety</w:t>
      </w:r>
      <w:r>
        <w:rPr>
          <w:snapToGrid w:val="0"/>
        </w:rPr>
        <w:t xml:space="preserve"> must complete a form (Part B of Form 8) for this purpose.</w:t>
      </w:r>
    </w:p>
    <w:p>
      <w:pPr>
        <w:pStyle w:val="yHeading5"/>
        <w:outlineLvl w:val="9"/>
        <w:rPr>
          <w:b w:val="0"/>
          <w:snapToGrid w:val="0"/>
        </w:rPr>
      </w:pPr>
      <w:bookmarkStart w:id="65" w:name="_Toc184810122"/>
      <w:r>
        <w:rPr>
          <w:snapToGrid w:val="0"/>
        </w:rPr>
        <w:t>5.</w:t>
      </w:r>
      <w:r>
        <w:rPr>
          <w:b w:val="0"/>
          <w:snapToGrid w:val="0"/>
        </w:rPr>
        <w:tab/>
      </w:r>
      <w:r>
        <w:rPr>
          <w:snapToGrid w:val="0"/>
        </w:rPr>
        <w:t>Disqualified persons</w:t>
      </w:r>
      <w:bookmarkEnd w:id="65"/>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r>
      <w:r>
        <w:rPr>
          <w:szCs w:val="22"/>
        </w:rPr>
        <w:t>the person</w:t>
      </w:r>
      <w:r>
        <w:rPr>
          <w:snapToGrid w:val="0"/>
        </w:rPr>
        <w:t xml:space="preserve"> is under 18 years of age; or</w:t>
      </w:r>
    </w:p>
    <w:p>
      <w:pPr>
        <w:pStyle w:val="yIndenta"/>
        <w:rPr>
          <w:snapToGrid w:val="0"/>
        </w:rPr>
      </w:pPr>
      <w:r>
        <w:rPr>
          <w:snapToGrid w:val="0"/>
        </w:rPr>
        <w:tab/>
        <w:t>(b)</w:t>
      </w:r>
      <w:r>
        <w:rPr>
          <w:snapToGrid w:val="0"/>
        </w:rPr>
        <w:tab/>
      </w:r>
      <w:r>
        <w:rPr>
          <w:szCs w:val="22"/>
        </w:rPr>
        <w:t>the person’s</w:t>
      </w:r>
      <w:r>
        <w:rPr>
          <w:snapToGrid w:val="0"/>
        </w:rPr>
        <w:t xml:space="preserve"> net financial worth is less than the amount </w:t>
      </w:r>
      <w:r>
        <w:rPr>
          <w:szCs w:val="22"/>
        </w:rPr>
        <w:t>the person</w:t>
      </w:r>
      <w:r>
        <w:rPr>
          <w:snapToGrid w:val="0"/>
        </w:rPr>
        <w:t xml:space="preserve"> would have to pay if the accused were to default, except where security is provided; or</w:t>
      </w:r>
    </w:p>
    <w:p>
      <w:pPr>
        <w:pStyle w:val="yIndenta"/>
        <w:rPr>
          <w:snapToGrid w:val="0"/>
        </w:rPr>
      </w:pPr>
      <w:r>
        <w:rPr>
          <w:snapToGrid w:val="0"/>
        </w:rPr>
        <w:tab/>
        <w:t>(c)</w:t>
      </w:r>
      <w:r>
        <w:rPr>
          <w:snapToGrid w:val="0"/>
        </w:rPr>
        <w:tab/>
        <w:t xml:space="preserve">it appears that the accused or some other person will be compensating the </w:t>
      </w:r>
      <w:r>
        <w:rPr>
          <w:szCs w:val="22"/>
        </w:rPr>
        <w:t xml:space="preserve">proposed </w:t>
      </w:r>
      <w:r>
        <w:rPr>
          <w:snapToGrid w:val="0"/>
          <w:szCs w:val="22"/>
        </w:rPr>
        <w:t>surety for any loss the proposed surety incurs</w:t>
      </w:r>
      <w:r>
        <w:rPr>
          <w:szCs w:val="22"/>
        </w:rPr>
        <w:t>; or</w:t>
      </w:r>
    </w:p>
    <w:p>
      <w:pPr>
        <w:pStyle w:val="yIndenta"/>
      </w:pPr>
      <w:r>
        <w:tab/>
        <w:t>(d)</w:t>
      </w:r>
      <w:r>
        <w:tab/>
        <w:t xml:space="preserve">there is a current restraining order between the person and the accused under the </w:t>
      </w:r>
      <w:r>
        <w:rPr>
          <w:i/>
        </w:rPr>
        <w:t>Restraining Orders Act 1997</w:t>
      </w:r>
      <w:r>
        <w:t>; or</w:t>
      </w:r>
    </w:p>
    <w:p>
      <w:pPr>
        <w:pStyle w:val="yIndenta"/>
      </w:pPr>
      <w:r>
        <w:tab/>
        <w:t>(e)</w:t>
      </w:r>
      <w:r>
        <w:tab/>
        <w:t>the person is in a family relationship with the accused and was a victim of an offence for which the accused has been convicted within the last 10 years; or</w:t>
      </w:r>
    </w:p>
    <w:p>
      <w:pPr>
        <w:pStyle w:val="yIndenta"/>
      </w:pPr>
      <w:r>
        <w:tab/>
        <w:t>(f)</w:t>
      </w:r>
      <w:r>
        <w:tab/>
        <w:t>the person is in a family relationship with the accused and is an alleged victim of the offence of which the accused has been charged.</w:t>
      </w:r>
    </w:p>
    <w:p>
      <w:pPr>
        <w:pStyle w:val="ySubsection"/>
      </w:pPr>
      <w:r>
        <w:tab/>
      </w:r>
      <w:r>
        <w:tab/>
        <w:t>If the accused is a child, a person may be approved as a surety even if the circumstances in paragraphs (d), (e) or (f) apply.</w:t>
      </w:r>
    </w:p>
    <w:p>
      <w:pPr>
        <w:pStyle w:val="yHeading5"/>
        <w:outlineLvl w:val="9"/>
        <w:rPr>
          <w:snapToGrid w:val="0"/>
        </w:rPr>
      </w:pPr>
      <w:bookmarkStart w:id="66" w:name="_Toc184810123"/>
      <w:r>
        <w:rPr>
          <w:snapToGrid w:val="0"/>
        </w:rPr>
        <w:t>6.</w:t>
      </w:r>
      <w:r>
        <w:rPr>
          <w:snapToGrid w:val="0"/>
        </w:rPr>
        <w:tab/>
        <w:t>Points to be considered</w:t>
      </w:r>
      <w:bookmarkEnd w:id="66"/>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r>
      <w:r>
        <w:rPr>
          <w:szCs w:val="22"/>
        </w:rPr>
        <w:t>the person’s</w:t>
      </w:r>
      <w:r>
        <w:rPr>
          <w:snapToGrid w:val="0"/>
        </w:rPr>
        <w:t xml:space="preserve"> character and past history;</w:t>
      </w:r>
    </w:p>
    <w:p>
      <w:pPr>
        <w:pStyle w:val="yIndenta"/>
        <w:rPr>
          <w:snapToGrid w:val="0"/>
        </w:rPr>
      </w:pPr>
      <w:r>
        <w:rPr>
          <w:snapToGrid w:val="0"/>
        </w:rPr>
        <w:tab/>
        <w:t>(b)</w:t>
      </w:r>
      <w:r>
        <w:rPr>
          <w:snapToGrid w:val="0"/>
        </w:rPr>
        <w:tab/>
      </w:r>
      <w:r>
        <w:rPr>
          <w:szCs w:val="22"/>
        </w:rPr>
        <w:t>the person’s</w:t>
      </w:r>
      <w:r>
        <w:rPr>
          <w:snapToGrid w:val="0"/>
        </w:rPr>
        <w:t xml:space="preserve"> connection with the accused;</w:t>
      </w:r>
    </w:p>
    <w:p>
      <w:pPr>
        <w:pStyle w:val="yIndenta"/>
        <w:rPr>
          <w:snapToGrid w:val="0"/>
        </w:rPr>
      </w:pPr>
      <w:r>
        <w:rPr>
          <w:snapToGrid w:val="0"/>
        </w:rPr>
        <w:tab/>
        <w:t>(c)</w:t>
      </w:r>
      <w:r>
        <w:rPr>
          <w:snapToGrid w:val="0"/>
        </w:rPr>
        <w:tab/>
      </w:r>
      <w:r>
        <w:rPr>
          <w:szCs w:val="22"/>
        </w:rPr>
        <w:t>the person’s</w:t>
      </w:r>
      <w:r>
        <w:rPr>
          <w:snapToGrid w:val="0"/>
        </w:rPr>
        <w:t xml:space="preserve"> ability to pay, without severe hardship, if the accused were to default.</w:t>
      </w:r>
    </w:p>
    <w:p>
      <w:pPr>
        <w:pStyle w:val="ySubsection"/>
        <w:rPr>
          <w:snapToGrid w:val="0"/>
        </w:rPr>
      </w:pPr>
      <w:r>
        <w:rPr>
          <w:snapToGrid w:val="0"/>
          <w:sz w:val="24"/>
        </w:rPr>
        <w:tab/>
      </w:r>
      <w:r>
        <w:rPr>
          <w:snapToGrid w:val="0"/>
          <w:sz w:val="24"/>
        </w:rPr>
        <w:tab/>
      </w:r>
      <w:r>
        <w:rPr>
          <w:snapToGrid w:val="0"/>
        </w:rPr>
        <w:t xml:space="preserve">Reasons for not approving a proposed surety must be given by the official </w:t>
      </w:r>
      <w:r>
        <w:rPr>
          <w:szCs w:val="22"/>
        </w:rPr>
        <w:t xml:space="preserve">concerned, unless the </w:t>
      </w:r>
      <w:r>
        <w:rPr>
          <w:i/>
          <w:szCs w:val="22"/>
        </w:rPr>
        <w:t>Bail Act 1982</w:t>
      </w:r>
      <w:r>
        <w:rPr>
          <w:szCs w:val="22"/>
        </w:rPr>
        <w:t xml:space="preserve"> section 40(3) applies.</w:t>
      </w:r>
    </w:p>
    <w:p>
      <w:pPr>
        <w:pStyle w:val="yHeading5"/>
        <w:outlineLvl w:val="9"/>
        <w:rPr>
          <w:snapToGrid w:val="0"/>
        </w:rPr>
      </w:pPr>
      <w:bookmarkStart w:id="67" w:name="_Toc184810124"/>
      <w:r>
        <w:rPr>
          <w:snapToGrid w:val="0"/>
        </w:rPr>
        <w:lastRenderedPageBreak/>
        <w:t>7.</w:t>
      </w:r>
      <w:r>
        <w:rPr>
          <w:snapToGrid w:val="0"/>
        </w:rPr>
        <w:tab/>
        <w:t>Reconsideration</w:t>
      </w:r>
      <w:bookmarkEnd w:id="67"/>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 xml:space="preserve">apply for approval of </w:t>
      </w:r>
      <w:r>
        <w:rPr>
          <w:szCs w:val="22"/>
        </w:rPr>
        <w:t>the person</w:t>
      </w:r>
      <w:r>
        <w:rPr>
          <w:snapToGrid w:val="0"/>
        </w:rPr>
        <w:t xml:space="preserve"> as a surety to the officer who made the decision, or someone acting in </w:t>
      </w:r>
      <w:r>
        <w:rPr>
          <w:szCs w:val="22"/>
        </w:rPr>
        <w:t>the officer’s</w:t>
      </w:r>
      <w:r>
        <w:rPr>
          <w:snapToGrid w:val="0"/>
        </w:rPr>
        <w:t xml:space="preserve"> stead, only if </w:t>
      </w:r>
      <w:r>
        <w:rPr>
          <w:szCs w:val="22"/>
        </w:rPr>
        <w:t>the person</w:t>
      </w:r>
      <w:r>
        <w:rPr>
          <w:snapToGrid w:val="0"/>
        </w:rPr>
        <w:t xml:space="preserve"> thinks that circumstances have changed or that </w:t>
      </w:r>
      <w:r>
        <w:rPr>
          <w:szCs w:val="22"/>
        </w:rPr>
        <w:t>the person</w:t>
      </w:r>
      <w:r>
        <w:rPr>
          <w:snapToGrid w:val="0"/>
        </w:rPr>
        <w:t xml:space="preserve"> did not put </w:t>
      </w:r>
      <w:r>
        <w:rPr>
          <w:szCs w:val="22"/>
        </w:rPr>
        <w:t>their</w:t>
      </w:r>
      <w:r>
        <w:rPr>
          <w:snapToGrid w:val="0"/>
        </w:rPr>
        <w:t xml:space="preserve"> case properly.</w:t>
      </w:r>
    </w:p>
    <w:p>
      <w:pPr>
        <w:pStyle w:val="yHeading5"/>
        <w:outlineLvl w:val="9"/>
        <w:rPr>
          <w:b w:val="0"/>
          <w:snapToGrid w:val="0"/>
        </w:rPr>
      </w:pPr>
      <w:bookmarkStart w:id="68" w:name="_Toc184810125"/>
      <w:r>
        <w:rPr>
          <w:snapToGrid w:val="0"/>
        </w:rPr>
        <w:t>8.</w:t>
      </w:r>
      <w:r>
        <w:rPr>
          <w:snapToGrid w:val="0"/>
        </w:rPr>
        <w:tab/>
        <w:t>Copy of surety undertaking</w:t>
      </w:r>
      <w:bookmarkEnd w:id="68"/>
    </w:p>
    <w:p>
      <w:pPr>
        <w:pStyle w:val="ySubsection"/>
        <w:rPr>
          <w:snapToGrid w:val="0"/>
        </w:rPr>
      </w:pPr>
      <w:r>
        <w:rPr>
          <w:snapToGrid w:val="0"/>
        </w:rPr>
        <w:tab/>
      </w:r>
      <w:r>
        <w:rPr>
          <w:snapToGrid w:val="0"/>
        </w:rPr>
        <w:tab/>
        <w:t xml:space="preserve">A surety must be given a copy of </w:t>
      </w:r>
      <w:r>
        <w:rPr>
          <w:szCs w:val="22"/>
        </w:rPr>
        <w:t>their</w:t>
      </w:r>
      <w:r>
        <w:rPr>
          <w:snapToGrid w:val="0"/>
        </w:rPr>
        <w:t xml:space="preserve"> surety undertaking.</w:t>
      </w:r>
    </w:p>
    <w:p>
      <w:pPr>
        <w:pStyle w:val="yHeading5"/>
        <w:keepNext w:val="0"/>
        <w:keepLines w:val="0"/>
        <w:outlineLvl w:val="9"/>
        <w:rPr>
          <w:snapToGrid w:val="0"/>
        </w:rPr>
      </w:pPr>
      <w:bookmarkStart w:id="69" w:name="_Toc184810126"/>
      <w:r>
        <w:rPr>
          <w:snapToGrid w:val="0"/>
        </w:rPr>
        <w:t>9.</w:t>
      </w:r>
      <w:r>
        <w:rPr>
          <w:snapToGrid w:val="0"/>
        </w:rPr>
        <w:tab/>
        <w:t>Remand etc. of accused to later date</w:t>
      </w:r>
      <w:bookmarkEnd w:id="69"/>
    </w:p>
    <w:p>
      <w:pPr>
        <w:pStyle w:val="ySubsection"/>
        <w:rPr>
          <w:snapToGrid w:val="0"/>
        </w:rPr>
      </w:pPr>
      <w:r>
        <w:rPr>
          <w:snapToGrid w:val="0"/>
        </w:rPr>
        <w:tab/>
      </w:r>
      <w:r>
        <w:rPr>
          <w:snapToGrid w:val="0"/>
        </w:rPr>
        <w:tab/>
        <w:t xml:space="preserve">A surety undertaking will refer to the time and place of the accused’s appearance. If </w:t>
      </w:r>
      <w:r>
        <w:rPr>
          <w:szCs w:val="22"/>
        </w:rPr>
        <w:t>the accused’s</w:t>
      </w:r>
      <w:r>
        <w:rPr>
          <w:snapToGrid w:val="0"/>
        </w:rPr>
        <w:t xml:space="preserve">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outlineLvl w:val="9"/>
        <w:rPr>
          <w:snapToGrid w:val="0"/>
        </w:rPr>
      </w:pPr>
      <w:bookmarkStart w:id="70" w:name="_Toc184810127"/>
      <w:r>
        <w:rPr>
          <w:snapToGrid w:val="0"/>
        </w:rPr>
        <w:t>10.</w:t>
      </w:r>
      <w:r>
        <w:rPr>
          <w:snapToGrid w:val="0"/>
        </w:rPr>
        <w:tab/>
        <w:t>Change of address</w:t>
      </w:r>
      <w:bookmarkEnd w:id="70"/>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outlineLvl w:val="9"/>
        <w:rPr>
          <w:snapToGrid w:val="0"/>
        </w:rPr>
      </w:pPr>
      <w:bookmarkStart w:id="71" w:name="_Toc184810128"/>
      <w:r>
        <w:rPr>
          <w:snapToGrid w:val="0"/>
        </w:rPr>
        <w:t xml:space="preserve">11. </w:t>
      </w:r>
      <w:r>
        <w:rPr>
          <w:snapToGrid w:val="0"/>
        </w:rPr>
        <w:tab/>
        <w:t>Action by surety where accused likely to default</w:t>
      </w:r>
      <w:bookmarkEnd w:id="71"/>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 xml:space="preserve">should notify the prosecutor or a police officer in writing and that person may have the accused brought before the court. </w:t>
      </w:r>
      <w:r>
        <w:rPr>
          <w:szCs w:val="22"/>
        </w:rPr>
        <w:t>However,</w:t>
      </w:r>
      <w:r>
        <w:rPr>
          <w:snapToGrid w:val="0"/>
        </w:rPr>
        <w:t xml:space="preserve"> the surety’s obligations continue until the accused is brought before the court.</w:t>
      </w:r>
    </w:p>
    <w:p>
      <w:pPr>
        <w:pStyle w:val="ySubsection"/>
        <w:rPr>
          <w:snapToGrid w:val="0"/>
        </w:rPr>
      </w:pPr>
      <w:r>
        <w:rPr>
          <w:snapToGrid w:val="0"/>
        </w:rPr>
        <w:tab/>
      </w:r>
      <w:r>
        <w:rPr>
          <w:snapToGrid w:val="0"/>
        </w:rPr>
        <w:tab/>
        <w:t xml:space="preserve">In cases of urgency where the surety reasonably believes that the accused is not likely to appear in court or that </w:t>
      </w:r>
      <w:r>
        <w:rPr>
          <w:szCs w:val="22"/>
        </w:rPr>
        <w:t>the accused</w:t>
      </w:r>
      <w:r>
        <w:rPr>
          <w:snapToGrid w:val="0"/>
        </w:rPr>
        <w:t xml:space="preserve"> has broken any bail condition, </w:t>
      </w:r>
      <w:r>
        <w:rPr>
          <w:szCs w:val="22"/>
        </w:rPr>
        <w:t>the surety</w:t>
      </w:r>
      <w:r>
        <w:rPr>
          <w:snapToGrid w:val="0"/>
        </w:rPr>
        <w:t xml:space="preserve"> has the power to arrest the accused. The </w:t>
      </w:r>
      <w:r>
        <w:rPr>
          <w:snapToGrid w:val="0"/>
        </w:rPr>
        <w:lastRenderedPageBreak/>
        <w:t xml:space="preserve">surety must hand </w:t>
      </w:r>
      <w:r>
        <w:rPr>
          <w:szCs w:val="22"/>
        </w:rPr>
        <w:t>the accused</w:t>
      </w:r>
      <w:r>
        <w:rPr>
          <w:snapToGrid w:val="0"/>
        </w:rPr>
        <w:t xml:space="preserve"> over as soon as is practicable to a police officer who is required to take the accused before the court.</w:t>
      </w:r>
    </w:p>
    <w:p>
      <w:pPr>
        <w:pStyle w:val="ySubsection"/>
        <w:rPr>
          <w:snapToGrid w:val="0"/>
        </w:rPr>
      </w:pPr>
      <w:r>
        <w:rPr>
          <w:snapToGrid w:val="0"/>
        </w:rPr>
        <w:tab/>
      </w:r>
      <w:r>
        <w:rPr>
          <w:snapToGrid w:val="0"/>
        </w:rPr>
        <w:tab/>
        <w:t xml:space="preserve">Once the accused has been </w:t>
      </w:r>
      <w:r>
        <w:rPr>
          <w:szCs w:val="22"/>
        </w:rPr>
        <w:t>taken</w:t>
      </w:r>
      <w:r>
        <w:rPr>
          <w:snapToGrid w:val="0"/>
        </w:rPr>
        <w:t xml:space="preserve"> before the court the surety undertaking will not be continued in force without the surety’s consent.</w:t>
      </w:r>
    </w:p>
    <w:p>
      <w:pPr>
        <w:pStyle w:val="yHeading5"/>
        <w:outlineLvl w:val="9"/>
        <w:rPr>
          <w:snapToGrid w:val="0"/>
        </w:rPr>
      </w:pPr>
      <w:bookmarkStart w:id="72" w:name="_Toc184810129"/>
      <w:r>
        <w:rPr>
          <w:snapToGrid w:val="0"/>
        </w:rPr>
        <w:t>12.</w:t>
      </w:r>
      <w:r>
        <w:rPr>
          <w:snapToGrid w:val="0"/>
        </w:rPr>
        <w:tab/>
        <w:t>Cancellation of surety undertaking</w:t>
      </w:r>
      <w:bookmarkEnd w:id="72"/>
    </w:p>
    <w:p>
      <w:pPr>
        <w:pStyle w:val="ySubsection"/>
        <w:rPr>
          <w:snapToGrid w:val="0"/>
        </w:rPr>
      </w:pPr>
      <w:r>
        <w:rPr>
          <w:snapToGrid w:val="0"/>
        </w:rPr>
        <w:tab/>
      </w:r>
      <w:r>
        <w:rPr>
          <w:snapToGrid w:val="0"/>
        </w:rPr>
        <w:tab/>
        <w:t xml:space="preserve">A surety may apply to an appropriate judicial officer for cancellation of </w:t>
      </w:r>
      <w:r>
        <w:rPr>
          <w:szCs w:val="22"/>
        </w:rPr>
        <w:t>their</w:t>
      </w:r>
      <w:r>
        <w:rPr>
          <w:snapToGrid w:val="0"/>
        </w:rPr>
        <w:t xml:space="preserve"> surety undertaking. The application must be made before the time for the accused’s appearance. </w:t>
      </w:r>
      <w:r>
        <w:rPr>
          <w:szCs w:val="22"/>
        </w:rPr>
        <w:t>However,</w:t>
      </w:r>
      <w:r>
        <w:rPr>
          <w:snapToGrid w:val="0"/>
        </w:rPr>
        <w:t xml:space="preserve">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outlineLvl w:val="9"/>
        <w:rPr>
          <w:snapToGrid w:val="0"/>
        </w:rPr>
      </w:pPr>
      <w:bookmarkStart w:id="73" w:name="_Toc184810130"/>
      <w:r>
        <w:rPr>
          <w:snapToGrid w:val="0"/>
        </w:rPr>
        <w:t>13.</w:t>
      </w:r>
      <w:r>
        <w:rPr>
          <w:snapToGrid w:val="0"/>
        </w:rPr>
        <w:tab/>
        <w:t>Enforcing payment by surety</w:t>
      </w:r>
      <w:bookmarkEnd w:id="73"/>
    </w:p>
    <w:p>
      <w:pPr>
        <w:pStyle w:val="ySubsection"/>
        <w:rPr>
          <w:snapToGrid w:val="0"/>
        </w:rPr>
      </w:pPr>
      <w:r>
        <w:rPr>
          <w:snapToGrid w:val="0"/>
        </w:rPr>
        <w:tab/>
      </w:r>
      <w:r>
        <w:rPr>
          <w:snapToGrid w:val="0"/>
        </w:rPr>
        <w:tab/>
        <w:t xml:space="preserve">Where an accused fails to appear in court, a surety will be summoned before the court and an order for payment of the amount of </w:t>
      </w:r>
      <w:r>
        <w:rPr>
          <w:szCs w:val="22"/>
        </w:rPr>
        <w:t>the surety’s</w:t>
      </w:r>
      <w:r>
        <w:rPr>
          <w:snapToGrid w:val="0"/>
        </w:rPr>
        <w:t xml:space="preserve"> undertaking will be made against </w:t>
      </w:r>
      <w:r>
        <w:rPr>
          <w:szCs w:val="22"/>
        </w:rPr>
        <w:t>the surety</w:t>
      </w:r>
      <w:r>
        <w:rPr>
          <w:snapToGrid w:val="0"/>
        </w:rPr>
        <w:t xml:space="preserve"> unless </w:t>
      </w:r>
      <w:r>
        <w:rPr>
          <w:szCs w:val="22"/>
        </w:rPr>
        <w:t>the surety</w:t>
      </w:r>
      <w:r>
        <w:rPr>
          <w:snapToGrid w:val="0"/>
        </w:rPr>
        <w:t xml:space="preserve"> shows that the accused had a reasonable cause for failing to appear.</w:t>
      </w:r>
    </w:p>
    <w:p>
      <w:pPr>
        <w:pStyle w:val="ySubsection"/>
        <w:rPr>
          <w:snapToGrid w:val="0"/>
        </w:rPr>
      </w:pPr>
      <w:r>
        <w:rPr>
          <w:snapToGrid w:val="0"/>
        </w:rPr>
        <w:tab/>
      </w:r>
      <w:r>
        <w:rPr>
          <w:snapToGrid w:val="0"/>
        </w:rPr>
        <w:tab/>
        <w:t xml:space="preserve">If such an order is made, but at a later date the surety learns that there was a reasonable cause for the accused’s failure, </w:t>
      </w:r>
      <w:r>
        <w:rPr>
          <w:szCs w:val="22"/>
        </w:rPr>
        <w:t>the surety</w:t>
      </w:r>
      <w:r>
        <w:rPr>
          <w:snapToGrid w:val="0"/>
        </w:rPr>
        <w:t xml:space="preserve"> may apply to the Governor for a refund.</w:t>
      </w:r>
    </w:p>
    <w:p>
      <w:pPr>
        <w:pStyle w:val="yHeading5"/>
        <w:outlineLvl w:val="9"/>
        <w:rPr>
          <w:snapToGrid w:val="0"/>
        </w:rPr>
      </w:pPr>
      <w:bookmarkStart w:id="74" w:name="_Toc184810131"/>
      <w:r>
        <w:rPr>
          <w:snapToGrid w:val="0"/>
        </w:rPr>
        <w:t xml:space="preserve">14. </w:t>
      </w:r>
      <w:r>
        <w:rPr>
          <w:snapToGrid w:val="0"/>
        </w:rPr>
        <w:tab/>
        <w:t>Cases of hardship</w:t>
      </w:r>
      <w:bookmarkEnd w:id="74"/>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outlineLvl w:val="9"/>
        <w:rPr>
          <w:snapToGrid w:val="0"/>
        </w:rPr>
      </w:pPr>
      <w:bookmarkStart w:id="75" w:name="_Toc184810132"/>
      <w:r>
        <w:rPr>
          <w:snapToGrid w:val="0"/>
        </w:rPr>
        <w:t>15.</w:t>
      </w:r>
      <w:r>
        <w:rPr>
          <w:snapToGrid w:val="0"/>
        </w:rPr>
        <w:tab/>
        <w:t>Surety becoming unsuitable</w:t>
      </w:r>
      <w:bookmarkEnd w:id="75"/>
    </w:p>
    <w:p>
      <w:pPr>
        <w:pStyle w:val="ySubsection"/>
        <w:rPr>
          <w:snapToGrid w:val="0"/>
        </w:rPr>
      </w:pPr>
      <w:r>
        <w:rPr>
          <w:snapToGrid w:val="0"/>
        </w:rPr>
        <w:tab/>
      </w:r>
      <w:r>
        <w:rPr>
          <w:snapToGrid w:val="0"/>
        </w:rPr>
        <w:tab/>
        <w:t xml:space="preserve">The prosecutor or a police officer may have the accused brought before the court and apply to have bail cancelled or changed if </w:t>
      </w:r>
      <w:r>
        <w:rPr>
          <w:szCs w:val="22"/>
        </w:rPr>
        <w:t>the prosecutor or police officer</w:t>
      </w:r>
      <w:r>
        <w:rPr>
          <w:snapToGrid w:val="0"/>
        </w:rPr>
        <w:t xml:space="preserve"> reasonably believes (among other things) that a surety is no longer suitable or security given by a surety is no longer sufficient.</w:t>
      </w:r>
    </w:p>
    <w:p>
      <w:pPr>
        <w:pStyle w:val="yHeading5"/>
        <w:outlineLvl w:val="9"/>
        <w:rPr>
          <w:snapToGrid w:val="0"/>
        </w:rPr>
      </w:pPr>
      <w:bookmarkStart w:id="76" w:name="_Toc184810133"/>
      <w:r>
        <w:rPr>
          <w:snapToGrid w:val="0"/>
        </w:rPr>
        <w:lastRenderedPageBreak/>
        <w:t xml:space="preserve">16. </w:t>
      </w:r>
      <w:r>
        <w:rPr>
          <w:snapToGrid w:val="0"/>
        </w:rPr>
        <w:tab/>
        <w:t>Offence to compensate surety</w:t>
      </w:r>
      <w:bookmarkEnd w:id="76"/>
    </w:p>
    <w:p>
      <w:pPr>
        <w:pStyle w:val="ySubsection"/>
        <w:rPr>
          <w:snapToGrid w:val="0"/>
        </w:rPr>
      </w:pPr>
      <w:r>
        <w:rPr>
          <w:snapToGrid w:val="0"/>
        </w:rPr>
        <w:tab/>
      </w:r>
      <w:r>
        <w:rPr>
          <w:snapToGrid w:val="0"/>
        </w:rPr>
        <w:tab/>
        <w:t xml:space="preserve">It is an offence for a person to compensate, or agree to compensate, a surety or </w:t>
      </w:r>
      <w:r>
        <w:rPr>
          <w:szCs w:val="22"/>
        </w:rPr>
        <w:t>proposed</w:t>
      </w:r>
      <w:r>
        <w:rPr>
          <w:snapToGrid w:val="0"/>
        </w:rPr>
        <w:t xml:space="preserve"> surety for any liability which </w:t>
      </w:r>
      <w:r>
        <w:rPr>
          <w:szCs w:val="22"/>
        </w:rPr>
        <w:t>the surety or proposed surety</w:t>
      </w:r>
      <w:r>
        <w:rPr>
          <w:snapToGrid w:val="0"/>
        </w:rPr>
        <w:t xml:space="preserve"> incurs, or may incur, under the </w:t>
      </w:r>
      <w:r>
        <w:rPr>
          <w:i/>
          <w:snapToGrid w:val="0"/>
        </w:rPr>
        <w:t>Bail Act 1982</w:t>
      </w:r>
      <w:r>
        <w:rPr>
          <w:snapToGrid w:val="0"/>
        </w:rPr>
        <w:t xml:space="preserve">. The surety or </w:t>
      </w:r>
      <w:r>
        <w:rPr>
          <w:szCs w:val="22"/>
        </w:rPr>
        <w:t>proposed</w:t>
      </w:r>
      <w:r>
        <w:rPr>
          <w:snapToGrid w:val="0"/>
        </w:rPr>
        <w:t xml:space="preserve"> surety and any person who is a party to the agreement also commits an offence. The penalty is a fine of up to $1 000 or imprisonment for up to 12 months, or both.</w:t>
      </w:r>
    </w:p>
    <w:p>
      <w:pPr>
        <w:pStyle w:val="yFootnotesection"/>
      </w:pPr>
      <w:r>
        <w:tab/>
        <w:t>[Form 9 amended: Gazette 1 Aug 1997 p. 4394; 7 Nov 1997 p. 6136; 14 May 2004 p. 1446; 19 Apr 2005 p. 1295; 25 Feb 2009 p. 488-90; SL 2020/235 r. 5.]</w:t>
      </w:r>
    </w:p>
    <w:p>
      <w:pPr>
        <w:pStyle w:val="yFootnotesection"/>
      </w:pPr>
      <w:r>
        <w:t>[Form 10 deleted: Gazette 25 Feb 2009 p. 490.]</w:t>
      </w:r>
    </w:p>
    <w:p>
      <w:pPr>
        <w:pStyle w:val="yShoulderClause"/>
        <w:keepNext/>
        <w:keepLines/>
        <w:pageBreakBefore/>
        <w:rPr>
          <w:snapToGrid w:val="0"/>
        </w:rPr>
      </w:pPr>
      <w:r>
        <w:rPr>
          <w:snapToGrid w:val="0"/>
        </w:rPr>
        <w:lastRenderedPageBreak/>
        <w:t>[reg. 6]</w:t>
      </w:r>
    </w:p>
    <w:p>
      <w:pPr>
        <w:pStyle w:val="yHeading3"/>
      </w:pPr>
      <w:bookmarkStart w:id="77" w:name="_Toc184296972"/>
      <w:bookmarkStart w:id="78" w:name="_Toc184297047"/>
      <w:bookmarkStart w:id="79" w:name="_Toc184297110"/>
      <w:bookmarkStart w:id="80" w:name="_Toc184297191"/>
      <w:bookmarkStart w:id="81" w:name="_Toc184723909"/>
      <w:bookmarkStart w:id="82" w:name="_Toc184808068"/>
      <w:bookmarkStart w:id="83" w:name="_Toc184810134"/>
      <w:bookmarkStart w:id="84" w:name="_Toc184806497"/>
      <w:r>
        <w:rPr>
          <w:rStyle w:val="CharSClsNo"/>
        </w:rPr>
        <w:t>Form 11</w:t>
      </w:r>
      <w:bookmarkEnd w:id="77"/>
      <w:bookmarkEnd w:id="78"/>
      <w:bookmarkEnd w:id="79"/>
      <w:bookmarkEnd w:id="80"/>
      <w:bookmarkEnd w:id="81"/>
      <w:bookmarkEnd w:id="82"/>
      <w:bookmarkEnd w:id="83"/>
    </w:p>
    <w:p>
      <w:pPr>
        <w:pStyle w:val="yMiscellaneousBody"/>
        <w:jc w:val="center"/>
        <w:rPr>
          <w:i/>
          <w:iCs/>
        </w:rPr>
      </w:pPr>
      <w:r>
        <w:rPr>
          <w:i/>
          <w:iCs/>
        </w:rPr>
        <w:t>Bail Act 1982</w:t>
      </w:r>
    </w:p>
    <w:p>
      <w:pPr>
        <w:pStyle w:val="yMiscellaneousBody"/>
        <w:jc w:val="center"/>
        <w:rPr>
          <w:snapToGrid w:val="0"/>
        </w:rPr>
      </w:pPr>
      <w:r>
        <w:rPr>
          <w:snapToGrid w:val="0"/>
        </w:rPr>
        <w:t>Sections 50F(5) and 50Q(5)</w:t>
      </w:r>
    </w:p>
    <w:p>
      <w:pPr>
        <w:pStyle w:val="yMiscellaneousBody"/>
        <w:jc w:val="center"/>
        <w:rPr>
          <w:b/>
          <w:bCs/>
          <w:snapToGrid w:val="0"/>
        </w:rPr>
      </w:pPr>
      <w:r>
        <w:rPr>
          <w:b/>
          <w:bCs/>
          <w:snapToGrid w:val="0"/>
        </w:rPr>
        <w:t>WARRANT TO ARREST ACCUSED WHOSE BAIL SUBJECT TO A HOME DETENTION CONDITION OR AN ELECTRONIC MONITORING CONDITION HAS BEEN REVOKED</w:t>
      </w:r>
    </w:p>
    <w:p>
      <w:pPr>
        <w:pStyle w:val="yMiscellaneousBody"/>
        <w:tabs>
          <w:tab w:val="left" w:pos="993"/>
        </w:tabs>
        <w:ind w:left="1276" w:hanging="709"/>
        <w:rPr>
          <w:snapToGrid w:val="0"/>
        </w:rPr>
      </w:pPr>
      <w:r>
        <w:rPr>
          <w:snapToGrid w:val="0"/>
        </w:rPr>
        <w:t>To:</w:t>
      </w:r>
      <w:r>
        <w:rPr>
          <w:snapToGrid w:val="0"/>
        </w:rPr>
        <w:tab/>
        <w:t>—</w:t>
      </w:r>
      <w:r>
        <w:rPr>
          <w:snapToGrid w:val="0"/>
        </w:rPr>
        <w:tab/>
        <w:t>all members of the Police Force in the State of Western Australia;</w:t>
      </w:r>
    </w:p>
    <w:p>
      <w:pPr>
        <w:pStyle w:val="yMiscellaneousBody"/>
        <w:tabs>
          <w:tab w:val="left" w:pos="993"/>
        </w:tabs>
        <w:spacing w:before="60"/>
        <w:ind w:left="1276" w:hanging="709"/>
        <w:rPr>
          <w:snapToGrid w:val="0"/>
        </w:rPr>
      </w:pPr>
      <w:r>
        <w:rPr>
          <w:snapToGrid w:val="0"/>
        </w:rPr>
        <w:tab/>
        <w:t>—</w:t>
      </w:r>
      <w:r>
        <w:rPr>
          <w:snapToGrid w:val="0"/>
        </w:rPr>
        <w:tab/>
        <w:t>[name any other officer]</w:t>
      </w:r>
    </w:p>
    <w:p>
      <w:pPr>
        <w:pStyle w:val="yMiscellaneousBody"/>
        <w:rPr>
          <w:snapToGrid w:val="0"/>
        </w:rPr>
      </w:pPr>
      <w:r>
        <w:rPr>
          <w:snapToGrid w:val="0"/>
        </w:rPr>
        <w:t>On [date] [name of accused] “the accused” of [address of accused] appeared in the [court] at [place] charged with [describe offence(s)] and was granted bail subject to a home detention condition or an electronic monitoring condition.</w:t>
      </w:r>
    </w:p>
    <w:p>
      <w:pPr>
        <w:pStyle w:val="yMiscellaneousBody"/>
        <w:rPr>
          <w:snapToGrid w:val="0"/>
        </w:rPr>
      </w:pPr>
      <w:r>
        <w:rPr>
          <w:snapToGrid w:val="0"/>
        </w:rPr>
        <w:t>On [date] the chief executive officer of corrective services revoked the bail granted to the accused.</w:t>
      </w:r>
    </w:p>
    <w:p>
      <w:pPr>
        <w:pStyle w:val="yMiscellaneousBody"/>
        <w:rPr>
          <w:snapToGrid w:val="0"/>
        </w:rPr>
      </w:pPr>
      <w:r>
        <w:rPr>
          <w:snapToGrid w:val="0"/>
        </w:rPr>
        <w:t>This warrant commands anyone to whom it is directed to apprehend the accused and to take the accused before an appropriate judicial officer.</w:t>
      </w:r>
    </w:p>
    <w:p>
      <w:pPr>
        <w:pStyle w:val="yMiscellaneousBody"/>
        <w:ind w:left="1276" w:hanging="709"/>
        <w:rPr>
          <w:snapToGrid w:val="0"/>
        </w:rPr>
      </w:pPr>
      <w:r>
        <w:rPr>
          <w:snapToGrid w:val="0"/>
        </w:rPr>
        <w:t>Dated:</w:t>
      </w:r>
      <w:r>
        <w:rPr>
          <w:snapToGrid w:val="0"/>
        </w:rPr>
        <w:tab/>
        <w:t>[date]</w:t>
      </w:r>
    </w:p>
    <w:p>
      <w:pPr>
        <w:pStyle w:val="yMiscellaneousBody"/>
        <w:tabs>
          <w:tab w:val="left" w:pos="1560"/>
        </w:tabs>
        <w:ind w:left="1560" w:hanging="993"/>
        <w:rPr>
          <w:snapToGrid w:val="0"/>
        </w:rPr>
      </w:pPr>
      <w:r>
        <w:rPr>
          <w:snapToGrid w:val="0"/>
        </w:rPr>
        <w:t>Signed:</w:t>
      </w:r>
      <w:r>
        <w:rPr>
          <w:snapToGrid w:val="0"/>
        </w:rPr>
        <w:tab/>
        <w:t>[signature and designation of CEO (corrections) or delegate]</w:t>
      </w:r>
    </w:p>
    <w:p>
      <w:pPr>
        <w:pStyle w:val="yMiscellaneousBody"/>
        <w:ind w:left="1276" w:hanging="709"/>
        <w:rPr>
          <w:snapToGrid w:val="0"/>
        </w:rPr>
      </w:pPr>
      <w:r>
        <w:rPr>
          <w:snapToGrid w:val="0"/>
        </w:rPr>
        <w:t>[Accused’s date of birth..............................................................]</w:t>
      </w:r>
    </w:p>
    <w:p>
      <w:pPr>
        <w:pStyle w:val="yMiscellaneousBody"/>
        <w:rPr>
          <w:szCs w:val="22"/>
        </w:rPr>
      </w:pPr>
      <w:r>
        <w:rPr>
          <w:snapToGrid w:val="0"/>
        </w:rPr>
        <w:t>Execution details</w:t>
      </w:r>
      <w:r>
        <w:rPr>
          <w:snapToGrid w:val="0"/>
          <w:u w:val="single"/>
        </w:rPr>
        <w:br/>
      </w:r>
      <w:r>
        <w:rPr>
          <w:snapToGrid w:val="0"/>
        </w:rPr>
        <w:t xml:space="preserve">Accused arrested on </w:t>
      </w:r>
      <w:r>
        <w:rPr>
          <w:szCs w:val="22"/>
        </w:rPr>
        <w:t>.... / .... / .... at ......... hours</w:t>
      </w:r>
      <w:r>
        <w:rPr>
          <w:szCs w:val="22"/>
        </w:rPr>
        <w:br/>
        <w:t>at:</w:t>
      </w:r>
      <w:r>
        <w:rPr>
          <w:szCs w:val="22"/>
        </w:rPr>
        <w:br/>
        <w:t>by:</w:t>
      </w:r>
      <w:r>
        <w:rPr>
          <w:szCs w:val="22"/>
        </w:rPr>
        <w:tab/>
      </w:r>
      <w:r>
        <w:rPr>
          <w:szCs w:val="22"/>
        </w:rPr>
        <w:tab/>
      </w:r>
      <w:r>
        <w:rPr>
          <w:szCs w:val="22"/>
        </w:rPr>
        <w:tab/>
      </w:r>
      <w:r>
        <w:rPr>
          <w:szCs w:val="22"/>
        </w:rPr>
        <w:tab/>
        <w:t>Regimental No:</w:t>
      </w:r>
      <w:r>
        <w:rPr>
          <w:szCs w:val="22"/>
        </w:rPr>
        <w:br/>
        <w:t>of:</w:t>
      </w:r>
      <w:r>
        <w:rPr>
          <w:szCs w:val="22"/>
        </w:rPr>
        <w:tab/>
      </w:r>
      <w:r>
        <w:rPr>
          <w:szCs w:val="22"/>
        </w:rPr>
        <w:tab/>
      </w:r>
      <w:r>
        <w:rPr>
          <w:szCs w:val="22"/>
        </w:rPr>
        <w:tab/>
      </w:r>
      <w:r>
        <w:rPr>
          <w:szCs w:val="22"/>
        </w:rPr>
        <w:tab/>
        <w:t>police station/division</w:t>
      </w:r>
      <w:r>
        <w:rPr>
          <w:szCs w:val="22"/>
        </w:rPr>
        <w:br/>
        <w:t>Signature:</w:t>
      </w:r>
      <w:r>
        <w:rPr>
          <w:szCs w:val="22"/>
        </w:rPr>
        <w:tab/>
      </w:r>
      <w:r>
        <w:rPr>
          <w:szCs w:val="22"/>
        </w:rPr>
        <w:tab/>
      </w:r>
      <w:r>
        <w:rPr>
          <w:szCs w:val="22"/>
        </w:rPr>
        <w:tab/>
        <w:t>Date:</w:t>
      </w:r>
    </w:p>
    <w:p>
      <w:pPr>
        <w:pStyle w:val="yFootnotesection"/>
      </w:pPr>
      <w:r>
        <w:tab/>
        <w:t>[Form 11 inserted: SL 2024/252 r. 6.]</w:t>
      </w:r>
    </w:p>
    <w:bookmarkEnd w:id="84"/>
    <w:p>
      <w:pPr>
        <w:pStyle w:val="yEdnotedivision"/>
      </w:pPr>
      <w:r>
        <w:t>[Form 12 deleted: Gazette 25 Feb 2009 p. 490.]</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86" w:name="_Toc184806498"/>
      <w:bookmarkStart w:id="87" w:name="_Toc184808069"/>
      <w:bookmarkStart w:id="88" w:name="_Toc184810135"/>
      <w:r>
        <w:lastRenderedPageBreak/>
        <w:t>Notes</w:t>
      </w:r>
      <w:bookmarkEnd w:id="86"/>
      <w:bookmarkEnd w:id="87"/>
      <w:bookmarkEnd w:id="88"/>
    </w:p>
    <w:p>
      <w:pPr>
        <w:pStyle w:val="nStatement"/>
      </w:pPr>
      <w:r>
        <w:t xml:space="preserve">This is a compilation of the </w:t>
      </w:r>
      <w:r>
        <w:rPr>
          <w:i/>
          <w:noProof/>
        </w:rPr>
        <w:t>Bail Regulations 1988</w:t>
      </w:r>
      <w:r>
        <w:t xml:space="preserve"> and includes amendments made by other written laws. For provisions that have come into operation, and for information about any reprints, see the compilation table. </w:t>
      </w:r>
    </w:p>
    <w:p>
      <w:pPr>
        <w:pStyle w:val="nHeading3"/>
      </w:pPr>
      <w:bookmarkStart w:id="89" w:name="_Toc184810136"/>
      <w:r>
        <w:t>Compilation table</w:t>
      </w:r>
      <w:bookmarkEnd w:id="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70"/>
            </w:pPr>
            <w:r>
              <w:rPr>
                <w:i/>
              </w:rPr>
              <w:t>Bail Regulations 1988</w:t>
            </w:r>
          </w:p>
        </w:tc>
        <w:tc>
          <w:tcPr>
            <w:tcW w:w="1276" w:type="dxa"/>
            <w:tcBorders>
              <w:top w:val="single" w:sz="8" w:space="0" w:color="auto"/>
            </w:tcBorders>
          </w:tcPr>
          <w:p>
            <w:pPr>
              <w:pStyle w:val="nTable"/>
              <w:spacing w:after="40"/>
            </w:pPr>
            <w:r>
              <w:t>30 Dec 1988 p. 5043</w:t>
            </w:r>
            <w:r>
              <w:noBreakHyphen/>
              <w:t>80</w:t>
            </w:r>
          </w:p>
        </w:tc>
        <w:tc>
          <w:tcPr>
            <w:tcW w:w="2693" w:type="dxa"/>
            <w:tcBorders>
              <w:top w:val="single" w:sz="8" w:space="0" w:color="auto"/>
            </w:tcBorders>
          </w:tcPr>
          <w:p>
            <w:pPr>
              <w:pStyle w:val="nTable"/>
              <w:spacing w:after="40"/>
            </w:pPr>
            <w:r>
              <w:t xml:space="preserve">6 Feb 1982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1991</w:t>
            </w:r>
          </w:p>
        </w:tc>
        <w:tc>
          <w:tcPr>
            <w:tcW w:w="1276" w:type="dxa"/>
          </w:tcPr>
          <w:p>
            <w:pPr>
              <w:pStyle w:val="nTable"/>
              <w:spacing w:after="40"/>
            </w:pPr>
            <w:r>
              <w:t>22 Mar 1991 p. 1212</w:t>
            </w:r>
            <w:r>
              <w:noBreakHyphen/>
              <w:t>13</w:t>
            </w:r>
          </w:p>
        </w:tc>
        <w:tc>
          <w:tcPr>
            <w:tcW w:w="2693" w:type="dxa"/>
          </w:tcPr>
          <w:p>
            <w:pPr>
              <w:pStyle w:val="nTable"/>
              <w:spacing w:after="40"/>
            </w:pPr>
            <w:r>
              <w:t xml:space="preserve">3 Apr 1991 (see r. 2 and </w:t>
            </w:r>
            <w:r>
              <w:rPr>
                <w:i/>
              </w:rPr>
              <w:t>Gazette</w:t>
            </w:r>
            <w:r>
              <w:t xml:space="preserve"> 22 Mar 1991 p. 1209)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1992</w:t>
            </w:r>
          </w:p>
        </w:tc>
        <w:tc>
          <w:tcPr>
            <w:tcW w:w="1276" w:type="dxa"/>
          </w:tcPr>
          <w:p>
            <w:pPr>
              <w:pStyle w:val="nTable"/>
              <w:spacing w:after="40"/>
            </w:pPr>
            <w:r>
              <w:t>28 Feb 1992 p. 994</w:t>
            </w:r>
          </w:p>
        </w:tc>
        <w:tc>
          <w:tcPr>
            <w:tcW w:w="2693"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1994</w:t>
            </w:r>
          </w:p>
        </w:tc>
        <w:tc>
          <w:tcPr>
            <w:tcW w:w="1276" w:type="dxa"/>
          </w:tcPr>
          <w:p>
            <w:pPr>
              <w:pStyle w:val="nTable"/>
              <w:spacing w:after="40"/>
            </w:pPr>
            <w:r>
              <w:t>4 Mar 1994 p. 852</w:t>
            </w:r>
            <w:r>
              <w:noBreakHyphen/>
              <w:t>7</w:t>
            </w:r>
          </w:p>
        </w:tc>
        <w:tc>
          <w:tcPr>
            <w:tcW w:w="2693" w:type="dxa"/>
          </w:tcPr>
          <w:p>
            <w:pPr>
              <w:pStyle w:val="nTable"/>
              <w:spacing w:after="40"/>
            </w:pPr>
            <w:r>
              <w:t>4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1997</w:t>
            </w:r>
          </w:p>
        </w:tc>
        <w:tc>
          <w:tcPr>
            <w:tcW w:w="1276" w:type="dxa"/>
          </w:tcPr>
          <w:p>
            <w:pPr>
              <w:pStyle w:val="nTable"/>
              <w:spacing w:after="40"/>
            </w:pPr>
            <w:r>
              <w:t>1 Aug 1997 p. 4394</w:t>
            </w:r>
          </w:p>
        </w:tc>
        <w:tc>
          <w:tcPr>
            <w:tcW w:w="2693" w:type="dxa"/>
          </w:tcPr>
          <w:p>
            <w:pPr>
              <w:pStyle w:val="nTable"/>
              <w:spacing w:after="40"/>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(No. 2) 1997</w:t>
            </w:r>
          </w:p>
        </w:tc>
        <w:tc>
          <w:tcPr>
            <w:tcW w:w="1276" w:type="dxa"/>
          </w:tcPr>
          <w:p>
            <w:pPr>
              <w:pStyle w:val="nTable"/>
              <w:spacing w:after="40"/>
            </w:pPr>
            <w:r>
              <w:t>7 Nov 1997 p. 6136</w:t>
            </w:r>
            <w:r>
              <w:noBreakHyphen/>
              <w:t>7</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1999</w:t>
            </w:r>
          </w:p>
        </w:tc>
        <w:tc>
          <w:tcPr>
            <w:tcW w:w="1276" w:type="dxa"/>
          </w:tcPr>
          <w:p>
            <w:pPr>
              <w:pStyle w:val="nTable"/>
              <w:spacing w:after="40"/>
            </w:pPr>
            <w:r>
              <w:t>7 Mar 2000 p. 1039</w:t>
            </w:r>
            <w:r>
              <w:noBreakHyphen/>
              <w:t>41</w:t>
            </w:r>
          </w:p>
        </w:tc>
        <w:tc>
          <w:tcPr>
            <w:tcW w:w="2693" w:type="dxa"/>
          </w:tcPr>
          <w:p>
            <w:pPr>
              <w:pStyle w:val="nTable"/>
              <w:spacing w:after="40"/>
            </w:pPr>
            <w:r>
              <w:t xml:space="preserve">8 Mar 2000 (see r. 2 and </w:t>
            </w:r>
            <w:r>
              <w:rPr>
                <w:i/>
              </w:rPr>
              <w:t>Gazette</w:t>
            </w:r>
            <w:r>
              <w:t xml:space="preserve"> 7 Mar 2000 p. 1039)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(No. 2) 2000</w:t>
            </w:r>
          </w:p>
        </w:tc>
        <w:tc>
          <w:tcPr>
            <w:tcW w:w="1276" w:type="dxa"/>
          </w:tcPr>
          <w:p>
            <w:pPr>
              <w:pStyle w:val="nTable"/>
              <w:spacing w:after="40"/>
            </w:pPr>
            <w:r>
              <w:t>22 Aug 2000 p. 4849</w:t>
            </w:r>
          </w:p>
        </w:tc>
        <w:tc>
          <w:tcPr>
            <w:tcW w:w="2693" w:type="dxa"/>
          </w:tcPr>
          <w:p>
            <w:pPr>
              <w:pStyle w:val="nTable"/>
              <w:spacing w:after="40"/>
            </w:pPr>
            <w:r>
              <w:t>22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2000</w:t>
            </w:r>
          </w:p>
        </w:tc>
        <w:tc>
          <w:tcPr>
            <w:tcW w:w="1276" w:type="dxa"/>
          </w:tcPr>
          <w:p>
            <w:pPr>
              <w:pStyle w:val="nTable"/>
              <w:spacing w:after="40"/>
            </w:pPr>
            <w:r>
              <w:t>29 Aug 2000 p. 4985</w:t>
            </w:r>
            <w:r>
              <w:noBreakHyphen/>
              <w:t>6</w:t>
            </w:r>
          </w:p>
        </w:tc>
        <w:tc>
          <w:tcPr>
            <w:tcW w:w="2693" w:type="dxa"/>
          </w:tcPr>
          <w:p>
            <w:pPr>
              <w:pStyle w:val="nTable"/>
              <w:spacing w:after="40"/>
            </w:pPr>
            <w:r>
              <w:t xml:space="preserve">1 Sep 2000 (see r. 2 and </w:t>
            </w:r>
            <w:r>
              <w:rPr>
                <w:i/>
              </w:rPr>
              <w:t>Gazette</w:t>
            </w:r>
            <w:r>
              <w:t xml:space="preserve"> 29 Aug 2000 p. 4985)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Bail Regulations 1988 </w:t>
            </w:r>
            <w:r>
              <w:rPr>
                <w:b/>
                <w:bCs/>
              </w:rPr>
              <w:t>as at 8 Sep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Equality of Status Subsidiary Legislation Amendment Regulations 2003</w:t>
            </w:r>
            <w:r>
              <w:t xml:space="preserve"> Pt. 3</w:t>
            </w:r>
          </w:p>
        </w:tc>
        <w:tc>
          <w:tcPr>
            <w:tcW w:w="1276" w:type="dxa"/>
          </w:tcPr>
          <w:p>
            <w:pPr>
              <w:pStyle w:val="nTable"/>
              <w:spacing w:after="40"/>
            </w:pPr>
            <w:r>
              <w:t>30 Jun 2003 p. 2581</w:t>
            </w:r>
            <w:r>
              <w:noBreakHyphen/>
              <w:t>638</w:t>
            </w:r>
          </w:p>
        </w:tc>
        <w:tc>
          <w:tcPr>
            <w:tcW w:w="2693" w:type="dxa"/>
          </w:tcPr>
          <w:p>
            <w:pPr>
              <w:pStyle w:val="nTable"/>
              <w:spacing w:after="40"/>
              <w:rPr>
                <w:i/>
              </w:rPr>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Sentencing Legislation (Short Sentences) Amendment Regulations 2004</w:t>
            </w:r>
            <w:r>
              <w:t xml:space="preserve"> r. 5</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Cs/>
              </w:rPr>
            </w:pPr>
            <w:r>
              <w:rPr>
                <w:i/>
              </w:rPr>
              <w:t>Courts and Legal Practice (Consequential Amendments) Regulations 2005</w:t>
            </w:r>
            <w:r>
              <w:rPr>
                <w:iCs/>
              </w:rPr>
              <w:t xml:space="preserve"> r. 2</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lastRenderedPageBreak/>
              <w:t>Bail Amendment Regulations 2009</w:t>
            </w:r>
          </w:p>
        </w:tc>
        <w:tc>
          <w:tcPr>
            <w:tcW w:w="1276" w:type="dxa"/>
          </w:tcPr>
          <w:p>
            <w:pPr>
              <w:pStyle w:val="nTable"/>
              <w:spacing w:after="40"/>
            </w:pPr>
            <w:r>
              <w:t>25 Feb 2009 p. 471-90</w:t>
            </w:r>
          </w:p>
        </w:tc>
        <w:tc>
          <w:tcPr>
            <w:tcW w:w="2693" w:type="dxa"/>
          </w:tcPr>
          <w:p>
            <w:pPr>
              <w:pStyle w:val="nTable"/>
              <w:spacing w:after="40"/>
            </w:pPr>
            <w:r>
              <w:t>r. 1 and 2: 25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Bail Regulations 1988 </w:t>
            </w:r>
            <w:r>
              <w:rPr>
                <w:b/>
                <w:bCs/>
              </w:rPr>
              <w:t>as at 6 Mar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2012</w:t>
            </w:r>
          </w:p>
        </w:tc>
        <w:tc>
          <w:tcPr>
            <w:tcW w:w="1276" w:type="dxa"/>
          </w:tcPr>
          <w:p>
            <w:pPr>
              <w:pStyle w:val="nTable"/>
              <w:spacing w:after="40"/>
            </w:pPr>
            <w:r>
              <w:t>6 Mar 2012 p. 895</w:t>
            </w:r>
          </w:p>
        </w:tc>
        <w:tc>
          <w:tcPr>
            <w:tcW w:w="2693" w:type="dxa"/>
          </w:tcPr>
          <w:p>
            <w:pPr>
              <w:pStyle w:val="nTable"/>
              <w:spacing w:after="40"/>
            </w:pPr>
            <w:r>
              <w:t>r. 1 and 2: 6 Mar 2012 (see r. 2(a));</w:t>
            </w:r>
            <w:r>
              <w:br/>
              <w:t>Regulations other than r. 1 and 2: 7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2014</w:t>
            </w:r>
          </w:p>
        </w:tc>
        <w:tc>
          <w:tcPr>
            <w:tcW w:w="1276" w:type="dxa"/>
          </w:tcPr>
          <w:p>
            <w:pPr>
              <w:pStyle w:val="nTable"/>
              <w:spacing w:after="40"/>
            </w:pPr>
            <w:r>
              <w:t>12 Sep 2014 p. 3281</w:t>
            </w:r>
            <w:r>
              <w:noBreakHyphen/>
              <w:t>9</w:t>
            </w:r>
          </w:p>
        </w:tc>
        <w:tc>
          <w:tcPr>
            <w:tcW w:w="2693" w:type="dxa"/>
          </w:tcPr>
          <w:p>
            <w:pPr>
              <w:pStyle w:val="nTable"/>
              <w:spacing w:after="40"/>
            </w:pPr>
            <w:r>
              <w:t>r. 1 and 2: 12 Sep 2014 (see r. 2(a));</w:t>
            </w:r>
            <w:r>
              <w:br/>
              <w:t xml:space="preserve">Regulations other than r. 1 and 2: 13 Sep 2014 (see r. 2(b) and </w:t>
            </w:r>
            <w:r>
              <w:rPr>
                <w:i/>
              </w:rPr>
              <w:t>Gazette</w:t>
            </w:r>
            <w:r>
              <w:t xml:space="preserve"> 12 Sep 2014 p. 3279)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Attorney General Regulations Amendment (Family Violence Restraining Orders) Regulations 2017</w:t>
            </w:r>
            <w:r>
              <w:t xml:space="preserve"> Pt. 2</w:t>
            </w:r>
          </w:p>
        </w:tc>
        <w:tc>
          <w:tcPr>
            <w:tcW w:w="1276" w:type="dxa"/>
          </w:tcPr>
          <w:p>
            <w:pPr>
              <w:pStyle w:val="nTable"/>
              <w:spacing w:after="40"/>
            </w:pPr>
            <w:r>
              <w:t>27 Jun 2017 p. 3432</w:t>
            </w:r>
            <w:r>
              <w:noBreakHyphen/>
              <w:t>5</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noProof/>
              </w:rPr>
              <w:t>Bail Regulations 1988</w:t>
            </w:r>
            <w:r>
              <w:rPr>
                <w:b/>
              </w:rPr>
              <w:t xml:space="preserve"> as at 12 Jan 2018</w:t>
            </w:r>
            <w:r>
              <w:t xml:space="preserve"> (includes amendments listed above)</w:t>
            </w:r>
          </w:p>
        </w:tc>
      </w:tr>
      <w:tr>
        <w:trPr>
          <w:cantSplit/>
        </w:trPr>
        <w:tc>
          <w:tcPr>
            <w:tcW w:w="3119" w:type="dxa"/>
            <w:tcBorders>
              <w:top w:val="nil"/>
              <w:bottom w:val="nil"/>
            </w:tcBorders>
          </w:tcPr>
          <w:p>
            <w:pPr>
              <w:pStyle w:val="nTable"/>
              <w:spacing w:after="40"/>
              <w:ind w:right="170"/>
              <w:rPr>
                <w:i/>
              </w:rPr>
            </w:pPr>
            <w:r>
              <w:rPr>
                <w:i/>
              </w:rPr>
              <w:t>Bail Amendment Regulations 2018</w:t>
            </w:r>
          </w:p>
        </w:tc>
        <w:tc>
          <w:tcPr>
            <w:tcW w:w="1276" w:type="dxa"/>
            <w:tcBorders>
              <w:top w:val="nil"/>
              <w:bottom w:val="nil"/>
            </w:tcBorders>
          </w:tcPr>
          <w:p>
            <w:pPr>
              <w:pStyle w:val="nTable"/>
              <w:spacing w:after="40"/>
            </w:pPr>
            <w:r>
              <w:t>29 Jun 2018 p. 2436</w:t>
            </w:r>
            <w:r>
              <w:noBreakHyphen/>
              <w:t>7</w:t>
            </w:r>
          </w:p>
        </w:tc>
        <w:tc>
          <w:tcPr>
            <w:tcW w:w="2693" w:type="dxa"/>
            <w:tcBorders>
              <w:top w:val="nil"/>
              <w:bottom w:val="nil"/>
            </w:tcBorders>
          </w:tcPr>
          <w:p>
            <w:pPr>
              <w:pStyle w:val="nTable"/>
              <w:spacing w:after="40"/>
            </w:pPr>
            <w:r>
              <w:t>r. 1 and 2: 29 Jun 2018 (see r. 2(a));</w:t>
            </w:r>
            <w:r>
              <w:br/>
              <w:t>Regulations other than r. 1 and 2: 30 Jun 2018 (see r. 2(b))</w:t>
            </w:r>
          </w:p>
        </w:tc>
      </w:tr>
      <w:tr>
        <w:trPr>
          <w:cantSplit/>
        </w:trPr>
        <w:tc>
          <w:tcPr>
            <w:tcW w:w="3119" w:type="dxa"/>
            <w:tcBorders>
              <w:top w:val="nil"/>
              <w:bottom w:val="nil"/>
            </w:tcBorders>
          </w:tcPr>
          <w:p>
            <w:pPr>
              <w:pStyle w:val="nTable"/>
              <w:spacing w:after="40"/>
              <w:ind w:right="170"/>
              <w:rPr>
                <w:i/>
              </w:rPr>
            </w:pPr>
            <w:r>
              <w:rPr>
                <w:i/>
              </w:rPr>
              <w:t>Attorney General Regulations Amendment (Case Management System) Regulations 2019</w:t>
            </w:r>
            <w:r>
              <w:t xml:space="preserve"> Pt. 2</w:t>
            </w:r>
          </w:p>
        </w:tc>
        <w:tc>
          <w:tcPr>
            <w:tcW w:w="1276" w:type="dxa"/>
            <w:tcBorders>
              <w:top w:val="nil"/>
              <w:bottom w:val="nil"/>
            </w:tcBorders>
          </w:tcPr>
          <w:p>
            <w:pPr>
              <w:pStyle w:val="nTable"/>
              <w:spacing w:after="40"/>
            </w:pPr>
            <w:r>
              <w:t>31 Dec 2019 p. 4669-73</w:t>
            </w:r>
          </w:p>
        </w:tc>
        <w:tc>
          <w:tcPr>
            <w:tcW w:w="2693" w:type="dxa"/>
            <w:tcBorders>
              <w:top w:val="nil"/>
              <w:bottom w:val="nil"/>
            </w:tcBorders>
          </w:tcPr>
          <w:p>
            <w:pPr>
              <w:pStyle w:val="nTable"/>
              <w:spacing w:after="40"/>
            </w:pPr>
            <w:r>
              <w:t>1 Jan 2020 (see r. 2(b))</w:t>
            </w:r>
          </w:p>
        </w:tc>
      </w:tr>
      <w:tr>
        <w:trPr>
          <w:cantSplit/>
        </w:trPr>
        <w:tc>
          <w:tcPr>
            <w:tcW w:w="3119" w:type="dxa"/>
            <w:tcBorders>
              <w:top w:val="nil"/>
              <w:bottom w:val="nil"/>
            </w:tcBorders>
          </w:tcPr>
          <w:p>
            <w:pPr>
              <w:pStyle w:val="nTable"/>
              <w:spacing w:after="40"/>
              <w:ind w:right="170"/>
              <w:rPr>
                <w:i/>
              </w:rPr>
            </w:pPr>
            <w:r>
              <w:rPr>
                <w:i/>
              </w:rPr>
              <w:t>Bail Amendment Regulations 2020</w:t>
            </w:r>
          </w:p>
        </w:tc>
        <w:tc>
          <w:tcPr>
            <w:tcW w:w="1276" w:type="dxa"/>
            <w:tcBorders>
              <w:top w:val="nil"/>
              <w:bottom w:val="nil"/>
            </w:tcBorders>
          </w:tcPr>
          <w:p>
            <w:pPr>
              <w:pStyle w:val="nTable"/>
              <w:spacing w:after="40"/>
            </w:pPr>
            <w:r>
              <w:t>SL 2020/235 4 Dec 2020</w:t>
            </w:r>
          </w:p>
        </w:tc>
        <w:tc>
          <w:tcPr>
            <w:tcW w:w="2693" w:type="dxa"/>
            <w:tcBorders>
              <w:top w:val="nil"/>
              <w:bottom w:val="nil"/>
            </w:tcBorders>
          </w:tcPr>
          <w:p>
            <w:pPr>
              <w:pStyle w:val="nTable"/>
              <w:spacing w:after="40"/>
            </w:pPr>
            <w:r>
              <w:t>r. 1 and 2: 4 Dec 2020 (see r. 2(a));</w:t>
            </w:r>
            <w:r>
              <w:br/>
              <w:t>Regulations other than r. 1 and 2: 5 Dec 2020 (see r. 2(b))</w:t>
            </w:r>
          </w:p>
        </w:tc>
      </w:tr>
      <w:tr>
        <w:trPr>
          <w:cantSplit/>
        </w:trPr>
        <w:tc>
          <w:tcPr>
            <w:tcW w:w="3119" w:type="dxa"/>
            <w:tcBorders>
              <w:top w:val="nil"/>
              <w:bottom w:val="nil"/>
            </w:tcBorders>
          </w:tcPr>
          <w:p>
            <w:pPr>
              <w:pStyle w:val="nTable"/>
              <w:spacing w:after="40"/>
              <w:ind w:right="170"/>
            </w:pPr>
            <w:r>
              <w:rPr>
                <w:i/>
              </w:rPr>
              <w:t>Attorney General Regulations Amendment (Forms) Regulations 2021</w:t>
            </w:r>
            <w:r>
              <w:t xml:space="preserve"> Pt. 2</w:t>
            </w:r>
          </w:p>
        </w:tc>
        <w:tc>
          <w:tcPr>
            <w:tcW w:w="1276" w:type="dxa"/>
            <w:tcBorders>
              <w:top w:val="nil"/>
              <w:bottom w:val="nil"/>
            </w:tcBorders>
          </w:tcPr>
          <w:p>
            <w:pPr>
              <w:pStyle w:val="nTable"/>
              <w:spacing w:after="40"/>
            </w:pPr>
            <w:r>
              <w:t>SL 2021/38 9 Apr 2021</w:t>
            </w:r>
          </w:p>
        </w:tc>
        <w:tc>
          <w:tcPr>
            <w:tcW w:w="2693" w:type="dxa"/>
            <w:tcBorders>
              <w:top w:val="nil"/>
              <w:bottom w:val="nil"/>
            </w:tcBorders>
          </w:tcPr>
          <w:p>
            <w:pPr>
              <w:pStyle w:val="nTable"/>
              <w:spacing w:after="40"/>
            </w:pPr>
            <w:r>
              <w:t>10 Apr 2021 (see r. 2(b))</w:t>
            </w:r>
          </w:p>
        </w:tc>
      </w:tr>
      <w:tr>
        <w:trPr>
          <w:cantSplit/>
        </w:trPr>
        <w:tc>
          <w:tcPr>
            <w:tcW w:w="3119" w:type="dxa"/>
            <w:tcBorders>
              <w:top w:val="nil"/>
              <w:bottom w:val="single" w:sz="4" w:space="0" w:color="auto"/>
            </w:tcBorders>
          </w:tcPr>
          <w:p>
            <w:pPr>
              <w:pStyle w:val="nTable"/>
              <w:spacing w:after="40"/>
              <w:ind w:right="170"/>
              <w:rPr>
                <w:i/>
              </w:rPr>
            </w:pPr>
            <w:r>
              <w:rPr>
                <w:i/>
              </w:rPr>
              <w:t xml:space="preserve">Attorney General Regulations Amendment (Family Violence Reform) Regulations 2024 </w:t>
            </w:r>
            <w:r>
              <w:rPr>
                <w:iCs/>
              </w:rPr>
              <w:t>Pt. 2</w:t>
            </w:r>
          </w:p>
        </w:tc>
        <w:tc>
          <w:tcPr>
            <w:tcW w:w="1276" w:type="dxa"/>
            <w:tcBorders>
              <w:top w:val="nil"/>
              <w:bottom w:val="single" w:sz="4" w:space="0" w:color="auto"/>
            </w:tcBorders>
          </w:tcPr>
          <w:p>
            <w:pPr>
              <w:pStyle w:val="nTable"/>
              <w:spacing w:after="40"/>
            </w:pPr>
            <w:r>
              <w:t>SL 2024/252 11 Dec 2024</w:t>
            </w:r>
          </w:p>
        </w:tc>
        <w:tc>
          <w:tcPr>
            <w:tcW w:w="2693" w:type="dxa"/>
            <w:tcBorders>
              <w:top w:val="nil"/>
              <w:bottom w:val="single" w:sz="4" w:space="0" w:color="auto"/>
            </w:tcBorders>
          </w:tcPr>
          <w:p>
            <w:pPr>
              <w:pStyle w:val="nTable"/>
              <w:spacing w:after="40"/>
            </w:pPr>
            <w:r>
              <w:t>18 Dec 2024 (see r. 2(b))</w:t>
            </w:r>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91" w:name="_Toc184806501"/>
      <w:bookmarkStart w:id="92" w:name="_Toc184808071"/>
      <w:bookmarkStart w:id="93" w:name="_Toc184810137"/>
      <w:r>
        <w:rPr>
          <w:sz w:val="28"/>
        </w:rPr>
        <w:lastRenderedPageBreak/>
        <w:t>Defined terms</w:t>
      </w:r>
      <w:bookmarkEnd w:id="91"/>
      <w:bookmarkEnd w:id="92"/>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3A</w:t>
      </w:r>
    </w:p>
    <w:p>
      <w:pPr>
        <w:pStyle w:val="DefinedTerms"/>
      </w:pPr>
      <w:r>
        <w:t>Department</w:t>
      </w:r>
      <w:r>
        <w:tab/>
        <w:t>3A</w:t>
      </w:r>
    </w:p>
    <w:p>
      <w:pPr>
        <w:pStyle w:val="DefinedTerms"/>
      </w:pPr>
      <w:r>
        <w:t>departmental programme</w:t>
      </w:r>
      <w:r>
        <w:tab/>
        <w:t>11(3)</w:t>
      </w:r>
    </w:p>
    <w:p>
      <w:pPr>
        <w:pStyle w:val="DefinedTerms"/>
      </w:pPr>
      <w:r>
        <w:t>ECMS</w:t>
      </w:r>
      <w:r>
        <w:tab/>
        <w:t>3A</w:t>
      </w:r>
    </w:p>
    <w:p>
      <w:pPr>
        <w:pStyle w:val="DefinedTerms"/>
      </w:pPr>
      <w:r>
        <w:t>working day</w:t>
      </w:r>
      <w:r>
        <w:tab/>
        <w:t>3A</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5C4172"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D65C03A" w14:textId="2D6CBD6A" w:rsidR="009423E6" w:rsidRDefault="009423E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538C62BC" w14:textId="77777777" w:rsidR="009423E6" w:rsidRDefault="009423E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B4B531" w14:textId="28C42DE6" w:rsidR="009423E6" w:rsidRDefault="009423E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6E97EC0B" w14:textId="77777777" w:rsidR="009423E6" w:rsidRDefault="009423E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t>Forms</w:t>
          </w: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bookmarkStart w:id="85" w:name="Schedule"/>
        <w:bookmarkEnd w:id="85"/>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5797" w:type="dxa"/>
        </w:tcPr>
        <w:p>
          <w:pPr>
            <w:pStyle w:val="Header"/>
            <w:spacing w:before="40"/>
            <w:jc w:val="right"/>
          </w:pPr>
          <w:r>
            <w:t>Forms</w:t>
          </w: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1104502"/>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 w:name="WAFER_20150225142848" w:val="ResetPageSize,UpdateArrangement,UpdateNTable"/>
    <w:docVar w:name="WAFER_20150225142848_GUID" w:val="a6496cbe-2fde-4b4d-a2f5-afb316ffbcd3"/>
    <w:docVar w:name="WAFER_20151102120315" w:val="UpdateStyles,UsedStyles"/>
    <w:docVar w:name="WAFER_20151102120315_GUID" w:val="e213bca0-7e4a-497d-be67-d6334ef8b7ff"/>
    <w:docVar w:name="WAFER_20151102120327" w:val="UpdateStyles,UsedStyles"/>
    <w:docVar w:name="WAFER_20151102120327_GUID" w:val="2f75adbb-174e-4dc0-aa77-477cdca99e6c"/>
    <w:docVar w:name="WAFER_20171018093018" w:val="RemoveTocBookmarks,RemoveUnusedBookmarks,RemoveLanguageTags,UsedStyles,ResetPageSize,RemoveCustomizations"/>
    <w:docVar w:name="WAFER_20171018093018_GUID" w:val="19e5774e-3aba-4081-9f86-4be82ba94d47"/>
    <w:docVar w:name="WAFER_20180628150830" w:val="RemoveTocBookmarks,RemoveUnusedBookmarks,RemoveLanguageTags,UsedStyles,ResetPageSize"/>
    <w:docVar w:name="WAFER_20180628150830_GUID" w:val="15258cdb-73a2-4c46-8799-1f4b9a2f922d"/>
    <w:docVar w:name="WAFER_20191220105323" w:val="RemoveTocBookmarks,RemoveUnusedBookmarks,RemoveLanguageTags,ResetPageSize,RunningHeaders,UpdateStyles,UsedStyles"/>
    <w:docVar w:name="WAFER_20191220105323_GUID" w:val="f9a9877d-734a-4b24-9cfb-93df7c3ce8c9"/>
    <w:docVar w:name="WAFER_202002101225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2508_GUID" w:val="928941da-c1c0-4bc4-a3f8-a1450523d845"/>
    <w:docVar w:name="WAFER_202011301639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63911_GUID" w:val="ce5dd89f-e549-4c2d-ac0e-89fbe87dab90"/>
    <w:docVar w:name="WAFER_202011301639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63947_GUID" w:val="7328c484-385a-45b6-b133-bdc35610dae4"/>
    <w:docVar w:name="WAFER_2021040714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24_GUID" w:val="f0f78016-9f87-448a-a035-51f47922d94e"/>
    <w:docVar w:name="WAFER_20241211104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1104502_GUID" w:val="0b5bfe93-05e5-4686-87fa-992112cb8a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yTableNAm">
    <w:name w:val="yTableNAm"/>
    <w:basedOn w:val="TableNAm"/>
    <w:rPr>
      <w:sz w:val="22"/>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6.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66E5B-A924-467B-9F22-4AA9E7E79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10434</Words>
  <Characters>63231</Characters>
  <Application>Microsoft Office Word</Application>
  <DocSecurity>0</DocSecurity>
  <Lines>1621</Lines>
  <Paragraphs>1052</Paragraphs>
  <ScaleCrop>false</ScaleCrop>
  <HeadingPairs>
    <vt:vector size="2" baseType="variant">
      <vt:variant>
        <vt:lpstr>Title</vt:lpstr>
      </vt:variant>
      <vt:variant>
        <vt:i4>1</vt:i4>
      </vt:variant>
    </vt:vector>
  </HeadingPairs>
  <TitlesOfParts>
    <vt:vector size="1" baseType="lpstr">
      <vt:lpstr>Bail Regulations 1988 - 03-a0-00</vt:lpstr>
    </vt:vector>
  </TitlesOfParts>
  <Manager/>
  <Company/>
  <LinksUpToDate>false</LinksUpToDate>
  <CharactersWithSpaces>72613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1988 - 03-g0-00</dc:title>
  <dc:subject/>
  <dc:creator/>
  <cp:keywords/>
  <dc:description/>
  <cp:lastModifiedBy>Master Repository Process</cp:lastModifiedBy>
  <cp:revision>4</cp:revision>
  <cp:lastPrinted>2020-12-01T03:06:00Z</cp:lastPrinted>
  <dcterms:created xsi:type="dcterms:W3CDTF">2025-05-30T05:00:00Z</dcterms:created>
  <dcterms:modified xsi:type="dcterms:W3CDTF">2025-05-30T05:00:00Z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OwlsUID">
    <vt:i4>4289</vt:i4>
  </property>
  <property fmtid="{D5CDD505-2E9C-101B-9397-08002B2CF9AE}" pid="4" name="ReprintedAsAt">
    <vt:filetime>2018-01-11T16:00:00Z</vt:filetime>
  </property>
  <property fmtid="{D5CDD505-2E9C-101B-9397-08002B2CF9AE}" pid="5" name="ReprintNo">
    <vt:lpwstr>3</vt:lpwstr>
  </property>
  <property fmtid="{D5CDD505-2E9C-101B-9397-08002B2CF9AE}" pid="6" name="DocumentType">
    <vt:lpwstr>Reg</vt:lpwstr>
  </property>
  <property fmtid="{D5CDD505-2E9C-101B-9397-08002B2CF9AE}" pid="7" name="AsAtDate">
    <vt:lpwstr>18 Dec 2024</vt:lpwstr>
  </property>
  <property fmtid="{D5CDD505-2E9C-101B-9397-08002B2CF9AE}" pid="8" name="Suffix">
    <vt:lpwstr>03-g0-00</vt:lpwstr>
  </property>
  <property fmtid="{D5CDD505-2E9C-101B-9397-08002B2CF9AE}" pid="9" name="Official">
    <vt:lpwstr/>
  </property>
  <property fmtid="{D5CDD505-2E9C-101B-9397-08002B2CF9AE}" pid="10" name="CommencementDate">
    <vt:lpwstr>20241218</vt:lpwstr>
  </property>
  <property fmtid="{D5CDD505-2E9C-101B-9397-08002B2CF9AE}" pid="11" name="CommencementAsAt">
    <vt:filetime>2024-12-17T16:00:00Z</vt:filetime>
  </property>
  <property fmtid="{D5CDD505-2E9C-101B-9397-08002B2CF9AE}" pid="12" name="CommencementYear">
    <vt:lpwstr>2024</vt:lpwstr>
  </property>
</Properties>
</file>