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_Toc184823225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_Toc184823226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_Toc184823227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_Toc184823228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_Toc184823229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_Toc184823230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_Toc184823231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_Toc184823232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_Toc184823233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_Toc184823234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_Toc184823235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_Toc184823236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_Toc184823237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_Toc184823240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_Toc184823241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_Toc184823243 \h </w:instrText>
      </w:r>
      <w:r>
        <w:fldChar w:fldCharType="separate"/>
      </w:r>
      <w:r>
        <w:t>13</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_Toc184823244 \h </w:instrText>
      </w:r>
      <w:r>
        <w:fldChar w:fldCharType="separate"/>
      </w:r>
      <w:r>
        <w:t>13</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_Toc184823245 \h </w:instrText>
      </w:r>
      <w:r>
        <w:fldChar w:fldCharType="separate"/>
      </w:r>
      <w:r>
        <w:t>14</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_Toc184823246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tab/>
        <w:t>Resignation</w:t>
      </w:r>
      <w:r>
        <w:tab/>
      </w:r>
      <w:r>
        <w:fldChar w:fldCharType="begin"/>
      </w:r>
      <w:r>
        <w:instrText xml:space="preserve"> PAGEREF _Toc184823247 \h </w:instrText>
      </w:r>
      <w:r>
        <w:fldChar w:fldCharType="separate"/>
      </w:r>
      <w:r>
        <w:t>16</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_Toc184823248 \h </w:instrText>
      </w:r>
      <w:r>
        <w:fldChar w:fldCharType="separate"/>
      </w:r>
      <w:r>
        <w:t>16</w:t>
      </w:r>
      <w:r>
        <w:fldChar w:fldCharType="end"/>
      </w:r>
    </w:p>
    <w:p>
      <w:pPr>
        <w:pStyle w:val="TOC8"/>
        <w:rPr>
          <w:rFonts w:asciiTheme="minorHAnsi" w:eastAsiaTheme="minorEastAsia" w:hAnsiTheme="minorHAnsi" w:cstheme="minorBidi"/>
          <w:szCs w:val="22"/>
        </w:rPr>
      </w:pPr>
      <w:r>
        <w:t>22.</w:t>
      </w:r>
      <w:r>
        <w:tab/>
        <w:t>Meetings of Board</w:t>
      </w:r>
      <w:r>
        <w:tab/>
      </w:r>
      <w:r>
        <w:fldChar w:fldCharType="begin"/>
      </w:r>
      <w:r>
        <w:instrText xml:space="preserve"> PAGEREF _Toc184823249 \h </w:instrText>
      </w:r>
      <w:r>
        <w:fldChar w:fldCharType="separate"/>
      </w:r>
      <w:r>
        <w:t>17</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_Toc184823250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_Toc184823252 \h </w:instrText>
      </w:r>
      <w:r>
        <w:fldChar w:fldCharType="separate"/>
      </w:r>
      <w:r>
        <w:t>19</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_Toc184823253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Restriction of offenders</w:t>
      </w:r>
    </w:p>
    <w:p>
      <w:pPr>
        <w:pStyle w:val="TOC4"/>
        <w:tabs>
          <w:tab w:val="right" w:leader="dot" w:pos="7077"/>
        </w:tabs>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_Toc184823256 \h </w:instrText>
      </w:r>
      <w:r>
        <w:fldChar w:fldCharType="separate"/>
      </w:r>
      <w:r>
        <w:t>21</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_Toc184823257 \h </w:instrText>
      </w:r>
      <w:r>
        <w:fldChar w:fldCharType="separate"/>
      </w:r>
      <w:r>
        <w:t>21</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_Toc184823258 \h </w:instrText>
      </w:r>
      <w:r>
        <w:fldChar w:fldCharType="separate"/>
      </w:r>
      <w:r>
        <w:t>21</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_Toc184823259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_Toc184823260 \h </w:instrText>
      </w:r>
      <w:r>
        <w:fldChar w:fldCharType="separate"/>
      </w:r>
      <w:r>
        <w:t>22</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_Toc184823261 \h </w:instrText>
      </w:r>
      <w:r>
        <w:fldChar w:fldCharType="separate"/>
      </w:r>
      <w:r>
        <w:t>24</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_Toc184823262 \h </w:instrText>
      </w:r>
      <w:r>
        <w:fldChar w:fldCharType="separate"/>
      </w:r>
      <w:r>
        <w:t>25</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_Toc184823263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_Toc184823265 \h </w:instrText>
      </w:r>
      <w:r>
        <w:fldChar w:fldCharType="separate"/>
      </w:r>
      <w:r>
        <w:t>28</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_Toc184823266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_Toc184823267 \h </w:instrText>
      </w:r>
      <w:r>
        <w:fldChar w:fldCharType="separate"/>
      </w:r>
      <w:r>
        <w:t>30</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_Toc184823268 \h </w:instrText>
      </w:r>
      <w:r>
        <w:fldChar w:fldCharType="separate"/>
      </w:r>
      <w:r>
        <w:t>30</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_Toc184823269 \h </w:instrText>
      </w:r>
      <w:r>
        <w:fldChar w:fldCharType="separate"/>
      </w:r>
      <w:r>
        <w:t>31</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_Toc184823270 \h </w:instrText>
      </w:r>
      <w:r>
        <w:fldChar w:fldCharType="separate"/>
      </w:r>
      <w:r>
        <w:t>31</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_Toc184823271 \h </w:instrText>
      </w:r>
      <w:r>
        <w:fldChar w:fldCharType="separate"/>
      </w:r>
      <w:r>
        <w:t>32</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_Toc184823272 \h </w:instrText>
      </w:r>
      <w:r>
        <w:fldChar w:fldCharType="separate"/>
      </w:r>
      <w:r>
        <w:t>33</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_Toc184823273 \h </w:instrText>
      </w:r>
      <w:r>
        <w:fldChar w:fldCharType="separate"/>
      </w:r>
      <w:r>
        <w:t>34</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_Toc184823274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44.</w:t>
      </w:r>
      <w:r>
        <w:tab/>
        <w:t>Offender may file affidavits in response</w:t>
      </w:r>
      <w:r>
        <w:tab/>
      </w:r>
      <w:r>
        <w:fldChar w:fldCharType="begin"/>
      </w:r>
      <w:r>
        <w:instrText xml:space="preserve"> PAGEREF _Toc184823275 \h </w:instrText>
      </w:r>
      <w:r>
        <w:fldChar w:fldCharType="separate"/>
      </w:r>
      <w:r>
        <w:t>36</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_Toc184823276 \h </w:instrText>
      </w:r>
      <w:r>
        <w:fldChar w:fldCharType="separate"/>
      </w:r>
      <w:r>
        <w:t>36</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_Toc184823277 \h </w:instrText>
      </w:r>
      <w:r>
        <w:fldChar w:fldCharType="separate"/>
      </w:r>
      <w:r>
        <w:t>36</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_Toc184823278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_Toc184823280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_Toc184823282 \h </w:instrText>
      </w:r>
      <w:r>
        <w:fldChar w:fldCharType="separate"/>
      </w:r>
      <w:r>
        <w:t>38</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_Toc184823283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_Toc184823285 \h </w:instrText>
      </w:r>
      <w:r>
        <w:fldChar w:fldCharType="separate"/>
      </w:r>
      <w:r>
        <w:t>39</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_Toc184823286 \h </w:instrText>
      </w:r>
      <w:r>
        <w:fldChar w:fldCharType="separate"/>
      </w:r>
      <w:r>
        <w:t>40</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_Toc184823287 \h </w:instrText>
      </w:r>
      <w:r>
        <w:fldChar w:fldCharType="separate"/>
      </w:r>
      <w:r>
        <w:t>41</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_Toc184823288 \h </w:instrText>
      </w:r>
      <w:r>
        <w:fldChar w:fldCharType="separate"/>
      </w:r>
      <w:r>
        <w:t>41</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_Toc184823289 \h </w:instrText>
      </w:r>
      <w:r>
        <w:fldChar w:fldCharType="separate"/>
      </w:r>
      <w:r>
        <w:t>41</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_Toc184823290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_Toc184823292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_Toc184823294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_Toc184823296 \h </w:instrText>
      </w:r>
      <w:r>
        <w:fldChar w:fldCharType="separate"/>
      </w:r>
      <w:r>
        <w:t>45</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_Toc184823297 \h </w:instrText>
      </w:r>
      <w:r>
        <w:fldChar w:fldCharType="separate"/>
      </w:r>
      <w:r>
        <w:t>46</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_Toc184823298 \h </w:instrText>
      </w:r>
      <w:r>
        <w:fldChar w:fldCharType="separate"/>
      </w:r>
      <w:r>
        <w:t>46</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_Toc184823299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_Toc184823301 \h </w:instrText>
      </w:r>
      <w:r>
        <w:fldChar w:fldCharType="separate"/>
      </w:r>
      <w:r>
        <w:t>48</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_Toc184823302 \h </w:instrText>
      </w:r>
      <w:r>
        <w:fldChar w:fldCharType="separate"/>
      </w:r>
      <w:r>
        <w:t>48</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_Toc184823303 \h </w:instrText>
      </w:r>
      <w:r>
        <w:fldChar w:fldCharType="separate"/>
      </w:r>
      <w:r>
        <w:t>48</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_Toc184823304 \h </w:instrText>
      </w:r>
      <w:r>
        <w:fldChar w:fldCharType="separate"/>
      </w:r>
      <w:r>
        <w:t>49</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_Toc184823305 \h </w:instrText>
      </w:r>
      <w:r>
        <w:fldChar w:fldCharType="separate"/>
      </w:r>
      <w:r>
        <w:t>49</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_Toc184823306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_Toc184823308 \h </w:instrText>
      </w:r>
      <w:r>
        <w:fldChar w:fldCharType="separate"/>
      </w:r>
      <w:r>
        <w:t>51</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_Toc184823309 \h </w:instrText>
      </w:r>
      <w:r>
        <w:fldChar w:fldCharType="separate"/>
      </w:r>
      <w:r>
        <w:t>51</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_Toc184823310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_Toc184823312 \h </w:instrText>
      </w:r>
      <w:r>
        <w:fldChar w:fldCharType="separate"/>
      </w:r>
      <w:r>
        <w:t>53</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_Toc184823313 \h </w:instrText>
      </w:r>
      <w:r>
        <w:fldChar w:fldCharType="separate"/>
      </w:r>
      <w:r>
        <w:t>53</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_Toc184823314 \h </w:instrText>
      </w:r>
      <w:r>
        <w:fldChar w:fldCharType="separate"/>
      </w:r>
      <w:r>
        <w:t>53</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_Toc184823315 \h </w:instrText>
      </w:r>
      <w:r>
        <w:fldChar w:fldCharType="separate"/>
      </w:r>
      <w:r>
        <w:t>54</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_Toc184823316 \h </w:instrText>
      </w:r>
      <w:r>
        <w:fldChar w:fldCharType="separate"/>
      </w:r>
      <w:r>
        <w:t>54</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_Toc184823317 \h </w:instrText>
      </w:r>
      <w:r>
        <w:fldChar w:fldCharType="separate"/>
      </w:r>
      <w:r>
        <w:t>55</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_Toc184823318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Offender unfit to stand trial</w:t>
      </w:r>
      <w:r>
        <w:tab/>
      </w:r>
      <w:r>
        <w:fldChar w:fldCharType="begin"/>
      </w:r>
      <w:r>
        <w:instrText xml:space="preserve"> PAGEREF _Toc184823320 \h </w:instrText>
      </w:r>
      <w:r>
        <w:fldChar w:fldCharType="separate"/>
      </w:r>
      <w:r>
        <w:t>57</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_Toc184823321 \h </w:instrText>
      </w:r>
      <w:r>
        <w:fldChar w:fldCharType="separate"/>
      </w:r>
      <w:r>
        <w:t>57</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_Toc184823322 \h </w:instrText>
      </w:r>
      <w:r>
        <w:fldChar w:fldCharType="separate"/>
      </w:r>
      <w:r>
        <w:t>58</w:t>
      </w:r>
      <w:r>
        <w:fldChar w:fldCharType="end"/>
      </w:r>
    </w:p>
    <w:p>
      <w:pPr>
        <w:pStyle w:val="TOC8"/>
        <w:rPr>
          <w:rFonts w:asciiTheme="minorHAnsi" w:eastAsiaTheme="minorEastAsia" w:hAnsiTheme="minorHAnsi" w:cstheme="minorBidi"/>
          <w:szCs w:val="22"/>
        </w:rPr>
      </w:pPr>
      <w:r>
        <w:t>81A.</w:t>
      </w:r>
      <w:r>
        <w:tab/>
        <w:t>Evidentiary provision for proceedings for offences under s. 80 concerning electronic monitoring</w:t>
      </w:r>
      <w:r>
        <w:tab/>
      </w:r>
      <w:r>
        <w:fldChar w:fldCharType="begin"/>
      </w:r>
      <w:r>
        <w:instrText xml:space="preserve"> PAGEREF _Toc184823323 \h </w:instrText>
      </w:r>
      <w:r>
        <w:fldChar w:fldCharType="separate"/>
      </w:r>
      <w:r>
        <w:t>60</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_Toc184823324 \h </w:instrText>
      </w:r>
      <w:r>
        <w:fldChar w:fldCharType="separate"/>
      </w:r>
      <w:r>
        <w:t>61</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_Toc184823325 \h </w:instrText>
      </w:r>
      <w:r>
        <w:fldChar w:fldCharType="separate"/>
      </w:r>
      <w:r>
        <w:t>62</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_Toc184823326 \h </w:instrText>
      </w:r>
      <w:r>
        <w:fldChar w:fldCharType="separate"/>
      </w:r>
      <w:r>
        <w:t>62</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_Toc184823327 \h </w:instrText>
      </w:r>
      <w:r>
        <w:fldChar w:fldCharType="separate"/>
      </w:r>
      <w:r>
        <w:t>63</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_Toc184823328 \h </w:instrText>
      </w:r>
      <w:r>
        <w:fldChar w:fldCharType="separate"/>
      </w:r>
      <w:r>
        <w:t>64</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_Toc184823329 \h </w:instrText>
      </w:r>
      <w:r>
        <w:fldChar w:fldCharType="separate"/>
      </w:r>
      <w:r>
        <w:t>64</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_Toc184823330 \h </w:instrText>
      </w:r>
      <w:r>
        <w:fldChar w:fldCharType="separate"/>
      </w:r>
      <w:r>
        <w:t>64</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_Toc184823331 \h </w:instrText>
      </w:r>
      <w:r>
        <w:fldChar w:fldCharType="separate"/>
      </w:r>
      <w:r>
        <w:t>65</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_Toc184823332 \h </w:instrText>
      </w:r>
      <w:r>
        <w:fldChar w:fldCharType="separate"/>
      </w:r>
      <w:r>
        <w:t>65</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_Toc184823333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_Toc184823336 \h </w:instrText>
      </w:r>
      <w:r>
        <w:fldChar w:fldCharType="separate"/>
      </w:r>
      <w:r>
        <w:t>67</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_Toc184823337 \h </w:instrText>
      </w:r>
      <w:r>
        <w:fldChar w:fldCharType="separate"/>
      </w:r>
      <w:r>
        <w:t>67</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_Toc184823338 \h </w:instrText>
      </w:r>
      <w:r>
        <w:fldChar w:fldCharType="separate"/>
      </w:r>
      <w:r>
        <w:t>68</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_Toc184823339 \h </w:instrText>
      </w:r>
      <w:r>
        <w:fldChar w:fldCharType="separate"/>
      </w:r>
      <w:r>
        <w:t>69</w:t>
      </w:r>
      <w:r>
        <w:fldChar w:fldCharType="end"/>
      </w:r>
    </w:p>
    <w:p>
      <w:pPr>
        <w:pStyle w:val="TOC8"/>
        <w:rPr>
          <w:rFonts w:asciiTheme="minorHAnsi" w:eastAsiaTheme="minorEastAsia" w:hAnsiTheme="minorHAnsi" w:cstheme="minorBidi"/>
          <w:szCs w:val="22"/>
        </w:rPr>
      </w:pPr>
      <w:r>
        <w:lastRenderedPageBreak/>
        <w:t>96.</w:t>
      </w:r>
      <w:r>
        <w:tab/>
        <w:t>Section 85I amended</w:t>
      </w:r>
      <w:r>
        <w:tab/>
      </w:r>
      <w:r>
        <w:fldChar w:fldCharType="begin"/>
      </w:r>
      <w:r>
        <w:instrText xml:space="preserve"> PAGEREF _Toc184823340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_Toc184823342 \h </w:instrText>
      </w:r>
      <w:r>
        <w:fldChar w:fldCharType="separate"/>
      </w:r>
      <w:r>
        <w:t>69</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_Toc184823343 \h </w:instrText>
      </w:r>
      <w:r>
        <w:fldChar w:fldCharType="separate"/>
      </w:r>
      <w:r>
        <w:t>69</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_Toc184823344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_Toc184823346 \h </w:instrText>
      </w:r>
      <w:r>
        <w:fldChar w:fldCharType="separate"/>
      </w:r>
      <w:r>
        <w:t>70</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_Toc184823347 \h </w:instrText>
      </w:r>
      <w:r>
        <w:fldChar w:fldCharType="separate"/>
      </w:r>
      <w:r>
        <w:t>70</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_Toc184823348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_Toc184823350 \h </w:instrText>
      </w:r>
      <w:r>
        <w:fldChar w:fldCharType="separate"/>
      </w:r>
      <w:r>
        <w:t>71</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_Toc184823351 \h </w:instrText>
      </w:r>
      <w:r>
        <w:fldChar w:fldCharType="separate"/>
      </w:r>
      <w:r>
        <w:t>71</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_Toc184823352 \h </w:instrText>
      </w:r>
      <w:r>
        <w:fldChar w:fldCharType="separate"/>
      </w:r>
      <w:r>
        <w:t>72</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_Toc184823353 \h </w:instrText>
      </w:r>
      <w:r>
        <w:fldChar w:fldCharType="separate"/>
      </w:r>
      <w:r>
        <w:t>72</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_Toc184823354 \h </w:instrText>
      </w:r>
      <w:r>
        <w:fldChar w:fldCharType="separate"/>
      </w:r>
      <w:r>
        <w:t>73</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_Toc184823355 \h </w:instrText>
      </w:r>
      <w:r>
        <w:fldChar w:fldCharType="separate"/>
      </w:r>
      <w:r>
        <w:t>73</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_Toc184823356 \h </w:instrText>
      </w:r>
      <w:r>
        <w:fldChar w:fldCharType="separate"/>
      </w:r>
      <w:r>
        <w:t>74</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_Toc184823357 \h </w:instrText>
      </w:r>
      <w:r>
        <w:fldChar w:fldCharType="separate"/>
      </w:r>
      <w:r>
        <w:t>74</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_Toc184823358 \h </w:instrText>
      </w:r>
      <w:r>
        <w:fldChar w:fldCharType="separate"/>
      </w:r>
      <w:r>
        <w:t>74</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_Toc184823359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_Toc184823360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_Toc184823361 \h </w:instrText>
      </w:r>
      <w:r>
        <w:fldChar w:fldCharType="separate"/>
      </w:r>
      <w:r>
        <w:t>76</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_Toc184823362 \h </w:instrText>
      </w:r>
      <w:r>
        <w:rPr>
          <w:noProof/>
        </w:rPr>
      </w:r>
      <w:r>
        <w:rPr>
          <w:noProof/>
        </w:rPr>
        <w:fldChar w:fldCharType="separate"/>
      </w:r>
      <w:r>
        <w:rPr>
          <w:noProof/>
        </w:rPr>
        <w:t>76</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_Toc184823363 \h </w:instrText>
      </w:r>
      <w:r>
        <w:fldChar w:fldCharType="separate"/>
      </w:r>
      <w:r>
        <w:t>76</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_Toc184823364 \h </w:instrText>
      </w:r>
      <w:r>
        <w:fldChar w:fldCharType="separate"/>
      </w:r>
      <w:r>
        <w:t>77</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_Toc184823365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_Toc184823367 \h </w:instrText>
      </w:r>
      <w:r>
        <w:fldChar w:fldCharType="separate"/>
      </w:r>
      <w:r>
        <w:t>77</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_Toc184823368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_Toc184823369 \h </w:instrText>
      </w:r>
      <w:r>
        <w:rPr>
          <w:noProof/>
        </w:rPr>
      </w:r>
      <w:r>
        <w:rPr>
          <w:noProof/>
        </w:rPr>
        <w:fldChar w:fldCharType="separate"/>
      </w:r>
      <w:r>
        <w:rPr>
          <w:noProof/>
        </w:rPr>
        <w:t>78</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_Toc184823370 \h </w:instrText>
      </w:r>
      <w:r>
        <w:fldChar w:fldCharType="separate"/>
      </w:r>
      <w:r>
        <w:t>79</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_Toc184823371 \h </w:instrText>
      </w:r>
      <w:r>
        <w:fldChar w:fldCharType="separate"/>
      </w:r>
      <w:r>
        <w:t>79</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_Toc184823372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_Toc184823374 \h </w:instrText>
      </w:r>
      <w:r>
        <w:fldChar w:fldCharType="separate"/>
      </w:r>
      <w:r>
        <w:t>82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_Toc184823375 \h </w:instrText>
      </w:r>
      <w:r>
        <w:fldChar w:fldCharType="separate"/>
      </w:r>
      <w:r>
        <w:t>82</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_Toc184823376 \h </w:instrText>
      </w:r>
      <w:r>
        <w:fldChar w:fldCharType="separate"/>
      </w:r>
      <w:r>
        <w:t>82</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_Toc184823377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6"/>
        <w:tabs>
          <w:tab w:val="right" w:leader="dot" w:pos="7077"/>
        </w:tabs>
        <w:rPr>
          <w:rFonts w:asciiTheme="minorHAnsi" w:eastAsiaTheme="minorEastAsia" w:hAnsiTheme="minorHAnsi" w:cstheme="minorBidi"/>
          <w:b w:val="0"/>
          <w:sz w:val="22"/>
          <w:szCs w:val="22"/>
        </w:rPr>
      </w:pPr>
      <w:r>
        <w:rPr>
          <w:bCs/>
        </w:rPr>
        <w:t xml:space="preserve">Subdivision 6 — Offences under </w:t>
      </w:r>
      <w:r>
        <w:rPr>
          <w:bCs/>
          <w:i/>
          <w:iCs/>
        </w:rPr>
        <w:t>Western Australian Marine Act 1982</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_Toc184823390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_Toc184823391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84818122"/>
      <w:bookmarkStart w:id="3" w:name="_Toc184819763"/>
      <w:bookmarkStart w:id="4" w:name="_Toc184819932"/>
      <w:bookmarkStart w:id="5" w:name="_Toc1848232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4823225"/>
      <w:r>
        <w:rPr>
          <w:rStyle w:val="CharSectno"/>
        </w:rPr>
        <w:t>1</w:t>
      </w:r>
      <w:r>
        <w:t>.</w:t>
      </w:r>
      <w:r>
        <w:tab/>
        <w:t>Short title</w:t>
      </w:r>
      <w:bookmarkEnd w:id="6"/>
    </w:p>
    <w:p>
      <w:pPr>
        <w:pStyle w:val="Subsection"/>
      </w:pPr>
      <w:r>
        <w:tab/>
      </w:r>
      <w:r>
        <w:tab/>
        <w:t>This is the</w:t>
      </w:r>
      <w:r>
        <w:rPr>
          <w:i/>
        </w:rPr>
        <w:t xml:space="preserve"> High Risk Serious Offenders Act 2020</w:t>
      </w:r>
      <w:r>
        <w:t>.</w:t>
      </w:r>
    </w:p>
    <w:p>
      <w:pPr>
        <w:pStyle w:val="Heading5"/>
      </w:pPr>
      <w:bookmarkStart w:id="7" w:name="_Toc184823226"/>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8" w:name="_Toc184823227"/>
      <w:r>
        <w:rPr>
          <w:rStyle w:val="CharSectno"/>
        </w:rPr>
        <w:t>3</w:t>
      </w:r>
      <w:r>
        <w:t>.</w:t>
      </w:r>
      <w:r>
        <w:tab/>
      </w:r>
      <w:r>
        <w:rPr>
          <w:snapToGrid w:val="0"/>
        </w:rPr>
        <w:t>Terms used</w:t>
      </w:r>
      <w:bookmarkEnd w:id="8"/>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lastRenderedPageBreak/>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lastRenderedPageBreak/>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9" w:name="_Toc184823228"/>
      <w:r>
        <w:rPr>
          <w:rStyle w:val="CharSectno"/>
        </w:rPr>
        <w:lastRenderedPageBreak/>
        <w:t>4</w:t>
      </w:r>
      <w:r>
        <w:t>.</w:t>
      </w:r>
      <w:r>
        <w:tab/>
        <w:t>Term used: community</w:t>
      </w:r>
      <w:bookmarkEnd w:id="9"/>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0" w:name="_Toc184823229"/>
      <w:r>
        <w:rPr>
          <w:rStyle w:val="CharSectno"/>
        </w:rPr>
        <w:t>5</w:t>
      </w:r>
      <w:r>
        <w:t>.</w:t>
      </w:r>
      <w:r>
        <w:tab/>
      </w:r>
      <w:r>
        <w:rPr>
          <w:snapToGrid w:val="0"/>
        </w:rPr>
        <w:t>Term used: serious offence</w:t>
      </w:r>
      <w:bookmarkEnd w:id="10"/>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lastRenderedPageBreak/>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1" w:name="_Toc184823230"/>
      <w:r>
        <w:rPr>
          <w:rStyle w:val="CharSectno"/>
        </w:rPr>
        <w:t>6</w:t>
      </w:r>
      <w:r>
        <w:t>.</w:t>
      </w:r>
      <w:r>
        <w:tab/>
        <w:t>Term used: committing a serious offence</w:t>
      </w:r>
      <w:bookmarkEnd w:id="11"/>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unfit to stand trial; or</w:t>
      </w:r>
    </w:p>
    <w:p>
      <w:pPr>
        <w:pStyle w:val="Indenta"/>
      </w:pPr>
      <w:r>
        <w:tab/>
        <w:t>(c)</w:t>
      </w:r>
      <w:r>
        <w:tab/>
        <w:t>would, if tried for an offence, be convicted.</w:t>
      </w:r>
    </w:p>
    <w:p>
      <w:pPr>
        <w:pStyle w:val="Footnotesection"/>
      </w:pPr>
      <w:r>
        <w:tab/>
        <w:t>[Section 6 amended: No. 10 of 2023 s. 348.]</w:t>
      </w:r>
    </w:p>
    <w:p>
      <w:pPr>
        <w:pStyle w:val="Heading5"/>
      </w:pPr>
      <w:bookmarkStart w:id="12" w:name="_Toc184823231"/>
      <w:r>
        <w:rPr>
          <w:rStyle w:val="CharSectno"/>
        </w:rPr>
        <w:t>7</w:t>
      </w:r>
      <w:r>
        <w:t>.</w:t>
      </w:r>
      <w:r>
        <w:tab/>
        <w:t>Term used: high risk serious offender</w:t>
      </w:r>
      <w:bookmarkEnd w:id="12"/>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lastRenderedPageBreak/>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3" w:name="_Toc184823232"/>
      <w:r>
        <w:rPr>
          <w:rStyle w:val="CharSectno"/>
        </w:rPr>
        <w:t>8</w:t>
      </w:r>
      <w:r>
        <w:t>.</w:t>
      </w:r>
      <w:r>
        <w:tab/>
        <w:t>Objects of this Act</w:t>
      </w:r>
      <w:bookmarkEnd w:id="13"/>
    </w:p>
    <w:p>
      <w:pPr>
        <w:pStyle w:val="Subsection"/>
      </w:pPr>
      <w:r>
        <w:tab/>
      </w:r>
      <w:r>
        <w:tab/>
        <w:t xml:space="preserve">The objects of this Act are — </w:t>
      </w:r>
    </w:p>
    <w:p>
      <w:pPr>
        <w:pStyle w:val="Indenta"/>
      </w:pPr>
      <w:r>
        <w:tab/>
        <w:t>(a)</w:t>
      </w:r>
      <w:r>
        <w:tab/>
        <w:t xml:space="preserve">to provide for the detention in custody or the supervision of high risk serious offenders to ensure adequate </w:t>
      </w:r>
      <w:r>
        <w:lastRenderedPageBreak/>
        <w:t>protection of the community and of victims of serious offences; and</w:t>
      </w:r>
    </w:p>
    <w:p>
      <w:pPr>
        <w:pStyle w:val="Indenta"/>
      </w:pPr>
      <w:r>
        <w:tab/>
        <w:t>(b)</w:t>
      </w:r>
      <w:r>
        <w:tab/>
        <w:t>to provide for continuing control, care or treatment of high risk serious offenders.</w:t>
      </w:r>
    </w:p>
    <w:p>
      <w:pPr>
        <w:pStyle w:val="Heading5"/>
      </w:pPr>
      <w:bookmarkStart w:id="14" w:name="_Toc184823233"/>
      <w:r>
        <w:rPr>
          <w:rStyle w:val="CharSectno"/>
        </w:rPr>
        <w:t>9</w:t>
      </w:r>
      <w:r>
        <w:t>.</w:t>
      </w:r>
      <w:r>
        <w:tab/>
        <w:t>Act binds Crown</w:t>
      </w:r>
      <w:bookmarkEnd w:id="14"/>
    </w:p>
    <w:p>
      <w:pPr>
        <w:pStyle w:val="Subsection"/>
      </w:pPr>
      <w:r>
        <w:tab/>
      </w:r>
      <w:r>
        <w:tab/>
        <w:t>This Act binds the Crown in right of Western Australia and, so far as the legislative power of the Parliament permits, the Crown in all its other capacities.</w:t>
      </w:r>
    </w:p>
    <w:p>
      <w:pPr>
        <w:pStyle w:val="Heading5"/>
      </w:pPr>
      <w:bookmarkStart w:id="15" w:name="_Toc184823234"/>
      <w:r>
        <w:rPr>
          <w:rStyle w:val="CharSectno"/>
        </w:rPr>
        <w:t>10</w:t>
      </w:r>
      <w:r>
        <w:t>.</w:t>
      </w:r>
      <w:r>
        <w:tab/>
        <w:t xml:space="preserve">Application of </w:t>
      </w:r>
      <w:r>
        <w:rPr>
          <w:i/>
        </w:rPr>
        <w:t>Bail Act 1982</w:t>
      </w:r>
      <w:bookmarkEnd w:id="1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6" w:name="_Toc184823235"/>
      <w:r>
        <w:rPr>
          <w:rStyle w:val="CharSectno"/>
        </w:rPr>
        <w:t>11</w:t>
      </w:r>
      <w:r>
        <w:t>.</w:t>
      </w:r>
      <w:r>
        <w:tab/>
        <w:t>Proceedings under this Act</w:t>
      </w:r>
      <w:bookmarkEnd w:id="16"/>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lastRenderedPageBreak/>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7" w:name="_Toc184823236"/>
      <w:r>
        <w:rPr>
          <w:rStyle w:val="CharSectno"/>
        </w:rPr>
        <w:t>12</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8" w:name="_Toc184823237"/>
      <w:r>
        <w:rPr>
          <w:rStyle w:val="CharSectno"/>
        </w:rPr>
        <w:t>13</w:t>
      </w:r>
      <w:r>
        <w:t>.</w:t>
      </w:r>
      <w:r>
        <w:tab/>
        <w:t xml:space="preserve">Application of </w:t>
      </w:r>
      <w:r>
        <w:rPr>
          <w:i/>
        </w:rPr>
        <w:t>Freedom of Information Act 1992</w:t>
      </w:r>
      <w:r>
        <w:t xml:space="preserve"> limited</w:t>
      </w:r>
      <w:bookmarkEnd w:id="18"/>
    </w:p>
    <w:p>
      <w:pPr>
        <w:pStyle w:val="Subsection"/>
      </w:pPr>
      <w:r>
        <w:tab/>
      </w:r>
      <w:r>
        <w:tab/>
        <w:t xml:space="preserve">Access is not to be given under the </w:t>
      </w:r>
      <w:r>
        <w:rPr>
          <w:i/>
        </w:rPr>
        <w:t>Freedom of Information Act 1992</w:t>
      </w:r>
      <w:r>
        <w:t xml:space="preserve"> Parts 2 and 4  to documents brought into existence, </w:t>
      </w:r>
      <w:r>
        <w:lastRenderedPageBreak/>
        <w:t xml:space="preserve">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19" w:name="_Toc184818136"/>
      <w:bookmarkStart w:id="20" w:name="_Toc184819777"/>
      <w:bookmarkStart w:id="21" w:name="_Toc184819946"/>
      <w:bookmarkStart w:id="22" w:name="_Toc184823238"/>
      <w:r>
        <w:rPr>
          <w:rStyle w:val="CharPartNo"/>
        </w:rPr>
        <w:lastRenderedPageBreak/>
        <w:t>Part 2</w:t>
      </w:r>
      <w:r>
        <w:t> — </w:t>
      </w:r>
      <w:r>
        <w:rPr>
          <w:rStyle w:val="CharPartText"/>
        </w:rPr>
        <w:t>High Risk Serious Offenders Board</w:t>
      </w:r>
      <w:bookmarkEnd w:id="19"/>
      <w:bookmarkEnd w:id="20"/>
      <w:bookmarkEnd w:id="21"/>
      <w:bookmarkEnd w:id="22"/>
    </w:p>
    <w:p>
      <w:pPr>
        <w:pStyle w:val="Heading3"/>
      </w:pPr>
      <w:bookmarkStart w:id="23" w:name="_Toc184818137"/>
      <w:bookmarkStart w:id="24" w:name="_Toc184819778"/>
      <w:bookmarkStart w:id="25" w:name="_Toc184819947"/>
      <w:bookmarkStart w:id="26" w:name="_Toc184823239"/>
      <w:r>
        <w:rPr>
          <w:rStyle w:val="CharDivNo"/>
        </w:rPr>
        <w:t>Division 1</w:t>
      </w:r>
      <w:r>
        <w:t> — </w:t>
      </w:r>
      <w:r>
        <w:rPr>
          <w:rStyle w:val="CharDivText"/>
        </w:rPr>
        <w:t>Establishment and functions</w:t>
      </w:r>
      <w:bookmarkEnd w:id="23"/>
      <w:bookmarkEnd w:id="24"/>
      <w:bookmarkEnd w:id="25"/>
      <w:bookmarkEnd w:id="26"/>
    </w:p>
    <w:p>
      <w:pPr>
        <w:pStyle w:val="Heading5"/>
      </w:pPr>
      <w:bookmarkStart w:id="27" w:name="_Toc184823240"/>
      <w:r>
        <w:rPr>
          <w:rStyle w:val="CharSectno"/>
        </w:rPr>
        <w:t>14</w:t>
      </w:r>
      <w:r>
        <w:t>.</w:t>
      </w:r>
      <w:r>
        <w:tab/>
        <w:t>Board established</w:t>
      </w:r>
      <w:bookmarkEnd w:id="27"/>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28" w:name="_Toc184823241"/>
      <w:r>
        <w:rPr>
          <w:rStyle w:val="CharSectno"/>
        </w:rPr>
        <w:t>15</w:t>
      </w:r>
      <w:r>
        <w:t>.</w:t>
      </w:r>
      <w:r>
        <w:tab/>
        <w:t>Functions of Board</w:t>
      </w:r>
      <w:bookmarkEnd w:id="28"/>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29" w:name="_Toc184818140"/>
      <w:bookmarkStart w:id="30" w:name="_Toc184819781"/>
      <w:bookmarkStart w:id="31" w:name="_Toc184819950"/>
      <w:bookmarkStart w:id="32" w:name="_Toc184823242"/>
      <w:r>
        <w:rPr>
          <w:rStyle w:val="CharDivNo"/>
        </w:rPr>
        <w:lastRenderedPageBreak/>
        <w:t>Division 2</w:t>
      </w:r>
      <w:r>
        <w:t> — </w:t>
      </w:r>
      <w:r>
        <w:rPr>
          <w:rStyle w:val="CharDivText"/>
        </w:rPr>
        <w:t>Membership and meetings</w:t>
      </w:r>
      <w:bookmarkEnd w:id="29"/>
      <w:bookmarkEnd w:id="30"/>
      <w:bookmarkEnd w:id="31"/>
      <w:bookmarkEnd w:id="32"/>
    </w:p>
    <w:p>
      <w:pPr>
        <w:pStyle w:val="Heading5"/>
      </w:pPr>
      <w:bookmarkStart w:id="33" w:name="_Toc184823243"/>
      <w:r>
        <w:rPr>
          <w:rStyle w:val="CharSectno"/>
        </w:rPr>
        <w:t>16</w:t>
      </w:r>
      <w:r>
        <w:t>.</w:t>
      </w:r>
      <w:r>
        <w:tab/>
        <w:t>Terms used</w:t>
      </w:r>
      <w:bookmarkEnd w:id="33"/>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34" w:name="_Toc184823244"/>
      <w:r>
        <w:rPr>
          <w:rStyle w:val="CharSectno"/>
        </w:rPr>
        <w:t>17</w:t>
      </w:r>
      <w:r>
        <w:t>.</w:t>
      </w:r>
      <w:r>
        <w:tab/>
        <w:t>Membership of Board</w:t>
      </w:r>
      <w:bookmarkEnd w:id="34"/>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lastRenderedPageBreak/>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35" w:name="_Toc184823245"/>
      <w:r>
        <w:rPr>
          <w:rStyle w:val="CharSectno"/>
        </w:rPr>
        <w:t>18</w:t>
      </w:r>
      <w:r>
        <w:t>.</w:t>
      </w:r>
      <w:r>
        <w:tab/>
        <w:t>Community members of Board</w:t>
      </w:r>
      <w:bookmarkEnd w:id="35"/>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lastRenderedPageBreak/>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36" w:name="_Toc184823246"/>
      <w:r>
        <w:rPr>
          <w:rStyle w:val="CharSectno"/>
        </w:rPr>
        <w:t>19</w:t>
      </w:r>
      <w:r>
        <w:t>.</w:t>
      </w:r>
      <w:r>
        <w:tab/>
        <w:t>Term of office</w:t>
      </w:r>
      <w:bookmarkEnd w:id="36"/>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lastRenderedPageBreak/>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37" w:name="_Toc184823247"/>
      <w:r>
        <w:rPr>
          <w:rStyle w:val="CharSectno"/>
        </w:rPr>
        <w:t>20</w:t>
      </w:r>
      <w:r>
        <w:t>.</w:t>
      </w:r>
      <w:r>
        <w:tab/>
        <w:t>Resignation</w:t>
      </w:r>
      <w:bookmarkEnd w:id="37"/>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38" w:name="_Toc184823248"/>
      <w:r>
        <w:rPr>
          <w:rStyle w:val="CharSectno"/>
        </w:rPr>
        <w:t>21</w:t>
      </w:r>
      <w:r>
        <w:t>.</w:t>
      </w:r>
      <w:r>
        <w:tab/>
        <w:t>Terminating and cancelling appointments</w:t>
      </w:r>
      <w:bookmarkEnd w:id="38"/>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lastRenderedPageBreak/>
        <w:tab/>
        <w:t>(3)</w:t>
      </w:r>
      <w:r>
        <w:tab/>
        <w:t>The chief executive officer or chief employee of a relevant agency or the Chief Psychiatrist may cancel the appointment of an appointed member at any time, and without giving reasons.</w:t>
      </w:r>
    </w:p>
    <w:p>
      <w:pPr>
        <w:pStyle w:val="Heading5"/>
      </w:pPr>
      <w:bookmarkStart w:id="39" w:name="_Toc184823249"/>
      <w:r>
        <w:rPr>
          <w:rStyle w:val="CharSectno"/>
        </w:rPr>
        <w:t>22</w:t>
      </w:r>
      <w:r>
        <w:t>.</w:t>
      </w:r>
      <w:r>
        <w:tab/>
        <w:t>Meetings of Board</w:t>
      </w:r>
      <w:bookmarkEnd w:id="39"/>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40" w:name="_Toc184823250"/>
      <w:r>
        <w:rPr>
          <w:rStyle w:val="CharSectno"/>
        </w:rPr>
        <w:lastRenderedPageBreak/>
        <w:t>23.</w:t>
      </w:r>
      <w:r>
        <w:tab/>
        <w:t>Protection of information</w:t>
      </w:r>
      <w:bookmarkEnd w:id="40"/>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41" w:name="_Toc184818149"/>
      <w:bookmarkStart w:id="42" w:name="_Toc184819790"/>
      <w:bookmarkStart w:id="43" w:name="_Toc184819959"/>
      <w:bookmarkStart w:id="44" w:name="_Toc184823251"/>
      <w:r>
        <w:rPr>
          <w:rStyle w:val="CharPartNo"/>
        </w:rPr>
        <w:lastRenderedPageBreak/>
        <w:t>Part 3</w:t>
      </w:r>
      <w:r>
        <w:rPr>
          <w:rStyle w:val="CharDivNo"/>
        </w:rPr>
        <w:t> </w:t>
      </w:r>
      <w:r>
        <w:t>—</w:t>
      </w:r>
      <w:r>
        <w:rPr>
          <w:rStyle w:val="CharDivText"/>
        </w:rPr>
        <w:t> </w:t>
      </w:r>
      <w:r>
        <w:rPr>
          <w:rStyle w:val="CharPartText"/>
        </w:rPr>
        <w:t>Cooperation and sharing of information between supporting agencies</w:t>
      </w:r>
      <w:bookmarkEnd w:id="41"/>
      <w:bookmarkEnd w:id="42"/>
      <w:bookmarkEnd w:id="43"/>
      <w:bookmarkEnd w:id="44"/>
    </w:p>
    <w:p>
      <w:pPr>
        <w:pStyle w:val="Heading5"/>
      </w:pPr>
      <w:bookmarkStart w:id="45" w:name="_Toc184823252"/>
      <w:r>
        <w:rPr>
          <w:rStyle w:val="CharSectno"/>
        </w:rPr>
        <w:t>24</w:t>
      </w:r>
      <w:r>
        <w:t>.</w:t>
      </w:r>
      <w:r>
        <w:tab/>
        <w:t>Cooperation between supporting agencies</w:t>
      </w:r>
      <w:bookmarkEnd w:id="45"/>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46" w:name="_Toc184823253"/>
      <w:r>
        <w:rPr>
          <w:rStyle w:val="CharSectno"/>
        </w:rPr>
        <w:t>25</w:t>
      </w:r>
      <w:r>
        <w:t>.</w:t>
      </w:r>
      <w:r>
        <w:tab/>
        <w:t>Disclosure of information between supporting agencies</w:t>
      </w:r>
      <w:bookmarkEnd w:id="46"/>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47" w:name="_Toc184818152"/>
      <w:bookmarkStart w:id="48" w:name="_Toc184819793"/>
      <w:bookmarkStart w:id="49" w:name="_Toc184819962"/>
      <w:bookmarkStart w:id="50" w:name="_Toc184823254"/>
      <w:r>
        <w:rPr>
          <w:rStyle w:val="CharPartNo"/>
        </w:rPr>
        <w:lastRenderedPageBreak/>
        <w:t>Part 4</w:t>
      </w:r>
      <w:r>
        <w:t> — </w:t>
      </w:r>
      <w:r>
        <w:rPr>
          <w:rStyle w:val="CharPartText"/>
        </w:rPr>
        <w:t>Restriction of offenders</w:t>
      </w:r>
      <w:bookmarkEnd w:id="47"/>
      <w:bookmarkEnd w:id="48"/>
      <w:bookmarkEnd w:id="49"/>
      <w:bookmarkEnd w:id="50"/>
    </w:p>
    <w:p>
      <w:pPr>
        <w:pStyle w:val="Heading3"/>
      </w:pPr>
      <w:bookmarkStart w:id="51" w:name="_Toc184818153"/>
      <w:bookmarkStart w:id="52" w:name="_Toc184819794"/>
      <w:bookmarkStart w:id="53" w:name="_Toc184819963"/>
      <w:bookmarkStart w:id="54" w:name="_Toc184823255"/>
      <w:r>
        <w:rPr>
          <w:rStyle w:val="CharDivNo"/>
        </w:rPr>
        <w:t>Division 1</w:t>
      </w:r>
      <w:r>
        <w:t> — </w:t>
      </w:r>
      <w:r>
        <w:rPr>
          <w:rStyle w:val="CharDivText"/>
        </w:rPr>
        <w:t>Restriction orders</w:t>
      </w:r>
      <w:bookmarkEnd w:id="51"/>
      <w:bookmarkEnd w:id="52"/>
      <w:bookmarkEnd w:id="53"/>
      <w:bookmarkEnd w:id="54"/>
    </w:p>
    <w:p>
      <w:pPr>
        <w:pStyle w:val="Heading5"/>
      </w:pPr>
      <w:bookmarkStart w:id="55" w:name="_Toc184823256"/>
      <w:r>
        <w:rPr>
          <w:rStyle w:val="CharSectno"/>
        </w:rPr>
        <w:t>26</w:t>
      </w:r>
      <w:r>
        <w:t>.</w:t>
      </w:r>
      <w:r>
        <w:tab/>
        <w:t>Continuing detention order</w:t>
      </w:r>
      <w:bookmarkEnd w:id="55"/>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56" w:name="_Toc184823257"/>
      <w:r>
        <w:rPr>
          <w:rStyle w:val="CharSectno"/>
        </w:rPr>
        <w:t>27</w:t>
      </w:r>
      <w:r>
        <w:t>.</w:t>
      </w:r>
      <w:r>
        <w:tab/>
        <w:t>Supervision order</w:t>
      </w:r>
      <w:bookmarkEnd w:id="56"/>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57" w:name="_Toc184823258"/>
      <w:r>
        <w:rPr>
          <w:rStyle w:val="CharSectno"/>
        </w:rPr>
        <w:t>28</w:t>
      </w:r>
      <w:r>
        <w:t>.</w:t>
      </w:r>
      <w:r>
        <w:tab/>
        <w:t>Court to give reasons for making restriction order</w:t>
      </w:r>
      <w:bookmarkEnd w:id="57"/>
    </w:p>
    <w:p>
      <w:pPr>
        <w:pStyle w:val="Subsection"/>
      </w:pPr>
      <w:r>
        <w:tab/>
      </w:r>
      <w:r>
        <w:tab/>
        <w:t>A court making a restriction order must, when making the order, give detailed reasons for the order.</w:t>
      </w:r>
    </w:p>
    <w:p>
      <w:pPr>
        <w:pStyle w:val="Heading5"/>
      </w:pPr>
      <w:bookmarkStart w:id="58" w:name="_Toc184823259"/>
      <w:r>
        <w:rPr>
          <w:rStyle w:val="CharSectno"/>
        </w:rPr>
        <w:t>29</w:t>
      </w:r>
      <w:r>
        <w:t>.</w:t>
      </w:r>
      <w:r>
        <w:tab/>
        <w:t>Limitation on power to make or amend supervision order</w:t>
      </w:r>
      <w:bookmarkEnd w:id="58"/>
    </w:p>
    <w:p>
      <w:pPr>
        <w:pStyle w:val="Subsection"/>
      </w:pPr>
      <w:r>
        <w:tab/>
        <w:t>(1)</w:t>
      </w:r>
      <w:r>
        <w:tab/>
        <w:t xml:space="preserve">A court cannot make, affirm or amend a supervision order in relation to an offender unless it is satisfied, on the balance of probabilities, that the offender will substantially comply with </w:t>
      </w:r>
      <w:r>
        <w:lastRenderedPageBreak/>
        <w:t>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59" w:name="_Toc184823260"/>
      <w:r>
        <w:rPr>
          <w:rStyle w:val="CharSectno"/>
        </w:rPr>
        <w:t>30</w:t>
      </w:r>
      <w:r>
        <w:t>.</w:t>
      </w:r>
      <w:r>
        <w:tab/>
        <w:t>Conditions of supervision order</w:t>
      </w:r>
      <w:bookmarkEnd w:id="59"/>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lastRenderedPageBreak/>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60" w:name="_Toc184823261"/>
      <w:r>
        <w:rPr>
          <w:rStyle w:val="CharSectno"/>
        </w:rPr>
        <w:lastRenderedPageBreak/>
        <w:t>31</w:t>
      </w:r>
      <w:r>
        <w:t>.</w:t>
      </w:r>
      <w:r>
        <w:tab/>
        <w:t>Electronic monitoring</w:t>
      </w:r>
      <w:bookmarkEnd w:id="60"/>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(ba)</w:t>
      </w:r>
      <w:r>
        <w:tab/>
        <w:t>direct the offender to charge the approved electronic monitoring device so as to ensure the device is at all times operational;</w:t>
      </w:r>
    </w:p>
    <w:p>
      <w:pPr>
        <w:pStyle w:val="Indenta"/>
      </w:pPr>
      <w:r>
        <w:tab/>
        <w:t>(bb)</w:t>
      </w:r>
      <w:r>
        <w:tab/>
        <w:t>direct the offender to not enter 1 or more areas of the State stated in a written notice given to the offender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Footnotesection"/>
      </w:pPr>
      <w:r>
        <w:tab/>
        <w:t>[Section 31 amended: No. 28 of 2024 s. 43.]</w:t>
      </w:r>
    </w:p>
    <w:p>
      <w:pPr>
        <w:pStyle w:val="Heading5"/>
      </w:pPr>
      <w:bookmarkStart w:id="61" w:name="_Toc184823262"/>
      <w:r>
        <w:rPr>
          <w:rStyle w:val="CharSectno"/>
        </w:rPr>
        <w:lastRenderedPageBreak/>
        <w:t>32</w:t>
      </w:r>
      <w:r>
        <w:t>.</w:t>
      </w:r>
      <w:r>
        <w:tab/>
        <w:t>Curfew</w:t>
      </w:r>
      <w:bookmarkEnd w:id="61"/>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 xml:space="preserve">Without limiting subsection (6), if the offender is authorised under subsection (5) to leave the specified place, a community </w:t>
      </w:r>
      <w:r>
        <w:lastRenderedPageBreak/>
        <w:t>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62" w:name="_Toc184823263"/>
      <w:r>
        <w:rPr>
          <w:rStyle w:val="CharSectno"/>
        </w:rPr>
        <w:t>33</w:t>
      </w:r>
      <w:r>
        <w:t>.</w:t>
      </w:r>
      <w:r>
        <w:tab/>
        <w:t>Enforcement of electronic monitoring and curfew requirement</w:t>
      </w:r>
      <w:bookmarkEnd w:id="62"/>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keepNext/>
        <w:spacing w:before="180"/>
      </w:pPr>
      <w:r>
        <w:tab/>
        <w:t>(3)</w:t>
      </w:r>
      <w:r>
        <w:tab/>
        <w:t xml:space="preserve">A person must not without reasonable excuse remove, or interfere with, or interfere with the operation of, an electronic monitoring device required to be worn or installed under </w:t>
      </w:r>
      <w:r>
        <w:lastRenderedPageBreak/>
        <w:t>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lastRenderedPageBreak/>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63" w:name="_Toc184818162"/>
      <w:bookmarkStart w:id="64" w:name="_Toc184819803"/>
      <w:bookmarkStart w:id="65" w:name="_Toc184819972"/>
      <w:bookmarkStart w:id="66" w:name="_Toc184823264"/>
      <w:r>
        <w:rPr>
          <w:rStyle w:val="CharDivNo"/>
        </w:rPr>
        <w:t>Division 2</w:t>
      </w:r>
      <w:r>
        <w:t> — </w:t>
      </w:r>
      <w:r>
        <w:rPr>
          <w:rStyle w:val="CharDivText"/>
        </w:rPr>
        <w:t>Applying for a restriction order</w:t>
      </w:r>
      <w:bookmarkEnd w:id="63"/>
      <w:bookmarkEnd w:id="64"/>
      <w:bookmarkEnd w:id="65"/>
      <w:bookmarkEnd w:id="66"/>
    </w:p>
    <w:p>
      <w:pPr>
        <w:pStyle w:val="Heading5"/>
      </w:pPr>
      <w:bookmarkStart w:id="67" w:name="_Toc184823265"/>
      <w:r>
        <w:rPr>
          <w:rStyle w:val="CharSectno"/>
        </w:rPr>
        <w:t>34</w:t>
      </w:r>
      <w:r>
        <w:t>.</w:t>
      </w:r>
      <w:r>
        <w:tab/>
        <w:t>Terms used</w:t>
      </w:r>
      <w:bookmarkEnd w:id="67"/>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lastRenderedPageBreak/>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68" w:name="_Toc184823266"/>
      <w:r>
        <w:rPr>
          <w:rStyle w:val="CharSectno"/>
        </w:rPr>
        <w:t>35</w:t>
      </w:r>
      <w:r>
        <w:t>.</w:t>
      </w:r>
      <w:r>
        <w:tab/>
        <w:t>Application for restriction order in relation to serious offender under custodial sentence</w:t>
      </w:r>
      <w:bookmarkEnd w:id="68"/>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69" w:name="_Toc184823267"/>
      <w:r>
        <w:rPr>
          <w:rStyle w:val="CharSectno"/>
        </w:rPr>
        <w:lastRenderedPageBreak/>
        <w:t>36</w:t>
      </w:r>
      <w:r>
        <w:t>.</w:t>
      </w:r>
      <w:r>
        <w:tab/>
        <w:t>Application for restriction order in relation to offender subject to supervision order</w:t>
      </w:r>
      <w:bookmarkEnd w:id="69"/>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70" w:name="_Toc184823268"/>
      <w:r>
        <w:rPr>
          <w:rStyle w:val="CharSectno"/>
        </w:rPr>
        <w:t>37</w:t>
      </w:r>
      <w:r>
        <w:t>.</w:t>
      </w:r>
      <w:r>
        <w:tab/>
        <w:t>Provisions relating to restriction order applications</w:t>
      </w:r>
      <w:bookmarkEnd w:id="70"/>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71" w:name="_Toc184823269"/>
      <w:r>
        <w:rPr>
          <w:rStyle w:val="CharSectno"/>
        </w:rPr>
        <w:lastRenderedPageBreak/>
        <w:t>38</w:t>
      </w:r>
      <w:r>
        <w:t>.</w:t>
      </w:r>
      <w:r>
        <w:tab/>
        <w:t>Application where offender discharged from sentence or supervision order</w:t>
      </w:r>
      <w:bookmarkEnd w:id="71"/>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72" w:name="_Toc184823270"/>
      <w:r>
        <w:rPr>
          <w:rStyle w:val="CharSectno"/>
        </w:rPr>
        <w:t>39</w:t>
      </w:r>
      <w:r>
        <w:t>.</w:t>
      </w:r>
      <w:r>
        <w:tab/>
        <w:t>State’s duty of disclosure</w:t>
      </w:r>
      <w:bookmarkEnd w:id="72"/>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lastRenderedPageBreak/>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73" w:name="_Toc184823271"/>
      <w:r>
        <w:rPr>
          <w:rStyle w:val="CharSectno"/>
        </w:rPr>
        <w:t>40</w:t>
      </w:r>
      <w:r>
        <w:t>.</w:t>
      </w:r>
      <w:r>
        <w:tab/>
        <w:t>Provision of evidentiary material to applying agency</w:t>
      </w:r>
      <w:bookmarkEnd w:id="73"/>
    </w:p>
    <w:p>
      <w:pPr>
        <w:pStyle w:val="Subsection"/>
      </w:pPr>
      <w:r>
        <w:tab/>
        <w:t>(1)</w:t>
      </w:r>
      <w:r>
        <w:tab/>
        <w:t xml:space="preserve">The applying agency in relation to a restriction order application may request a supporting agency or any other person, body or agency to provide to the applying agency any evidentiary </w:t>
      </w:r>
      <w:r>
        <w:lastRenderedPageBreak/>
        <w:t>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74" w:name="_Toc184823272"/>
      <w:r>
        <w:rPr>
          <w:rStyle w:val="CharSectno"/>
        </w:rPr>
        <w:t>41</w:t>
      </w:r>
      <w:r>
        <w:t>.</w:t>
      </w:r>
      <w:r>
        <w:tab/>
        <w:t>Offender’s duty of disclosure</w:t>
      </w:r>
      <w:bookmarkEnd w:id="74"/>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 xml:space="preserve">written notice of the name and, if known, the address, of any person from whom no statement, recording or report </w:t>
      </w:r>
      <w:r>
        <w:lastRenderedPageBreak/>
        <w:t>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75" w:name="_Toc184823273"/>
      <w:r>
        <w:rPr>
          <w:rStyle w:val="CharSectno"/>
        </w:rPr>
        <w:t>42</w:t>
      </w:r>
      <w:r>
        <w:t>.</w:t>
      </w:r>
      <w:r>
        <w:tab/>
        <w:t>Orders as to disclosure requirements</w:t>
      </w:r>
      <w:bookmarkEnd w:id="75"/>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lastRenderedPageBreak/>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76" w:name="_Toc184823274"/>
      <w:r>
        <w:rPr>
          <w:rStyle w:val="CharSectno"/>
        </w:rPr>
        <w:t>43</w:t>
      </w:r>
      <w:r>
        <w:t>.</w:t>
      </w:r>
      <w:r>
        <w:tab/>
        <w:t>Fixing day for preliminary hearing</w:t>
      </w:r>
      <w:bookmarkEnd w:id="76"/>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77" w:name="_Toc184823275"/>
      <w:r>
        <w:rPr>
          <w:rStyle w:val="CharSectno"/>
        </w:rPr>
        <w:lastRenderedPageBreak/>
        <w:t>44</w:t>
      </w:r>
      <w:r>
        <w:t>.</w:t>
      </w:r>
      <w:r>
        <w:tab/>
        <w:t>Offender may file affidavits in response</w:t>
      </w:r>
      <w:bookmarkEnd w:id="77"/>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78" w:name="_Toc184823276"/>
      <w:r>
        <w:rPr>
          <w:rStyle w:val="CharSectno"/>
        </w:rPr>
        <w:t>45</w:t>
      </w:r>
      <w:r>
        <w:t>.</w:t>
      </w:r>
      <w:r>
        <w:tab/>
        <w:t>Contents of affidavit</w:t>
      </w:r>
      <w:bookmarkEnd w:id="78"/>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79" w:name="_Toc184823277"/>
      <w:r>
        <w:rPr>
          <w:rStyle w:val="CharSectno"/>
        </w:rPr>
        <w:t>46</w:t>
      </w:r>
      <w:r>
        <w:t>.</w:t>
      </w:r>
      <w:r>
        <w:tab/>
        <w:t>Preliminary hearing</w:t>
      </w:r>
      <w:bookmarkEnd w:id="79"/>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 xml:space="preserve">if the offender is in custody and might otherwise be released from custody before the restriction order application is finally decided, order that the </w:t>
      </w:r>
      <w:r>
        <w:lastRenderedPageBreak/>
        <w:t>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80" w:name="_Toc184823278"/>
      <w:r>
        <w:rPr>
          <w:rStyle w:val="CharSectno"/>
        </w:rPr>
        <w:t>47</w:t>
      </w:r>
      <w:r>
        <w:t>.</w:t>
      </w:r>
      <w:r>
        <w:tab/>
        <w:t>Discontinuing restriction order application</w:t>
      </w:r>
      <w:bookmarkEnd w:id="80"/>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81" w:name="_Toc184818177"/>
      <w:bookmarkStart w:id="82" w:name="_Toc184819818"/>
      <w:bookmarkStart w:id="83" w:name="_Toc184819987"/>
      <w:bookmarkStart w:id="84" w:name="_Toc184823279"/>
      <w:r>
        <w:rPr>
          <w:rStyle w:val="CharDivNo"/>
        </w:rPr>
        <w:lastRenderedPageBreak/>
        <w:t>Division 3</w:t>
      </w:r>
      <w:r>
        <w:t> — </w:t>
      </w:r>
      <w:r>
        <w:rPr>
          <w:rStyle w:val="CharDivText"/>
        </w:rPr>
        <w:t>Making a restriction order</w:t>
      </w:r>
      <w:bookmarkEnd w:id="81"/>
      <w:bookmarkEnd w:id="82"/>
      <w:bookmarkEnd w:id="83"/>
      <w:bookmarkEnd w:id="84"/>
    </w:p>
    <w:p>
      <w:pPr>
        <w:pStyle w:val="Heading5"/>
      </w:pPr>
      <w:bookmarkStart w:id="85" w:name="_Toc184823280"/>
      <w:r>
        <w:rPr>
          <w:rStyle w:val="CharSectno"/>
        </w:rPr>
        <w:t>48</w:t>
      </w:r>
      <w:r>
        <w:t>.</w:t>
      </w:r>
      <w:r>
        <w:tab/>
        <w:t>Restriction orders</w:t>
      </w:r>
      <w:bookmarkEnd w:id="85"/>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86" w:name="_Toc184818179"/>
      <w:bookmarkStart w:id="87" w:name="_Toc184819820"/>
      <w:bookmarkStart w:id="88" w:name="_Toc184819989"/>
      <w:bookmarkStart w:id="89" w:name="_Toc184823281"/>
      <w:r>
        <w:rPr>
          <w:rStyle w:val="CharDivNo"/>
        </w:rPr>
        <w:t>Division 4</w:t>
      </w:r>
      <w:r>
        <w:t> — </w:t>
      </w:r>
      <w:r>
        <w:rPr>
          <w:rStyle w:val="CharDivText"/>
        </w:rPr>
        <w:t>Amending a supervision order</w:t>
      </w:r>
      <w:bookmarkEnd w:id="86"/>
      <w:bookmarkEnd w:id="87"/>
      <w:bookmarkEnd w:id="88"/>
      <w:bookmarkEnd w:id="89"/>
    </w:p>
    <w:p>
      <w:pPr>
        <w:pStyle w:val="Heading5"/>
      </w:pPr>
      <w:bookmarkStart w:id="90" w:name="_Toc184823282"/>
      <w:r>
        <w:rPr>
          <w:rStyle w:val="CharSectno"/>
        </w:rPr>
        <w:t>49</w:t>
      </w:r>
      <w:r>
        <w:t>.</w:t>
      </w:r>
      <w:r>
        <w:tab/>
        <w:t>Application to amend conditions of supervision order</w:t>
      </w:r>
      <w:bookmarkEnd w:id="90"/>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91" w:name="_Toc184823283"/>
      <w:r>
        <w:rPr>
          <w:rStyle w:val="CharSectno"/>
        </w:rPr>
        <w:lastRenderedPageBreak/>
        <w:t>50</w:t>
      </w:r>
      <w:r>
        <w:t>.</w:t>
      </w:r>
      <w:r>
        <w:tab/>
        <w:t>Amendment of conditions of supervision order</w:t>
      </w:r>
      <w:bookmarkEnd w:id="91"/>
    </w:p>
    <w:p>
      <w:pPr>
        <w:pStyle w:val="Subsection"/>
        <w:keepNext/>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92" w:name="_Toc184818182"/>
      <w:bookmarkStart w:id="93" w:name="_Toc184819823"/>
      <w:bookmarkStart w:id="94" w:name="_Toc184819992"/>
      <w:bookmarkStart w:id="95" w:name="_Toc184823284"/>
      <w:r>
        <w:rPr>
          <w:rStyle w:val="CharDivNo"/>
        </w:rPr>
        <w:t>Division 5</w:t>
      </w:r>
      <w:r>
        <w:t> — </w:t>
      </w:r>
      <w:r>
        <w:rPr>
          <w:rStyle w:val="CharDivText"/>
        </w:rPr>
        <w:t>Contravening a supervision order</w:t>
      </w:r>
      <w:bookmarkEnd w:id="92"/>
      <w:bookmarkEnd w:id="93"/>
      <w:bookmarkEnd w:id="94"/>
      <w:bookmarkEnd w:id="95"/>
    </w:p>
    <w:p>
      <w:pPr>
        <w:pStyle w:val="Heading5"/>
      </w:pPr>
      <w:bookmarkStart w:id="96" w:name="_Toc184823285"/>
      <w:r>
        <w:rPr>
          <w:rStyle w:val="CharSectno"/>
        </w:rPr>
        <w:t>51</w:t>
      </w:r>
      <w:r>
        <w:t>.</w:t>
      </w:r>
      <w:r>
        <w:tab/>
        <w:t>Warrant because of contravention</w:t>
      </w:r>
      <w:bookmarkEnd w:id="96"/>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 xml:space="preserve">Subject to subsection (5), if the magistrate is satisfied that there are reasonable grounds for the suspicion described in subsection (1), the magistrate must issue, in the form approved </w:t>
      </w:r>
      <w:r>
        <w:lastRenderedPageBreak/>
        <w:t>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97" w:name="_Toc184823286"/>
      <w:r>
        <w:rPr>
          <w:rStyle w:val="CharSectno"/>
        </w:rPr>
        <w:t>52</w:t>
      </w:r>
      <w:r>
        <w:t>.</w:t>
      </w:r>
      <w:r>
        <w:tab/>
        <w:t>Order permitting publication of offender’s photograph</w:t>
      </w:r>
      <w:bookmarkEnd w:id="97"/>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98" w:name="_Toc184823287"/>
      <w:r>
        <w:rPr>
          <w:rStyle w:val="CharSectno"/>
        </w:rPr>
        <w:lastRenderedPageBreak/>
        <w:t>53</w:t>
      </w:r>
      <w:r>
        <w:t>.</w:t>
      </w:r>
      <w:r>
        <w:tab/>
        <w:t>State may seek orders</w:t>
      </w:r>
      <w:bookmarkEnd w:id="98"/>
    </w:p>
    <w:p>
      <w:pPr>
        <w:pStyle w:val="Subsection"/>
        <w:keepNext/>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99" w:name="_Toc184823288"/>
      <w:r>
        <w:rPr>
          <w:rStyle w:val="CharSectno"/>
        </w:rPr>
        <w:t>54</w:t>
      </w:r>
      <w:r>
        <w:t>.</w:t>
      </w:r>
      <w:r>
        <w:tab/>
        <w:t>Reports</w:t>
      </w:r>
      <w:bookmarkEnd w:id="99"/>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100" w:name="_Toc184823289"/>
      <w:r>
        <w:rPr>
          <w:rStyle w:val="CharSectno"/>
        </w:rPr>
        <w:t>55</w:t>
      </w:r>
      <w:r>
        <w:t>.</w:t>
      </w:r>
      <w:r>
        <w:tab/>
        <w:t>Court to make orders in certain cases</w:t>
      </w:r>
      <w:bookmarkEnd w:id="100"/>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lastRenderedPageBreak/>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101" w:name="_Toc184823290"/>
      <w:r>
        <w:rPr>
          <w:rStyle w:val="CharSectno"/>
        </w:rPr>
        <w:t>56</w:t>
      </w:r>
      <w:r>
        <w:t>.</w:t>
      </w:r>
      <w:r>
        <w:tab/>
        <w:t>Orders made during contravention proceedings</w:t>
      </w:r>
      <w:bookmarkEnd w:id="101"/>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lastRenderedPageBreak/>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lastRenderedPageBreak/>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102" w:name="_Toc184818189"/>
      <w:bookmarkStart w:id="103" w:name="_Toc184819830"/>
      <w:bookmarkStart w:id="104" w:name="_Toc184819999"/>
      <w:bookmarkStart w:id="105" w:name="_Toc184823291"/>
      <w:r>
        <w:rPr>
          <w:rStyle w:val="CharDivNo"/>
        </w:rPr>
        <w:t>Division 6</w:t>
      </w:r>
      <w:r>
        <w:t> — </w:t>
      </w:r>
      <w:r>
        <w:rPr>
          <w:rStyle w:val="CharDivText"/>
        </w:rPr>
        <w:t>Supervision order extended due to imprisonment</w:t>
      </w:r>
      <w:bookmarkEnd w:id="102"/>
      <w:bookmarkEnd w:id="103"/>
      <w:bookmarkEnd w:id="104"/>
      <w:bookmarkEnd w:id="105"/>
    </w:p>
    <w:p>
      <w:pPr>
        <w:pStyle w:val="Heading5"/>
      </w:pPr>
      <w:bookmarkStart w:id="106" w:name="_Toc184823292"/>
      <w:r>
        <w:rPr>
          <w:rStyle w:val="CharSectno"/>
        </w:rPr>
        <w:t>57</w:t>
      </w:r>
      <w:r>
        <w:t>.</w:t>
      </w:r>
      <w:r>
        <w:tab/>
        <w:t>Extension of supervision order</w:t>
      </w:r>
      <w:bookmarkEnd w:id="106"/>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107" w:name="_Toc184818191"/>
      <w:bookmarkStart w:id="108" w:name="_Toc184819832"/>
      <w:bookmarkStart w:id="109" w:name="_Toc184820001"/>
      <w:bookmarkStart w:id="110" w:name="_Toc184823293"/>
      <w:r>
        <w:rPr>
          <w:rStyle w:val="CharDivNo"/>
        </w:rPr>
        <w:t>Division 7</w:t>
      </w:r>
      <w:r>
        <w:t> — </w:t>
      </w:r>
      <w:r>
        <w:rPr>
          <w:rStyle w:val="CharDivText"/>
        </w:rPr>
        <w:t>Interim supervision orders</w:t>
      </w:r>
      <w:bookmarkEnd w:id="107"/>
      <w:bookmarkEnd w:id="108"/>
      <w:bookmarkEnd w:id="109"/>
      <w:bookmarkEnd w:id="110"/>
    </w:p>
    <w:p>
      <w:pPr>
        <w:pStyle w:val="Heading5"/>
      </w:pPr>
      <w:bookmarkStart w:id="111" w:name="_Toc184823294"/>
      <w:r>
        <w:rPr>
          <w:rStyle w:val="CharSectno"/>
        </w:rPr>
        <w:t>58</w:t>
      </w:r>
      <w:r>
        <w:t>.</w:t>
      </w:r>
      <w:r>
        <w:tab/>
        <w:t>Interim supervision order</w:t>
      </w:r>
      <w:bookmarkEnd w:id="111"/>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 xml:space="preserve">If the offender is subject to a supervision order that may otherwise expire before the pending proceedings are finally </w:t>
      </w:r>
      <w:r>
        <w:lastRenderedPageBreak/>
        <w:t>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112" w:name="_Toc184818193"/>
      <w:bookmarkStart w:id="113" w:name="_Toc184819834"/>
      <w:bookmarkStart w:id="114" w:name="_Toc184820003"/>
      <w:bookmarkStart w:id="115" w:name="_Toc184823295"/>
      <w:r>
        <w:rPr>
          <w:rStyle w:val="CharDivNo"/>
        </w:rPr>
        <w:t>Division 8</w:t>
      </w:r>
      <w:r>
        <w:t> — </w:t>
      </w:r>
      <w:r>
        <w:rPr>
          <w:rStyle w:val="CharDivText"/>
        </w:rPr>
        <w:t>Victim submissions</w:t>
      </w:r>
      <w:bookmarkEnd w:id="112"/>
      <w:bookmarkEnd w:id="113"/>
      <w:bookmarkEnd w:id="114"/>
      <w:bookmarkEnd w:id="115"/>
    </w:p>
    <w:p>
      <w:pPr>
        <w:pStyle w:val="Heading5"/>
      </w:pPr>
      <w:bookmarkStart w:id="116" w:name="_Toc184823296"/>
      <w:r>
        <w:rPr>
          <w:rStyle w:val="CharSectno"/>
        </w:rPr>
        <w:t>59</w:t>
      </w:r>
      <w:r>
        <w:t>.</w:t>
      </w:r>
      <w:r>
        <w:tab/>
        <w:t>Terms used</w:t>
      </w:r>
      <w:bookmarkEnd w:id="116"/>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117" w:name="_Toc184823297"/>
      <w:r>
        <w:rPr>
          <w:rStyle w:val="CharSectno"/>
        </w:rPr>
        <w:lastRenderedPageBreak/>
        <w:t>60</w:t>
      </w:r>
      <w:r>
        <w:t>.</w:t>
      </w:r>
      <w:r>
        <w:tab/>
        <w:t>Making victim submissions</w:t>
      </w:r>
      <w:bookmarkEnd w:id="117"/>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118" w:name="_Toc184823298"/>
      <w:r>
        <w:rPr>
          <w:rStyle w:val="CharSectno"/>
        </w:rPr>
        <w:t>61</w:t>
      </w:r>
      <w:r>
        <w:t>.</w:t>
      </w:r>
      <w:r>
        <w:tab/>
        <w:t>Availability of victim submissions</w:t>
      </w:r>
      <w:bookmarkEnd w:id="118"/>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119" w:name="_Toc184823299"/>
      <w:r>
        <w:rPr>
          <w:rStyle w:val="CharSectno"/>
        </w:rPr>
        <w:t>62</w:t>
      </w:r>
      <w:r>
        <w:t>.</w:t>
      </w:r>
      <w:r>
        <w:tab/>
        <w:t>Court may have regard to victim submissions</w:t>
      </w:r>
      <w:bookmarkEnd w:id="119"/>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lastRenderedPageBreak/>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120" w:name="_Toc184818198"/>
      <w:bookmarkStart w:id="121" w:name="_Toc184819839"/>
      <w:bookmarkStart w:id="122" w:name="_Toc184820008"/>
      <w:bookmarkStart w:id="123" w:name="_Toc184823300"/>
      <w:r>
        <w:rPr>
          <w:rStyle w:val="CharPartNo"/>
        </w:rPr>
        <w:lastRenderedPageBreak/>
        <w:t>Part 5</w:t>
      </w:r>
      <w:r>
        <w:rPr>
          <w:rStyle w:val="CharDivNo"/>
        </w:rPr>
        <w:t> </w:t>
      </w:r>
      <w:r>
        <w:t>—</w:t>
      </w:r>
      <w:r>
        <w:rPr>
          <w:rStyle w:val="CharDivText"/>
        </w:rPr>
        <w:t> </w:t>
      </w:r>
      <w:r>
        <w:rPr>
          <w:rStyle w:val="CharPartText"/>
        </w:rPr>
        <w:t>Review of detention</w:t>
      </w:r>
      <w:bookmarkEnd w:id="120"/>
      <w:bookmarkEnd w:id="121"/>
      <w:bookmarkEnd w:id="122"/>
      <w:bookmarkEnd w:id="123"/>
    </w:p>
    <w:p>
      <w:pPr>
        <w:pStyle w:val="Heading5"/>
      </w:pPr>
      <w:bookmarkStart w:id="124" w:name="_Toc184823301"/>
      <w:r>
        <w:rPr>
          <w:rStyle w:val="CharSectno"/>
        </w:rPr>
        <w:t>63</w:t>
      </w:r>
      <w:r>
        <w:t>.</w:t>
      </w:r>
      <w:r>
        <w:tab/>
        <w:t>Purpose of this Part</w:t>
      </w:r>
      <w:bookmarkEnd w:id="124"/>
    </w:p>
    <w:p>
      <w:pPr>
        <w:pStyle w:val="Subsection"/>
      </w:pPr>
      <w:r>
        <w:tab/>
      </w:r>
      <w:r>
        <w:tab/>
        <w:t>The purpose of this Part is to ensure that an offender’s detention under a continuing detention order is regularly reviewed.</w:t>
      </w:r>
    </w:p>
    <w:p>
      <w:pPr>
        <w:pStyle w:val="Heading5"/>
      </w:pPr>
      <w:bookmarkStart w:id="125" w:name="_Toc184823302"/>
      <w:r>
        <w:rPr>
          <w:rStyle w:val="CharSectno"/>
        </w:rPr>
        <w:t>64</w:t>
      </w:r>
      <w:r>
        <w:t>.</w:t>
      </w:r>
      <w:r>
        <w:tab/>
        <w:t>Review — periodic</w:t>
      </w:r>
      <w:bookmarkEnd w:id="125"/>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126" w:name="_Toc184823303"/>
      <w:r>
        <w:rPr>
          <w:rStyle w:val="CharSectno"/>
        </w:rPr>
        <w:t>65</w:t>
      </w:r>
      <w:r>
        <w:t>.</w:t>
      </w:r>
      <w:r>
        <w:tab/>
        <w:t>Review — application by offender subject to order</w:t>
      </w:r>
      <w:bookmarkEnd w:id="126"/>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 xml:space="preserve">An application cannot be made under this section for an offender’s detention to be reviewed until at least 1 year after the </w:t>
      </w:r>
      <w:r>
        <w:lastRenderedPageBreak/>
        <w:t>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127" w:name="_Toc184823304"/>
      <w:r>
        <w:rPr>
          <w:rStyle w:val="CharSectno"/>
        </w:rPr>
        <w:t>66</w:t>
      </w:r>
      <w:r>
        <w:t>.</w:t>
      </w:r>
      <w:r>
        <w:tab/>
        <w:t>Dealing with application</w:t>
      </w:r>
      <w:bookmarkEnd w:id="127"/>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128" w:name="_Toc184823305"/>
      <w:r>
        <w:rPr>
          <w:rStyle w:val="CharSectno"/>
        </w:rPr>
        <w:t>67</w:t>
      </w:r>
      <w:r>
        <w:t>.</w:t>
      </w:r>
      <w:r>
        <w:tab/>
        <w:t>Reports</w:t>
      </w:r>
      <w:bookmarkEnd w:id="128"/>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29" w:name="_Toc184823306"/>
      <w:r>
        <w:rPr>
          <w:rStyle w:val="CharSectno"/>
        </w:rPr>
        <w:t>68</w:t>
      </w:r>
      <w:r>
        <w:t>.</w:t>
      </w:r>
      <w:r>
        <w:tab/>
        <w:t>Review of detention under continuing detention order</w:t>
      </w:r>
      <w:bookmarkEnd w:id="129"/>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lastRenderedPageBreak/>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30" w:name="_Toc184818205"/>
      <w:bookmarkStart w:id="131" w:name="_Toc184819846"/>
      <w:bookmarkStart w:id="132" w:name="_Toc184820015"/>
      <w:bookmarkStart w:id="133" w:name="_Toc184823307"/>
      <w:r>
        <w:rPr>
          <w:rStyle w:val="CharPartNo"/>
        </w:rPr>
        <w:lastRenderedPageBreak/>
        <w:t>Part 6</w:t>
      </w:r>
      <w:r>
        <w:rPr>
          <w:rStyle w:val="CharDivNo"/>
        </w:rPr>
        <w:t> </w:t>
      </w:r>
      <w:r>
        <w:t>—</w:t>
      </w:r>
      <w:r>
        <w:rPr>
          <w:rStyle w:val="CharDivText"/>
        </w:rPr>
        <w:t> </w:t>
      </w:r>
      <w:r>
        <w:rPr>
          <w:rStyle w:val="CharPartText"/>
        </w:rPr>
        <w:t>Appeals</w:t>
      </w:r>
      <w:bookmarkEnd w:id="130"/>
      <w:bookmarkEnd w:id="131"/>
      <w:bookmarkEnd w:id="132"/>
      <w:bookmarkEnd w:id="133"/>
    </w:p>
    <w:p>
      <w:pPr>
        <w:pStyle w:val="Heading5"/>
      </w:pPr>
      <w:bookmarkStart w:id="134" w:name="_Toc184823308"/>
      <w:r>
        <w:rPr>
          <w:rStyle w:val="CharSectno"/>
        </w:rPr>
        <w:t>69</w:t>
      </w:r>
      <w:r>
        <w:t>.</w:t>
      </w:r>
      <w:r>
        <w:tab/>
        <w:t>Appeals</w:t>
      </w:r>
      <w:bookmarkEnd w:id="134"/>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135" w:name="_Toc184823309"/>
      <w:r>
        <w:rPr>
          <w:rStyle w:val="CharSectno"/>
        </w:rPr>
        <w:t>70</w:t>
      </w:r>
      <w:r>
        <w:t>.</w:t>
      </w:r>
      <w:r>
        <w:tab/>
        <w:t>Appeal does not stay decision</w:t>
      </w:r>
      <w:bookmarkEnd w:id="135"/>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36" w:name="_Toc184823310"/>
      <w:r>
        <w:rPr>
          <w:rStyle w:val="CharSectno"/>
        </w:rPr>
        <w:lastRenderedPageBreak/>
        <w:t>71</w:t>
      </w:r>
      <w:r>
        <w:t>.</w:t>
      </w:r>
      <w:r>
        <w:tab/>
        <w:t>Dealing with appeal</w:t>
      </w:r>
      <w:bookmarkEnd w:id="13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37" w:name="_Toc184818209"/>
      <w:bookmarkStart w:id="138" w:name="_Toc184819850"/>
      <w:bookmarkStart w:id="139" w:name="_Toc184820019"/>
      <w:bookmarkStart w:id="140" w:name="_Toc184823311"/>
      <w:r>
        <w:rPr>
          <w:rStyle w:val="CharPartNo"/>
        </w:rPr>
        <w:lastRenderedPageBreak/>
        <w:t>Part 7</w:t>
      </w:r>
      <w:r>
        <w:rPr>
          <w:rStyle w:val="CharDivNo"/>
        </w:rPr>
        <w:t> </w:t>
      </w:r>
      <w:r>
        <w:t>—</w:t>
      </w:r>
      <w:r>
        <w:rPr>
          <w:rStyle w:val="CharDivText"/>
        </w:rPr>
        <w:t> </w:t>
      </w:r>
      <w:r>
        <w:rPr>
          <w:rStyle w:val="CharPartText"/>
        </w:rPr>
        <w:t>Reports</w:t>
      </w:r>
      <w:bookmarkEnd w:id="137"/>
      <w:bookmarkEnd w:id="138"/>
      <w:bookmarkEnd w:id="139"/>
      <w:bookmarkEnd w:id="140"/>
    </w:p>
    <w:p>
      <w:pPr>
        <w:pStyle w:val="Heading5"/>
      </w:pPr>
      <w:bookmarkStart w:id="141" w:name="_Toc184823312"/>
      <w:r>
        <w:rPr>
          <w:rStyle w:val="CharSectno"/>
        </w:rPr>
        <w:t>72</w:t>
      </w:r>
      <w:r>
        <w:t>.</w:t>
      </w:r>
      <w:r>
        <w:tab/>
        <w:t>Terms used</w:t>
      </w:r>
      <w:bookmarkEnd w:id="141"/>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42" w:name="_Toc184823313"/>
      <w:r>
        <w:rPr>
          <w:rStyle w:val="CharSectno"/>
        </w:rPr>
        <w:t>73</w:t>
      </w:r>
      <w:r>
        <w:t>.</w:t>
      </w:r>
      <w:r>
        <w:tab/>
        <w:t>Authority to examine</w:t>
      </w:r>
      <w:bookmarkEnd w:id="142"/>
    </w:p>
    <w:p>
      <w:pPr>
        <w:pStyle w:val="Subsection"/>
      </w:pPr>
      <w:r>
        <w:tab/>
      </w:r>
      <w:r>
        <w:tab/>
        <w:t>This section authorises a reporter to examine a subject and to report in accordance with section</w:t>
      </w:r>
      <w:r>
        <w:rPr>
          <w:b/>
        </w:rPr>
        <w:t> </w:t>
      </w:r>
      <w:r>
        <w:t>74 or 75.</w:t>
      </w:r>
    </w:p>
    <w:p>
      <w:pPr>
        <w:pStyle w:val="Heading5"/>
      </w:pPr>
      <w:bookmarkStart w:id="143" w:name="_Toc184823314"/>
      <w:r>
        <w:rPr>
          <w:rStyle w:val="CharSectno"/>
        </w:rPr>
        <w:t>74</w:t>
      </w:r>
      <w:r>
        <w:t>.</w:t>
      </w:r>
      <w:r>
        <w:tab/>
        <w:t>Preparation of report by qualified expert</w:t>
      </w:r>
      <w:bookmarkEnd w:id="143"/>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lastRenderedPageBreak/>
        <w:tab/>
        <w:t>(4)</w:t>
      </w:r>
      <w:r>
        <w:tab/>
        <w:t>The reporter must prepare the report even if the subject does not cooperate, or does not cooperate fully, in the examination.</w:t>
      </w:r>
    </w:p>
    <w:p>
      <w:pPr>
        <w:pStyle w:val="Heading5"/>
      </w:pPr>
      <w:bookmarkStart w:id="144" w:name="_Toc184823315"/>
      <w:r>
        <w:rPr>
          <w:rStyle w:val="CharSectno"/>
        </w:rPr>
        <w:t>75</w:t>
      </w:r>
      <w:r>
        <w:t>.</w:t>
      </w:r>
      <w:r>
        <w:tab/>
        <w:t>Preparation of other report</w:t>
      </w:r>
      <w:bookmarkEnd w:id="144"/>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45" w:name="_Toc184823316"/>
      <w:r>
        <w:rPr>
          <w:rStyle w:val="CharSectno"/>
        </w:rPr>
        <w:t>76</w:t>
      </w:r>
      <w:r>
        <w:t>.</w:t>
      </w:r>
      <w:r>
        <w:tab/>
        <w:t>CEO to provide information</w:t>
      </w:r>
      <w:bookmarkEnd w:id="145"/>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w:t>
      </w:r>
      <w:r>
        <w:lastRenderedPageBreak/>
        <w:t xml:space="preserve">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46" w:name="_Toc184823317"/>
      <w:r>
        <w:rPr>
          <w:rStyle w:val="CharSectno"/>
        </w:rPr>
        <w:t>77</w:t>
      </w:r>
      <w:r>
        <w:t>.</w:t>
      </w:r>
      <w:r>
        <w:tab/>
        <w:t>CEO may seek information</w:t>
      </w:r>
      <w:bookmarkEnd w:id="146"/>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47" w:name="_Toc184823318"/>
      <w:r>
        <w:rPr>
          <w:rStyle w:val="CharSectno"/>
        </w:rPr>
        <w:t>78</w:t>
      </w:r>
      <w:r>
        <w:t>.</w:t>
      </w:r>
      <w:r>
        <w:tab/>
        <w:t>Copies of report to State and subject</w:t>
      </w:r>
      <w:bookmarkEnd w:id="147"/>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48" w:name="_Toc184818217"/>
      <w:bookmarkStart w:id="149" w:name="_Toc184819858"/>
      <w:bookmarkStart w:id="150" w:name="_Toc184820027"/>
      <w:bookmarkStart w:id="151" w:name="_Toc184823319"/>
      <w:r>
        <w:rPr>
          <w:rStyle w:val="CharPartNo"/>
        </w:rPr>
        <w:lastRenderedPageBreak/>
        <w:t>Part 8</w:t>
      </w:r>
      <w:r>
        <w:rPr>
          <w:rStyle w:val="CharDivNo"/>
        </w:rPr>
        <w:t> </w:t>
      </w:r>
      <w:r>
        <w:t>—</w:t>
      </w:r>
      <w:r>
        <w:rPr>
          <w:rStyle w:val="CharDivText"/>
        </w:rPr>
        <w:t> </w:t>
      </w:r>
      <w:r>
        <w:rPr>
          <w:rStyle w:val="CharPartText"/>
        </w:rPr>
        <w:t>General</w:t>
      </w:r>
      <w:bookmarkEnd w:id="148"/>
      <w:bookmarkEnd w:id="149"/>
      <w:bookmarkEnd w:id="150"/>
      <w:bookmarkEnd w:id="151"/>
    </w:p>
    <w:p>
      <w:pPr>
        <w:pStyle w:val="Heading5"/>
      </w:pPr>
      <w:bookmarkStart w:id="152" w:name="_Toc184823320"/>
      <w:r>
        <w:rPr>
          <w:rStyle w:val="CharSectno"/>
        </w:rPr>
        <w:t>79</w:t>
      </w:r>
      <w:r>
        <w:t>.</w:t>
      </w:r>
      <w:r>
        <w:tab/>
        <w:t>Offender unfit to stand trial</w:t>
      </w:r>
      <w:bookmarkEnd w:id="152"/>
    </w:p>
    <w:p>
      <w:pPr>
        <w:pStyle w:val="Subsection"/>
      </w:pPr>
      <w:r>
        <w:tab/>
        <w:t>(1)</w:t>
      </w:r>
      <w:r>
        <w:tab/>
        <w:t xml:space="preserve">In this section — </w:t>
      </w:r>
    </w:p>
    <w:p>
      <w:pPr>
        <w:pStyle w:val="Defstart"/>
      </w:pPr>
      <w:r>
        <w:tab/>
      </w:r>
      <w:r>
        <w:rPr>
          <w:rStyle w:val="CharDefText"/>
        </w:rPr>
        <w:t>unfit to stand trial</w:t>
      </w:r>
      <w:r>
        <w:t xml:space="preserve"> means found unfit to stand trial under the </w:t>
      </w:r>
      <w:r>
        <w:rPr>
          <w:i/>
          <w:iCs/>
        </w:rPr>
        <w:t>Criminal Law (Mental Impairment) Act 2023</w:t>
      </w:r>
      <w:r>
        <w:t>.</w:t>
      </w:r>
    </w:p>
    <w:p>
      <w:pPr>
        <w:pStyle w:val="Subsection"/>
      </w:pPr>
      <w:r>
        <w:tab/>
        <w:t>(2)</w:t>
      </w:r>
      <w:r>
        <w:tab/>
        <w:t xml:space="preserve">A court may make an order under this Act in respect of an offender even if the offender — </w:t>
      </w:r>
    </w:p>
    <w:p>
      <w:pPr>
        <w:pStyle w:val="Indenta"/>
      </w:pPr>
      <w:r>
        <w:tab/>
        <w:t>(a)</w:t>
      </w:r>
      <w:r>
        <w:tab/>
        <w:t>has been found unfit to stand trial; or</w:t>
      </w:r>
    </w:p>
    <w:p>
      <w:pPr>
        <w:pStyle w:val="Indenta"/>
      </w:pPr>
      <w:r>
        <w:tab/>
        <w:t>(b)</w:t>
      </w:r>
      <w:r>
        <w:tab/>
        <w:t>if charged with an offence, would be likely to be found unfit to stand trial.</w:t>
      </w:r>
    </w:p>
    <w:p>
      <w:pPr>
        <w:pStyle w:val="Footnotesection"/>
      </w:pPr>
      <w:r>
        <w:tab/>
        <w:t>[Section 79 amended: No. 10 of 2023 s. 349.]</w:t>
      </w:r>
    </w:p>
    <w:p>
      <w:pPr>
        <w:pStyle w:val="Heading5"/>
      </w:pPr>
      <w:bookmarkStart w:id="153" w:name="_Toc184823321"/>
      <w:r>
        <w:rPr>
          <w:rStyle w:val="CharSectno"/>
        </w:rPr>
        <w:t>80</w:t>
      </w:r>
      <w:r>
        <w:t>.</w:t>
      </w:r>
      <w:r>
        <w:tab/>
        <w:t>Offence of contravening supervision order</w:t>
      </w:r>
      <w:bookmarkEnd w:id="153"/>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 and a fine of $36 000.</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lastRenderedPageBreak/>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Footnotesection"/>
      </w:pPr>
      <w:r>
        <w:tab/>
        <w:t>[Section 80 amended: No. 28 of 2024 s. 44.]</w:t>
      </w:r>
    </w:p>
    <w:p>
      <w:pPr>
        <w:pStyle w:val="Heading5"/>
      </w:pPr>
      <w:bookmarkStart w:id="154" w:name="_Toc184823322"/>
      <w:r>
        <w:rPr>
          <w:rStyle w:val="CharSectno"/>
        </w:rPr>
        <w:t>81</w:t>
      </w:r>
      <w:r>
        <w:t>.</w:t>
      </w:r>
      <w:r>
        <w:tab/>
        <w:t>Procedure on some charges of offences under s. 80</w:t>
      </w:r>
      <w:bookmarkEnd w:id="154"/>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 xml:space="preserve">as if </w:t>
      </w:r>
      <w:r>
        <w:rPr>
          <w:iCs/>
        </w:rPr>
        <w:lastRenderedPageBreak/>
        <w:t>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lastRenderedPageBreak/>
        <w:tab/>
        <w:t>(7)</w:t>
      </w:r>
      <w:r>
        <w:tab/>
        <w:t xml:space="preserve">Despite the </w:t>
      </w:r>
      <w:r>
        <w:rPr>
          <w:i/>
          <w:iCs/>
        </w:rPr>
        <w:t xml:space="preserve">Criminal Appeals Act 2004 </w:t>
      </w:r>
      <w:r>
        <w:t>section 13(1), the appeal is to be dealt with by the Court of Appeal.</w:t>
      </w:r>
    </w:p>
    <w:p>
      <w:pPr>
        <w:pStyle w:val="Heading5"/>
      </w:pPr>
      <w:bookmarkStart w:id="155" w:name="_Toc177480165"/>
      <w:bookmarkStart w:id="156" w:name="_Toc184823323"/>
      <w:r>
        <w:rPr>
          <w:rStyle w:val="CharSectno"/>
        </w:rPr>
        <w:t>81A</w:t>
      </w:r>
      <w:r>
        <w:t>.</w:t>
      </w:r>
      <w:r>
        <w:tab/>
        <w:t>Evidentiary provision for proceedings for offences under s. 80 concerning electronic monitoring</w:t>
      </w:r>
      <w:bookmarkEnd w:id="155"/>
      <w:bookmarkEnd w:id="156"/>
    </w:p>
    <w:p>
      <w:pPr>
        <w:pStyle w:val="Subsection"/>
      </w:pPr>
      <w:r>
        <w:tab/>
        <w:t>(1)</w:t>
      </w:r>
      <w:r>
        <w:tab/>
        <w:t xml:space="preserve">In this section — </w:t>
      </w:r>
    </w:p>
    <w:p>
      <w:pPr>
        <w:pStyle w:val="Defstart"/>
      </w:pPr>
      <w:r>
        <w:tab/>
      </w:r>
      <w:r>
        <w:rPr>
          <w:rStyle w:val="CharDefText"/>
        </w:rPr>
        <w:t>approved</w:t>
      </w:r>
      <w:r>
        <w:t xml:space="preserve"> means approved by the CEO;</w:t>
      </w:r>
    </w:p>
    <w:p>
      <w:pPr>
        <w:pStyle w:val="Defstart"/>
      </w:pPr>
      <w:r>
        <w:tab/>
      </w:r>
      <w:r>
        <w:rPr>
          <w:rStyle w:val="CharDefText"/>
        </w:rPr>
        <w:t>relevant instruction</w:t>
      </w:r>
      <w:r>
        <w:t xml:space="preserve"> means an instruction about electronic monitoring given by a community corrections officer to a person subject to a supervision order;</w:t>
      </w:r>
    </w:p>
    <w:p>
      <w:pPr>
        <w:pStyle w:val="Defstart"/>
      </w:pPr>
      <w:r>
        <w:tab/>
      </w:r>
      <w:r>
        <w:rPr>
          <w:rStyle w:val="CharDefText"/>
        </w:rPr>
        <w:t>relevant matter</w:t>
      </w:r>
      <w:r>
        <w:t xml:space="preserve"> means — </w:t>
      </w:r>
    </w:p>
    <w:p>
      <w:pPr>
        <w:pStyle w:val="Defpara"/>
      </w:pPr>
      <w:r>
        <w:tab/>
        <w:t>(a)</w:t>
      </w:r>
      <w:r>
        <w:tab/>
        <w:t>that a person was subject to a supervision order; or</w:t>
      </w:r>
    </w:p>
    <w:p>
      <w:pPr>
        <w:pStyle w:val="Defpara"/>
      </w:pPr>
      <w:r>
        <w:tab/>
        <w:t>(b)</w:t>
      </w:r>
      <w:r>
        <w:tab/>
        <w:t>that a specified type of approved electronic monitoring device was used to monitor a person; or</w:t>
      </w:r>
    </w:p>
    <w:p>
      <w:pPr>
        <w:pStyle w:val="Defpara"/>
      </w:pPr>
      <w:r>
        <w:tab/>
        <w:t>(c)</w:t>
      </w:r>
      <w:r>
        <w:tab/>
        <w:t xml:space="preserve">that a specified approved electronic monitoring device was installed — </w:t>
      </w:r>
    </w:p>
    <w:p>
      <w:pPr>
        <w:pStyle w:val="Defsubpara"/>
      </w:pPr>
      <w:r>
        <w:tab/>
        <w:t>(i)</w:t>
      </w:r>
      <w:r>
        <w:tab/>
        <w:t>at a specified place and on a specified date; and</w:t>
      </w:r>
    </w:p>
    <w:p>
      <w:pPr>
        <w:pStyle w:val="Defsubpara"/>
      </w:pPr>
      <w:r>
        <w:tab/>
        <w:t>(ii)</w:t>
      </w:r>
      <w:r>
        <w:tab/>
        <w:t xml:space="preserve">in accordance with the manufacturer’s specifications; </w:t>
      </w:r>
    </w:p>
    <w:p>
      <w:pPr>
        <w:pStyle w:val="Defpara"/>
      </w:pPr>
      <w:r>
        <w:tab/>
      </w:r>
      <w:r>
        <w:tab/>
        <w:t>or</w:t>
      </w:r>
    </w:p>
    <w:p>
      <w:pPr>
        <w:pStyle w:val="Defpara"/>
      </w:pPr>
      <w:r>
        <w:tab/>
        <w:t>(d)</w:t>
      </w:r>
      <w:r>
        <w:tab/>
        <w:t>that on a specified date a specified approved electronic monitoring device was turned on; or</w:t>
      </w:r>
    </w:p>
    <w:p>
      <w:pPr>
        <w:pStyle w:val="Defpara"/>
      </w:pPr>
      <w:r>
        <w:tab/>
        <w:t>(e)</w:t>
      </w:r>
      <w:r>
        <w:tab/>
        <w:t>that during a specified period a specified approved electronic monitoring device was working; or</w:t>
      </w:r>
    </w:p>
    <w:p>
      <w:pPr>
        <w:pStyle w:val="Defpara"/>
      </w:pPr>
      <w:r>
        <w:tab/>
        <w:t>(f)</w:t>
      </w:r>
      <w:r>
        <w:tab/>
        <w:t>that during a specified period a specified system for detecting approved electronic monitoring devices was detecting a specified approved electronic monitoring device; or</w:t>
      </w:r>
    </w:p>
    <w:p>
      <w:pPr>
        <w:pStyle w:val="Defpara"/>
      </w:pPr>
      <w:r>
        <w:tab/>
        <w:t>(g)</w:t>
      </w:r>
      <w:r>
        <w:tab/>
        <w:t>that during a specified period a specified system for detecting approved electronic monitoring devices was receiving location data from a specified approved electronic monitoring device; or</w:t>
      </w:r>
    </w:p>
    <w:p>
      <w:pPr>
        <w:pStyle w:val="Defpara"/>
      </w:pPr>
      <w:r>
        <w:lastRenderedPageBreak/>
        <w:tab/>
        <w:t>(h)</w:t>
      </w:r>
      <w:r>
        <w:tab/>
        <w:t>particulars of communications during a specified period between a specified system for detecting approved electronic monitoring devices and a specified approved electronic monitoring device; or</w:t>
      </w:r>
    </w:p>
    <w:p>
      <w:pPr>
        <w:pStyle w:val="Defpara"/>
      </w:pPr>
      <w:r>
        <w:tab/>
        <w:t>(i)</w:t>
      </w:r>
      <w:r>
        <w:tab/>
        <w:t>that on a specified date and at a specified time a specified approved electronic monitoring device stopped working.</w:t>
      </w:r>
    </w:p>
    <w:p>
      <w:pPr>
        <w:pStyle w:val="Subsection"/>
      </w:pPr>
      <w:r>
        <w:tab/>
        <w:t>(2)</w:t>
      </w:r>
      <w:r>
        <w:tab/>
        <w:t xml:space="preserve">In proceedings for an offence under section 80(1) that concerns electronic monitoring — </w:t>
      </w:r>
    </w:p>
    <w:p>
      <w:pPr>
        <w:pStyle w:val="Indenta"/>
      </w:pPr>
      <w:r>
        <w:tab/>
        <w:t>(a)</w:t>
      </w:r>
      <w:r>
        <w:tab/>
        <w:t>a certificate in the form approved under section 89 stating a relevant matter and purporting to be signed by the CEO or a community corrections officer is, without proof of any appointment or signature, evidence of the matter stated in the certificate; and</w:t>
      </w:r>
    </w:p>
    <w:p>
      <w:pPr>
        <w:pStyle w:val="Indenta"/>
      </w:pPr>
      <w:r>
        <w:tab/>
        <w:t>(b)</w:t>
      </w:r>
      <w:r>
        <w:tab/>
        <w:t>a certificate in the form approved under section 89 stating a document attached to the certificate is a copy of a relevant instruction and purporting to be signed by the CEO or a community corrections officer is, without proof of any appointment or signature, evidence of what is stated.</w:t>
      </w:r>
    </w:p>
    <w:p>
      <w:pPr>
        <w:pStyle w:val="Subsection"/>
      </w:pPr>
      <w:r>
        <w:tab/>
        <w:t>(3)</w:t>
      </w:r>
      <w:r>
        <w:tab/>
        <w:t>The copy of the relevant instruction is evidence of what is stated in the relevant instruction.</w:t>
      </w:r>
    </w:p>
    <w:p>
      <w:pPr>
        <w:pStyle w:val="Footnotesection"/>
      </w:pPr>
      <w:r>
        <w:tab/>
        <w:t>[Section 81A inserted: No. 28 of 2024 s. 45.]</w:t>
      </w:r>
    </w:p>
    <w:p>
      <w:pPr>
        <w:pStyle w:val="Heading5"/>
      </w:pPr>
      <w:bookmarkStart w:id="157" w:name="_Toc184823324"/>
      <w:r>
        <w:rPr>
          <w:rStyle w:val="CharSectno"/>
        </w:rPr>
        <w:t>82</w:t>
      </w:r>
      <w:r>
        <w:t>.</w:t>
      </w:r>
      <w:r>
        <w:tab/>
        <w:t>Proceedings to be criminal proceedings</w:t>
      </w:r>
      <w:bookmarkEnd w:id="157"/>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158" w:name="_Toc184823325"/>
      <w:r>
        <w:rPr>
          <w:rStyle w:val="CharSectno"/>
        </w:rPr>
        <w:lastRenderedPageBreak/>
        <w:t>83</w:t>
      </w:r>
      <w:r>
        <w:t>.</w:t>
      </w:r>
      <w:r>
        <w:tab/>
        <w:t>Deciding certain matters on the papers</w:t>
      </w:r>
      <w:bookmarkEnd w:id="158"/>
    </w:p>
    <w:p>
      <w:pPr>
        <w:pStyle w:val="Subsection"/>
        <w:keepNext/>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59" w:name="_Toc184823326"/>
      <w:r>
        <w:rPr>
          <w:rStyle w:val="CharSectno"/>
        </w:rPr>
        <w:t>84</w:t>
      </w:r>
      <w:r>
        <w:t>.</w:t>
      </w:r>
      <w:r>
        <w:tab/>
        <w:t>Evidence in certain hearings</w:t>
      </w:r>
      <w:bookmarkEnd w:id="159"/>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lastRenderedPageBreak/>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60" w:name="_Toc184823327"/>
      <w:r>
        <w:rPr>
          <w:rStyle w:val="CharSectno"/>
        </w:rPr>
        <w:t>85</w:t>
      </w:r>
      <w:r>
        <w:t>.</w:t>
      </w:r>
      <w:r>
        <w:tab/>
        <w:t>Court may give directions</w:t>
      </w:r>
      <w:bookmarkEnd w:id="160"/>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161" w:name="_Toc184823328"/>
      <w:r>
        <w:rPr>
          <w:rStyle w:val="CharSectno"/>
        </w:rPr>
        <w:lastRenderedPageBreak/>
        <w:t>86</w:t>
      </w:r>
      <w:r>
        <w:t>.</w:t>
      </w:r>
      <w:r>
        <w:tab/>
        <w:t>Appearance at hearings</w:t>
      </w:r>
      <w:bookmarkEnd w:id="161"/>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162" w:name="_Toc184823329"/>
      <w:r>
        <w:rPr>
          <w:rStyle w:val="CharSectno"/>
        </w:rPr>
        <w:t>87</w:t>
      </w:r>
      <w:r>
        <w:t>.</w:t>
      </w:r>
      <w:r>
        <w:tab/>
        <w:t>Warrant of commitment upon order for detention</w:t>
      </w:r>
      <w:bookmarkEnd w:id="162"/>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163" w:name="_Toc184823330"/>
      <w:r>
        <w:rPr>
          <w:rStyle w:val="CharSectno"/>
        </w:rPr>
        <w:t>88</w:t>
      </w:r>
      <w:r>
        <w:t>.</w:t>
      </w:r>
      <w:r>
        <w:tab/>
        <w:t>Protection from personal liability</w:t>
      </w:r>
      <w:bookmarkEnd w:id="163"/>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lastRenderedPageBreak/>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64" w:name="_Toc184823331"/>
      <w:r>
        <w:rPr>
          <w:rStyle w:val="CharSectno"/>
        </w:rPr>
        <w:t>89</w:t>
      </w:r>
      <w:r>
        <w:t>.</w:t>
      </w:r>
      <w:r>
        <w:tab/>
        <w:t>Approved forms</w:t>
      </w:r>
      <w:bookmarkEnd w:id="164"/>
    </w:p>
    <w:p>
      <w:pPr>
        <w:pStyle w:val="Subsection"/>
      </w:pPr>
      <w:r>
        <w:tab/>
      </w:r>
      <w:r>
        <w:tab/>
        <w:t>The CEO may approve forms for use under this Act.</w:t>
      </w:r>
    </w:p>
    <w:p>
      <w:pPr>
        <w:pStyle w:val="Heading5"/>
      </w:pPr>
      <w:bookmarkStart w:id="165" w:name="_Toc184823332"/>
      <w:r>
        <w:rPr>
          <w:rStyle w:val="CharSectno"/>
        </w:rPr>
        <w:t>90</w:t>
      </w:r>
      <w:r>
        <w:t>.</w:t>
      </w:r>
      <w:r>
        <w:tab/>
        <w:t>Regulations</w:t>
      </w:r>
      <w:bookmarkEnd w:id="1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6" w:name="_Toc184823333"/>
      <w:r>
        <w:rPr>
          <w:rStyle w:val="CharSectno"/>
        </w:rPr>
        <w:t>91</w:t>
      </w:r>
      <w:r>
        <w:t>.</w:t>
      </w:r>
      <w:r>
        <w:tab/>
        <w:t>Review of this Act</w:t>
      </w:r>
      <w:bookmarkEnd w:id="166"/>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keepNext/>
      </w:pPr>
      <w:r>
        <w:lastRenderedPageBreak/>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167" w:name="_Toc184818231"/>
      <w:bookmarkStart w:id="168" w:name="_Toc184819873"/>
      <w:bookmarkStart w:id="169" w:name="_Toc184820042"/>
      <w:bookmarkStart w:id="170" w:name="_Toc184823334"/>
      <w:r>
        <w:rPr>
          <w:rStyle w:val="CharPartNo"/>
        </w:rPr>
        <w:lastRenderedPageBreak/>
        <w:t>Part 9</w:t>
      </w:r>
      <w:r>
        <w:t> — </w:t>
      </w:r>
      <w:r>
        <w:rPr>
          <w:rStyle w:val="CharPartText"/>
        </w:rPr>
        <w:t>Consequential amendments to other Acts</w:t>
      </w:r>
      <w:bookmarkEnd w:id="167"/>
      <w:bookmarkEnd w:id="168"/>
      <w:bookmarkEnd w:id="169"/>
      <w:bookmarkEnd w:id="170"/>
    </w:p>
    <w:p>
      <w:pPr>
        <w:pStyle w:val="Heading3"/>
        <w:rPr>
          <w:rStyle w:val="CharSDivText"/>
        </w:rPr>
      </w:pPr>
      <w:bookmarkStart w:id="171" w:name="_Toc184818232"/>
      <w:bookmarkStart w:id="172" w:name="_Toc184819874"/>
      <w:bookmarkStart w:id="173" w:name="_Toc184820043"/>
      <w:bookmarkStart w:id="174" w:name="_Toc184823335"/>
      <w:r>
        <w:rPr>
          <w:rStyle w:val="CharDivNo"/>
        </w:rPr>
        <w:t>Division 1</w:t>
      </w:r>
      <w:r>
        <w:t> — </w:t>
      </w:r>
      <w:r>
        <w:rPr>
          <w:rStyle w:val="CharDivText"/>
          <w:i/>
        </w:rPr>
        <w:t>Community Protection (Offender Reporting) Act 2004</w:t>
      </w:r>
      <w:r>
        <w:rPr>
          <w:rStyle w:val="CharDivText"/>
        </w:rPr>
        <w:t xml:space="preserve"> amended</w:t>
      </w:r>
      <w:bookmarkEnd w:id="171"/>
      <w:bookmarkEnd w:id="172"/>
      <w:bookmarkEnd w:id="173"/>
      <w:bookmarkEnd w:id="174"/>
    </w:p>
    <w:p>
      <w:pPr>
        <w:pStyle w:val="Heading5"/>
        <w:rPr>
          <w:snapToGrid w:val="0"/>
        </w:rPr>
      </w:pPr>
      <w:bookmarkStart w:id="175" w:name="_Toc184823336"/>
      <w:r>
        <w:rPr>
          <w:rStyle w:val="CharSectno"/>
        </w:rPr>
        <w:t>92</w:t>
      </w:r>
      <w:r>
        <w:rPr>
          <w:snapToGrid w:val="0"/>
        </w:rPr>
        <w:t>.</w:t>
      </w:r>
      <w:r>
        <w:rPr>
          <w:snapToGrid w:val="0"/>
        </w:rPr>
        <w:tab/>
        <w:t>Act amended</w:t>
      </w:r>
      <w:bookmarkEnd w:id="175"/>
    </w:p>
    <w:p>
      <w:pPr>
        <w:pStyle w:val="Subsection"/>
      </w:pPr>
      <w:r>
        <w:tab/>
      </w:r>
      <w:r>
        <w:tab/>
        <w:t xml:space="preserve">This Division amends the </w:t>
      </w:r>
      <w:r>
        <w:rPr>
          <w:i/>
        </w:rPr>
        <w:t>Community Protection (Offender Reporting) Act 2004</w:t>
      </w:r>
      <w:r>
        <w:t>.</w:t>
      </w:r>
    </w:p>
    <w:p>
      <w:pPr>
        <w:pStyle w:val="Heading5"/>
      </w:pPr>
      <w:bookmarkStart w:id="176" w:name="_Toc184823337"/>
      <w:r>
        <w:rPr>
          <w:rStyle w:val="CharSectno"/>
        </w:rPr>
        <w:t>93</w:t>
      </w:r>
      <w:r>
        <w:t>.</w:t>
      </w:r>
      <w:r>
        <w:tab/>
        <w:t>Section 85A amended</w:t>
      </w:r>
      <w:bookmarkEnd w:id="176"/>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lastRenderedPageBreak/>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177" w:name="_Toc184823338"/>
      <w:r>
        <w:rPr>
          <w:rStyle w:val="CharSectno"/>
        </w:rPr>
        <w:t>94</w:t>
      </w:r>
      <w:r>
        <w:t>.</w:t>
      </w:r>
      <w:r>
        <w:tab/>
        <w:t>Section 85G amended</w:t>
      </w:r>
      <w:bookmarkEnd w:id="177"/>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lastRenderedPageBreak/>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178" w:name="_Toc184823339"/>
      <w:r>
        <w:rPr>
          <w:rStyle w:val="CharSectno"/>
        </w:rPr>
        <w:t>95</w:t>
      </w:r>
      <w:r>
        <w:t>.</w:t>
      </w:r>
      <w:r>
        <w:tab/>
        <w:t>Section 85H amended</w:t>
      </w:r>
      <w:bookmarkEnd w:id="178"/>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179" w:name="_Toc184823340"/>
      <w:r>
        <w:rPr>
          <w:rStyle w:val="CharSectno"/>
        </w:rPr>
        <w:t>96</w:t>
      </w:r>
      <w:r>
        <w:t>.</w:t>
      </w:r>
      <w:r>
        <w:tab/>
        <w:t>Section 85I amended</w:t>
      </w:r>
      <w:bookmarkEnd w:id="179"/>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180" w:name="_Toc184818238"/>
      <w:bookmarkStart w:id="181" w:name="_Toc184819880"/>
      <w:bookmarkStart w:id="182" w:name="_Toc184820049"/>
      <w:bookmarkStart w:id="183" w:name="_Toc184823341"/>
      <w:r>
        <w:rPr>
          <w:rStyle w:val="CharDivNo"/>
        </w:rPr>
        <w:t>Division 2</w:t>
      </w:r>
      <w:r>
        <w:t> — </w:t>
      </w:r>
      <w:r>
        <w:rPr>
          <w:rStyle w:val="CharDivText"/>
          <w:i/>
        </w:rPr>
        <w:t>Criminal Procedure Act 2004</w:t>
      </w:r>
      <w:r>
        <w:rPr>
          <w:rStyle w:val="CharDivText"/>
        </w:rPr>
        <w:t xml:space="preserve"> amended</w:t>
      </w:r>
      <w:bookmarkEnd w:id="180"/>
      <w:bookmarkEnd w:id="181"/>
      <w:bookmarkEnd w:id="182"/>
      <w:bookmarkEnd w:id="183"/>
    </w:p>
    <w:p>
      <w:pPr>
        <w:pStyle w:val="Heading5"/>
        <w:rPr>
          <w:snapToGrid w:val="0"/>
        </w:rPr>
      </w:pPr>
      <w:bookmarkStart w:id="184" w:name="_Toc184823342"/>
      <w:r>
        <w:rPr>
          <w:rStyle w:val="CharSectno"/>
        </w:rPr>
        <w:t>97</w:t>
      </w:r>
      <w:r>
        <w:rPr>
          <w:snapToGrid w:val="0"/>
        </w:rPr>
        <w:t>.</w:t>
      </w:r>
      <w:r>
        <w:rPr>
          <w:snapToGrid w:val="0"/>
        </w:rPr>
        <w:tab/>
      </w:r>
      <w:r>
        <w:t xml:space="preserve">Act </w:t>
      </w:r>
      <w:r>
        <w:rPr>
          <w:snapToGrid w:val="0"/>
        </w:rPr>
        <w:t>amended</w:t>
      </w:r>
      <w:bookmarkEnd w:id="184"/>
    </w:p>
    <w:p>
      <w:pPr>
        <w:pStyle w:val="Subsection"/>
      </w:pPr>
      <w:r>
        <w:tab/>
      </w:r>
      <w:r>
        <w:tab/>
        <w:t xml:space="preserve">This Division amends the </w:t>
      </w:r>
      <w:r>
        <w:rPr>
          <w:i/>
        </w:rPr>
        <w:t>Criminal Procedure Act 2004</w:t>
      </w:r>
      <w:r>
        <w:t>.</w:t>
      </w:r>
    </w:p>
    <w:p>
      <w:pPr>
        <w:pStyle w:val="Heading5"/>
      </w:pPr>
      <w:bookmarkStart w:id="185" w:name="_Toc184823343"/>
      <w:r>
        <w:rPr>
          <w:rStyle w:val="CharSectno"/>
        </w:rPr>
        <w:t>98</w:t>
      </w:r>
      <w:r>
        <w:t>.</w:t>
      </w:r>
      <w:r>
        <w:tab/>
        <w:t>Section 51 amended</w:t>
      </w:r>
      <w:bookmarkEnd w:id="185"/>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186" w:name="_Toc184823344"/>
      <w:r>
        <w:rPr>
          <w:rStyle w:val="CharSectno"/>
        </w:rPr>
        <w:lastRenderedPageBreak/>
        <w:t>99</w:t>
      </w:r>
      <w:r>
        <w:t>.</w:t>
      </w:r>
      <w:r>
        <w:tab/>
        <w:t>Section 80 amended</w:t>
      </w:r>
      <w:bookmarkEnd w:id="186"/>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187" w:name="_Toc184818242"/>
      <w:bookmarkStart w:id="188" w:name="_Toc184819884"/>
      <w:bookmarkStart w:id="189" w:name="_Toc184820053"/>
      <w:bookmarkStart w:id="190" w:name="_Toc184823345"/>
      <w:r>
        <w:rPr>
          <w:rStyle w:val="CharDivNo"/>
        </w:rPr>
        <w:t>Division 3</w:t>
      </w:r>
      <w:r>
        <w:t> — </w:t>
      </w:r>
      <w:r>
        <w:rPr>
          <w:rStyle w:val="CharDivText"/>
          <w:i/>
        </w:rPr>
        <w:t>Freedom of Information Act 1992</w:t>
      </w:r>
      <w:r>
        <w:rPr>
          <w:rStyle w:val="CharDivText"/>
        </w:rPr>
        <w:t xml:space="preserve"> amended</w:t>
      </w:r>
      <w:bookmarkEnd w:id="187"/>
      <w:bookmarkEnd w:id="188"/>
      <w:bookmarkEnd w:id="189"/>
      <w:bookmarkEnd w:id="190"/>
    </w:p>
    <w:p>
      <w:pPr>
        <w:pStyle w:val="Heading5"/>
        <w:spacing w:before="200"/>
        <w:rPr>
          <w:snapToGrid w:val="0"/>
        </w:rPr>
      </w:pPr>
      <w:bookmarkStart w:id="191" w:name="_Toc184823346"/>
      <w:r>
        <w:rPr>
          <w:rStyle w:val="CharSectno"/>
        </w:rPr>
        <w:t>100</w:t>
      </w:r>
      <w:r>
        <w:rPr>
          <w:snapToGrid w:val="0"/>
        </w:rPr>
        <w:t>.</w:t>
      </w:r>
      <w:r>
        <w:rPr>
          <w:snapToGrid w:val="0"/>
        </w:rPr>
        <w:tab/>
      </w:r>
      <w:r>
        <w:t xml:space="preserve">Act </w:t>
      </w:r>
      <w:r>
        <w:rPr>
          <w:snapToGrid w:val="0"/>
        </w:rPr>
        <w:t>amended</w:t>
      </w:r>
      <w:bookmarkEnd w:id="191"/>
    </w:p>
    <w:p>
      <w:pPr>
        <w:pStyle w:val="Subsection"/>
      </w:pPr>
      <w:r>
        <w:tab/>
      </w:r>
      <w:r>
        <w:tab/>
        <w:t xml:space="preserve">This Division amends the </w:t>
      </w:r>
      <w:r>
        <w:rPr>
          <w:i/>
        </w:rPr>
        <w:t>Freedom of Information Act 1992</w:t>
      </w:r>
      <w:r>
        <w:t>.</w:t>
      </w:r>
    </w:p>
    <w:p>
      <w:pPr>
        <w:pStyle w:val="Heading5"/>
        <w:spacing w:before="200"/>
      </w:pPr>
      <w:bookmarkStart w:id="192" w:name="_Toc184823347"/>
      <w:r>
        <w:rPr>
          <w:rStyle w:val="CharSectno"/>
        </w:rPr>
        <w:t>101</w:t>
      </w:r>
      <w:r>
        <w:t>.</w:t>
      </w:r>
      <w:r>
        <w:tab/>
        <w:t>Schedule 2 amended</w:t>
      </w:r>
      <w:bookmarkEnd w:id="192"/>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193" w:name="_Toc184823348"/>
      <w:r>
        <w:rPr>
          <w:rStyle w:val="CharSectno"/>
        </w:rPr>
        <w:t>102</w:t>
      </w:r>
      <w:r>
        <w:t>.</w:t>
      </w:r>
      <w:r>
        <w:tab/>
        <w:t>The Glossary amended</w:t>
      </w:r>
      <w:bookmarkEnd w:id="193"/>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w:t>
      </w:r>
      <w:r>
        <w:lastRenderedPageBreak/>
        <w:t xml:space="preserve">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194" w:name="_Toc184818246"/>
      <w:bookmarkStart w:id="195" w:name="_Toc184819888"/>
      <w:bookmarkStart w:id="196" w:name="_Toc184820057"/>
      <w:bookmarkStart w:id="197" w:name="_Toc184823349"/>
      <w:r>
        <w:rPr>
          <w:rStyle w:val="CharDivNo"/>
        </w:rPr>
        <w:t>Division 4</w:t>
      </w:r>
      <w:r>
        <w:t> — </w:t>
      </w:r>
      <w:r>
        <w:rPr>
          <w:rStyle w:val="CharDivText"/>
          <w:i/>
        </w:rPr>
        <w:t>Sentence Administration Act 2003</w:t>
      </w:r>
      <w:r>
        <w:rPr>
          <w:rStyle w:val="CharDivText"/>
        </w:rPr>
        <w:t xml:space="preserve"> amended</w:t>
      </w:r>
      <w:bookmarkEnd w:id="194"/>
      <w:bookmarkEnd w:id="195"/>
      <w:bookmarkEnd w:id="196"/>
      <w:bookmarkEnd w:id="197"/>
    </w:p>
    <w:p>
      <w:pPr>
        <w:pStyle w:val="Heading5"/>
        <w:rPr>
          <w:snapToGrid w:val="0"/>
        </w:rPr>
      </w:pPr>
      <w:bookmarkStart w:id="198" w:name="_Toc184823350"/>
      <w:r>
        <w:rPr>
          <w:rStyle w:val="CharSectno"/>
        </w:rPr>
        <w:t>103</w:t>
      </w:r>
      <w:r>
        <w:rPr>
          <w:snapToGrid w:val="0"/>
        </w:rPr>
        <w:t>.</w:t>
      </w:r>
      <w:r>
        <w:rPr>
          <w:snapToGrid w:val="0"/>
        </w:rPr>
        <w:tab/>
      </w:r>
      <w:r>
        <w:t xml:space="preserve">Act </w:t>
      </w:r>
      <w:r>
        <w:rPr>
          <w:snapToGrid w:val="0"/>
        </w:rPr>
        <w:t>amended</w:t>
      </w:r>
      <w:bookmarkEnd w:id="198"/>
    </w:p>
    <w:p>
      <w:pPr>
        <w:pStyle w:val="Subsection"/>
      </w:pPr>
      <w:r>
        <w:tab/>
      </w:r>
      <w:r>
        <w:tab/>
        <w:t xml:space="preserve">This Division amends the </w:t>
      </w:r>
      <w:r>
        <w:rPr>
          <w:i/>
        </w:rPr>
        <w:t>Sentence Administration Act 2003</w:t>
      </w:r>
      <w:r>
        <w:t>.</w:t>
      </w:r>
    </w:p>
    <w:p>
      <w:pPr>
        <w:pStyle w:val="Heading5"/>
      </w:pPr>
      <w:bookmarkStart w:id="199" w:name="_Toc184823351"/>
      <w:r>
        <w:rPr>
          <w:rStyle w:val="CharSectno"/>
        </w:rPr>
        <w:t>104</w:t>
      </w:r>
      <w:r>
        <w:t>.</w:t>
      </w:r>
      <w:r>
        <w:tab/>
        <w:t>Section 4 amended</w:t>
      </w:r>
      <w:bookmarkEnd w:id="199"/>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200" w:name="_Toc184823352"/>
      <w:r>
        <w:rPr>
          <w:rStyle w:val="CharSectno"/>
        </w:rPr>
        <w:lastRenderedPageBreak/>
        <w:t>105</w:t>
      </w:r>
      <w:r>
        <w:t>.</w:t>
      </w:r>
      <w:r>
        <w:tab/>
        <w:t>Section 50 amended</w:t>
      </w:r>
      <w:bookmarkEnd w:id="200"/>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201" w:name="_Toc184823353"/>
      <w:r>
        <w:rPr>
          <w:rStyle w:val="CharSectno"/>
        </w:rPr>
        <w:t>106</w:t>
      </w:r>
      <w:r>
        <w:t>.</w:t>
      </w:r>
      <w:r>
        <w:tab/>
        <w:t>Section 74A amended</w:t>
      </w:r>
      <w:bookmarkEnd w:id="201"/>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202" w:name="_Toc184823354"/>
      <w:r>
        <w:rPr>
          <w:rStyle w:val="CharSectno"/>
        </w:rPr>
        <w:lastRenderedPageBreak/>
        <w:t>107</w:t>
      </w:r>
      <w:r>
        <w:t>.</w:t>
      </w:r>
      <w:r>
        <w:tab/>
        <w:t>Section 74B amended</w:t>
      </w:r>
      <w:bookmarkEnd w:id="202"/>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203" w:name="_Toc184823355"/>
      <w:r>
        <w:rPr>
          <w:rStyle w:val="CharSectno"/>
        </w:rPr>
        <w:t>108</w:t>
      </w:r>
      <w:r>
        <w:t>.</w:t>
      </w:r>
      <w:r>
        <w:tab/>
        <w:t>Section 74D amended</w:t>
      </w:r>
      <w:bookmarkEnd w:id="203"/>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lastRenderedPageBreak/>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204" w:name="_Toc184823356"/>
      <w:r>
        <w:rPr>
          <w:rStyle w:val="CharSectno"/>
        </w:rPr>
        <w:t>109</w:t>
      </w:r>
      <w:r>
        <w:t>.</w:t>
      </w:r>
      <w:r>
        <w:tab/>
        <w:t>Section 74E amended</w:t>
      </w:r>
      <w:bookmarkEnd w:id="204"/>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205" w:name="_Toc184823357"/>
      <w:r>
        <w:rPr>
          <w:rStyle w:val="CharSectno"/>
        </w:rPr>
        <w:t>110</w:t>
      </w:r>
      <w:r>
        <w:t>.</w:t>
      </w:r>
      <w:r>
        <w:tab/>
        <w:t>Section 74G amended</w:t>
      </w:r>
      <w:bookmarkEnd w:id="205"/>
    </w:p>
    <w:p>
      <w:pPr>
        <w:pStyle w:val="Subsection"/>
      </w:pPr>
      <w:r>
        <w:tab/>
      </w:r>
      <w:r>
        <w:tab/>
        <w:t>Delete section 74G(h) and (i).</w:t>
      </w:r>
    </w:p>
    <w:p>
      <w:pPr>
        <w:pStyle w:val="Heading5"/>
      </w:pPr>
      <w:bookmarkStart w:id="206" w:name="_Toc184823358"/>
      <w:r>
        <w:rPr>
          <w:rStyle w:val="CharSectno"/>
        </w:rPr>
        <w:t>111</w:t>
      </w:r>
      <w:r>
        <w:t>.</w:t>
      </w:r>
      <w:r>
        <w:tab/>
        <w:t>Section 74J amended</w:t>
      </w:r>
      <w:bookmarkEnd w:id="206"/>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207" w:name="_Toc184823359"/>
      <w:r>
        <w:rPr>
          <w:rStyle w:val="CharSectno"/>
        </w:rPr>
        <w:lastRenderedPageBreak/>
        <w:t>112</w:t>
      </w:r>
      <w:r>
        <w:t>.</w:t>
      </w:r>
      <w:r>
        <w:tab/>
        <w:t>Section 74K replaced</w:t>
      </w:r>
      <w:bookmarkEnd w:id="207"/>
    </w:p>
    <w:p>
      <w:pPr>
        <w:pStyle w:val="Subsection"/>
        <w:keepNext/>
      </w:pPr>
      <w:r>
        <w:tab/>
      </w:r>
      <w:r>
        <w:tab/>
        <w:t>Delete section 74K and insert:</w:t>
      </w:r>
    </w:p>
    <w:p>
      <w:pPr>
        <w:pStyle w:val="BlankOpen"/>
      </w:pPr>
    </w:p>
    <w:p>
      <w:pPr>
        <w:pStyle w:val="zHeading5"/>
      </w:pPr>
      <w:bookmarkStart w:id="208" w:name="_Toc184823360"/>
      <w:r>
        <w:t>74K.</w:t>
      </w:r>
      <w:r>
        <w:tab/>
        <w:t>Subsequent PSSO after cancellation for committing offence</w:t>
      </w:r>
      <w:bookmarkEnd w:id="208"/>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lastRenderedPageBreak/>
        <w:tab/>
        <w:t>(4)</w:t>
      </w:r>
      <w:r>
        <w:tab/>
        <w:t>Subsection (3)(b) does not apply if the further offence is a serious offence.</w:t>
      </w:r>
    </w:p>
    <w:p>
      <w:pPr>
        <w:pStyle w:val="BlankClose"/>
      </w:pPr>
    </w:p>
    <w:p>
      <w:pPr>
        <w:pStyle w:val="Heading5"/>
        <w:keepNext w:val="0"/>
        <w:keepLines w:val="0"/>
      </w:pPr>
      <w:bookmarkStart w:id="209" w:name="_Toc184823361"/>
      <w:r>
        <w:rPr>
          <w:rStyle w:val="CharSectno"/>
        </w:rPr>
        <w:t>113</w:t>
      </w:r>
      <w:r>
        <w:t>.</w:t>
      </w:r>
      <w:r>
        <w:tab/>
        <w:t>Section 74L replaced</w:t>
      </w:r>
      <w:bookmarkEnd w:id="209"/>
    </w:p>
    <w:p>
      <w:pPr>
        <w:pStyle w:val="Subsection"/>
      </w:pPr>
      <w:r>
        <w:tab/>
      </w:r>
      <w:r>
        <w:tab/>
        <w:t>Delete section 74L and insert:</w:t>
      </w:r>
    </w:p>
    <w:p>
      <w:pPr>
        <w:pStyle w:val="BlankOpen"/>
        <w:keepNext w:val="0"/>
        <w:keepLines w:val="0"/>
      </w:pPr>
    </w:p>
    <w:p>
      <w:pPr>
        <w:pStyle w:val="zHeading5"/>
        <w:keepNext w:val="0"/>
        <w:keepLines w:val="0"/>
      </w:pPr>
      <w:bookmarkStart w:id="210" w:name="_Toc184823362"/>
      <w:r>
        <w:t>74L.</w:t>
      </w:r>
      <w:r>
        <w:tab/>
        <w:t>Offence for breach of PSSO</w:t>
      </w:r>
      <w:bookmarkEnd w:id="210"/>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211" w:name="_Toc184823363"/>
      <w:r>
        <w:rPr>
          <w:rStyle w:val="CharSectno"/>
        </w:rPr>
        <w:t>114</w:t>
      </w:r>
      <w:r>
        <w:t>.</w:t>
      </w:r>
      <w:r>
        <w:tab/>
        <w:t>Section 103 amended</w:t>
      </w:r>
      <w:bookmarkEnd w:id="211"/>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212" w:name="_Toc184823364"/>
      <w:r>
        <w:rPr>
          <w:rStyle w:val="CharSectno"/>
        </w:rPr>
        <w:lastRenderedPageBreak/>
        <w:t>115</w:t>
      </w:r>
      <w:r>
        <w:t>.</w:t>
      </w:r>
      <w:r>
        <w:tab/>
        <w:t>Section 119 amended</w:t>
      </w:r>
      <w:bookmarkEnd w:id="212"/>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213" w:name="_Toc184823365"/>
      <w:r>
        <w:rPr>
          <w:rStyle w:val="CharSectno"/>
        </w:rPr>
        <w:t>116</w:t>
      </w:r>
      <w:r>
        <w:t>.</w:t>
      </w:r>
      <w:r>
        <w:tab/>
        <w:t>Schedule 4 deleted</w:t>
      </w:r>
      <w:bookmarkEnd w:id="213"/>
    </w:p>
    <w:p>
      <w:pPr>
        <w:pStyle w:val="Subsection"/>
      </w:pPr>
      <w:r>
        <w:tab/>
      </w:r>
      <w:r>
        <w:tab/>
        <w:t>Delete Schedule 4.</w:t>
      </w:r>
    </w:p>
    <w:p>
      <w:pPr>
        <w:pStyle w:val="Heading3"/>
      </w:pPr>
      <w:bookmarkStart w:id="214" w:name="_Toc184818263"/>
      <w:bookmarkStart w:id="215" w:name="_Toc184819905"/>
      <w:bookmarkStart w:id="216" w:name="_Toc184820074"/>
      <w:bookmarkStart w:id="217" w:name="_Toc184823366"/>
      <w:r>
        <w:rPr>
          <w:rStyle w:val="CharDivNo"/>
        </w:rPr>
        <w:t>Division 5</w:t>
      </w:r>
      <w:r>
        <w:t> — </w:t>
      </w:r>
      <w:r>
        <w:rPr>
          <w:rStyle w:val="CharDivText"/>
        </w:rPr>
        <w:t>Other Acts amended</w:t>
      </w:r>
      <w:bookmarkEnd w:id="214"/>
      <w:bookmarkEnd w:id="215"/>
      <w:bookmarkEnd w:id="216"/>
      <w:bookmarkEnd w:id="217"/>
    </w:p>
    <w:p>
      <w:pPr>
        <w:pStyle w:val="Heading5"/>
        <w:rPr>
          <w:snapToGrid w:val="0"/>
        </w:rPr>
      </w:pPr>
      <w:bookmarkStart w:id="218" w:name="_Toc184823367"/>
      <w:r>
        <w:rPr>
          <w:rStyle w:val="CharSectno"/>
        </w:rPr>
        <w:t>117</w:t>
      </w:r>
      <w:r>
        <w:rPr>
          <w:snapToGrid w:val="0"/>
        </w:rPr>
        <w:t>.</w:t>
      </w:r>
      <w:r>
        <w:rPr>
          <w:snapToGrid w:val="0"/>
        </w:rPr>
        <w:tab/>
      </w:r>
      <w:r>
        <w:rPr>
          <w:i/>
        </w:rPr>
        <w:t>Bail Act 1982</w:t>
      </w:r>
      <w:r>
        <w:rPr>
          <w:snapToGrid w:val="0"/>
        </w:rPr>
        <w:t xml:space="preserve"> amended</w:t>
      </w:r>
      <w:bookmarkEnd w:id="218"/>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lastRenderedPageBreak/>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219" w:name="_Toc184823368"/>
      <w:r>
        <w:rPr>
          <w:rStyle w:val="CharSectno"/>
        </w:rPr>
        <w:t>118</w:t>
      </w:r>
      <w:r>
        <w:t>.</w:t>
      </w:r>
      <w:r>
        <w:tab/>
      </w:r>
      <w:r>
        <w:rPr>
          <w:i/>
        </w:rPr>
        <w:t>Director of Public Prosecutions Act 1991</w:t>
      </w:r>
      <w:r>
        <w:t xml:space="preserve"> amended</w:t>
      </w:r>
      <w:bookmarkEnd w:id="219"/>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220" w:name="_Toc184823369"/>
      <w:r>
        <w:t>15A.</w:t>
      </w:r>
      <w:r>
        <w:tab/>
        <w:t xml:space="preserve">Proceedings under </w:t>
      </w:r>
      <w:r>
        <w:rPr>
          <w:i/>
        </w:rPr>
        <w:t>High Risk Serious Offenders Act 2020</w:t>
      </w:r>
      <w:bookmarkEnd w:id="220"/>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221" w:name="_Toc184823370"/>
      <w:r>
        <w:rPr>
          <w:rStyle w:val="CharSectno"/>
        </w:rPr>
        <w:lastRenderedPageBreak/>
        <w:t>119</w:t>
      </w:r>
      <w:r>
        <w:t>.</w:t>
      </w:r>
      <w:r>
        <w:tab/>
      </w:r>
      <w:r>
        <w:rPr>
          <w:i/>
        </w:rPr>
        <w:t>Prisons Act 1981</w:t>
      </w:r>
      <w:r>
        <w:t xml:space="preserve"> amended</w:t>
      </w:r>
      <w:bookmarkEnd w:id="221"/>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222" w:name="_Toc184823371"/>
      <w:r>
        <w:rPr>
          <w:rStyle w:val="CharSectno"/>
        </w:rPr>
        <w:t>120</w:t>
      </w:r>
      <w:r>
        <w:t>.</w:t>
      </w:r>
      <w:r>
        <w:tab/>
      </w:r>
      <w:r>
        <w:rPr>
          <w:i/>
        </w:rPr>
        <w:t xml:space="preserve">Sentencing Act 1995 </w:t>
      </w:r>
      <w:r>
        <w:t>amended</w:t>
      </w:r>
      <w:bookmarkEnd w:id="222"/>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lastRenderedPageBreak/>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223" w:name="_Toc184823372"/>
      <w:r>
        <w:rPr>
          <w:rStyle w:val="CharSectno"/>
        </w:rPr>
        <w:t>121</w:t>
      </w:r>
      <w:r>
        <w:t>.</w:t>
      </w:r>
      <w:r>
        <w:tab/>
        <w:t xml:space="preserve">Various references to </w:t>
      </w:r>
      <w:r>
        <w:rPr>
          <w:i/>
        </w:rPr>
        <w:t>Dangerous Sexual Offenders Act 2006</w:t>
      </w:r>
      <w:r>
        <w:t xml:space="preserve"> replaced</w:t>
      </w:r>
      <w:bookmarkEnd w:id="223"/>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lastRenderedPageBreak/>
              <w:t>s. 98(3)(aa)</w:t>
            </w:r>
          </w:p>
        </w:tc>
      </w:tr>
      <w:tr>
        <w:tc>
          <w:tcPr>
            <w:tcW w:w="3033" w:type="dxa"/>
          </w:tcPr>
          <w:p>
            <w:pPr>
              <w:pStyle w:val="TableNAm"/>
              <w:keepNext/>
            </w:pPr>
            <w:r>
              <w:rPr>
                <w:i/>
              </w:rPr>
              <w:lastRenderedPageBreak/>
              <w:t>Young Offenders Act 1994</w:t>
            </w:r>
          </w:p>
        </w:tc>
        <w:tc>
          <w:tcPr>
            <w:tcW w:w="3034" w:type="dxa"/>
          </w:tcPr>
          <w:p>
            <w:pPr>
              <w:pStyle w:val="TableNAm"/>
              <w:keepNext/>
            </w:pPr>
            <w:r>
              <w:t>s. 189(7)(c)</w:t>
            </w:r>
          </w:p>
          <w:p>
            <w:pPr>
              <w:pStyle w:val="TableNAm"/>
              <w:keepNext/>
            </w:pPr>
            <w:r>
              <w:t>s. 190(2A)</w:t>
            </w:r>
          </w:p>
        </w:tc>
      </w:tr>
    </w:tbl>
    <w:p>
      <w:pPr>
        <w:pStyle w:val="Heading2"/>
      </w:pPr>
      <w:bookmarkStart w:id="224" w:name="_Toc184818270"/>
      <w:bookmarkStart w:id="225" w:name="_Toc184819912"/>
      <w:bookmarkStart w:id="226" w:name="_Toc184820081"/>
      <w:bookmarkStart w:id="227" w:name="_Toc184823373"/>
      <w:r>
        <w:rPr>
          <w:rStyle w:val="CharPartNo"/>
        </w:rPr>
        <w:lastRenderedPageBreak/>
        <w:t>Part 10</w:t>
      </w:r>
      <w:r>
        <w:rPr>
          <w:rStyle w:val="CharDivNo"/>
        </w:rPr>
        <w:t> </w:t>
      </w:r>
      <w:r>
        <w:t>—</w:t>
      </w:r>
      <w:r>
        <w:rPr>
          <w:rStyle w:val="CharDivText"/>
        </w:rPr>
        <w:t> </w:t>
      </w:r>
      <w:r>
        <w:rPr>
          <w:rStyle w:val="CharPartText"/>
        </w:rPr>
        <w:t>Repeal and transitional provisions</w:t>
      </w:r>
      <w:bookmarkEnd w:id="224"/>
      <w:bookmarkEnd w:id="225"/>
      <w:bookmarkEnd w:id="226"/>
      <w:bookmarkEnd w:id="227"/>
    </w:p>
    <w:p>
      <w:pPr>
        <w:pStyle w:val="Heading5"/>
      </w:pPr>
      <w:bookmarkStart w:id="228" w:name="_Toc184823374"/>
      <w:r>
        <w:rPr>
          <w:rStyle w:val="CharSectno"/>
        </w:rPr>
        <w:t>122</w:t>
      </w:r>
      <w:r>
        <w:t>.</w:t>
      </w:r>
      <w:r>
        <w:tab/>
        <w:t>Terms used</w:t>
      </w:r>
      <w:bookmarkEnd w:id="228"/>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229" w:name="_Toc184823375"/>
      <w:r>
        <w:rPr>
          <w:rStyle w:val="CharSectno"/>
        </w:rPr>
        <w:t>123</w:t>
      </w:r>
      <w:r>
        <w:rPr>
          <w:snapToGrid w:val="0"/>
        </w:rPr>
        <w:t>.</w:t>
      </w:r>
      <w:r>
        <w:rPr>
          <w:snapToGrid w:val="0"/>
        </w:rPr>
        <w:tab/>
        <w:t>Act repealed</w:t>
      </w:r>
      <w:bookmarkEnd w:id="229"/>
    </w:p>
    <w:p>
      <w:pPr>
        <w:pStyle w:val="Subsection"/>
      </w:pPr>
      <w:r>
        <w:tab/>
      </w:r>
      <w:r>
        <w:tab/>
        <w:t xml:space="preserve">The </w:t>
      </w:r>
      <w:r>
        <w:rPr>
          <w:i/>
        </w:rPr>
        <w:t>Dangerous Sexual Offenders Act 2006</w:t>
      </w:r>
      <w:r>
        <w:t xml:space="preserve"> is repealed.</w:t>
      </w:r>
    </w:p>
    <w:p>
      <w:pPr>
        <w:pStyle w:val="Heading5"/>
      </w:pPr>
      <w:bookmarkStart w:id="230" w:name="_Toc184823376"/>
      <w:r>
        <w:rPr>
          <w:rStyle w:val="CharSectno"/>
        </w:rPr>
        <w:t>124</w:t>
      </w:r>
      <w:r>
        <w:t>.</w:t>
      </w:r>
      <w:r>
        <w:tab/>
        <w:t>Completion of things commenced</w:t>
      </w:r>
      <w:bookmarkEnd w:id="230"/>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231" w:name="_Toc184823377"/>
      <w:r>
        <w:rPr>
          <w:rStyle w:val="CharSectno"/>
        </w:rPr>
        <w:lastRenderedPageBreak/>
        <w:t>125</w:t>
      </w:r>
      <w:r>
        <w:t>.</w:t>
      </w:r>
      <w:r>
        <w:tab/>
        <w:t>Continuing effect of things done</w:t>
      </w:r>
      <w:bookmarkEnd w:id="231"/>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32" w:name="_Toc184818275"/>
      <w:bookmarkStart w:id="233" w:name="_Toc184819917"/>
      <w:bookmarkStart w:id="234" w:name="_Toc184820086"/>
      <w:bookmarkStart w:id="235" w:name="_Toc184823378"/>
      <w:r>
        <w:rPr>
          <w:rStyle w:val="CharSchNo"/>
        </w:rPr>
        <w:lastRenderedPageBreak/>
        <w:t>Schedule 1</w:t>
      </w:r>
      <w:r>
        <w:t> — </w:t>
      </w:r>
      <w:r>
        <w:rPr>
          <w:rStyle w:val="CharSchText"/>
        </w:rPr>
        <w:t>Serious offences</w:t>
      </w:r>
      <w:bookmarkEnd w:id="232"/>
      <w:bookmarkEnd w:id="233"/>
      <w:bookmarkEnd w:id="234"/>
      <w:bookmarkEnd w:id="235"/>
    </w:p>
    <w:p>
      <w:pPr>
        <w:pStyle w:val="yShoulderClause"/>
      </w:pPr>
      <w:r>
        <w:t>[s. 5(1)]</w:t>
      </w:r>
    </w:p>
    <w:p>
      <w:pPr>
        <w:pStyle w:val="yHeading3"/>
      </w:pPr>
      <w:bookmarkStart w:id="236" w:name="_Toc184818276"/>
      <w:bookmarkStart w:id="237" w:name="_Toc184819918"/>
      <w:bookmarkStart w:id="238" w:name="_Toc184820087"/>
      <w:bookmarkStart w:id="239" w:name="_Toc184823379"/>
      <w:r>
        <w:rPr>
          <w:rStyle w:val="CharSDivNo"/>
        </w:rPr>
        <w:t>Division 1</w:t>
      </w:r>
      <w:r>
        <w:t> — </w:t>
      </w:r>
      <w:r>
        <w:rPr>
          <w:rStyle w:val="CharSDivText"/>
        </w:rPr>
        <w:t>Offences that are serious offences in all circumstances</w:t>
      </w:r>
      <w:bookmarkEnd w:id="236"/>
      <w:bookmarkEnd w:id="237"/>
      <w:bookmarkEnd w:id="238"/>
      <w:bookmarkEnd w:id="239"/>
    </w:p>
    <w:p>
      <w:pPr>
        <w:pStyle w:val="yHeading4"/>
        <w:spacing w:after="120"/>
      </w:pPr>
      <w:bookmarkStart w:id="240" w:name="_Toc184818277"/>
      <w:bookmarkStart w:id="241" w:name="_Toc184819919"/>
      <w:bookmarkStart w:id="242" w:name="_Toc184820088"/>
      <w:bookmarkStart w:id="243" w:name="_Toc184823380"/>
      <w:r>
        <w:t>Subdivision 1</w:t>
      </w:r>
      <w:r>
        <w:rPr>
          <w:b w:val="0"/>
        </w:rPr>
        <w:t> — </w:t>
      </w:r>
      <w:r>
        <w:t xml:space="preserve">Offence under the </w:t>
      </w:r>
      <w:r>
        <w:rPr>
          <w:i/>
        </w:rPr>
        <w:t>Bush Fires Act 1954</w:t>
      </w:r>
      <w:bookmarkEnd w:id="240"/>
      <w:bookmarkEnd w:id="241"/>
      <w:bookmarkEnd w:id="242"/>
      <w:bookmarkEnd w:id="24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244" w:name="_Toc184818278"/>
      <w:bookmarkStart w:id="245" w:name="_Toc184819920"/>
      <w:bookmarkStart w:id="246" w:name="_Toc184820089"/>
      <w:bookmarkStart w:id="247" w:name="_Toc184823381"/>
      <w:r>
        <w:t>Subdivision 2</w:t>
      </w:r>
      <w:r>
        <w:rPr>
          <w:b w:val="0"/>
        </w:rPr>
        <w:t> — </w:t>
      </w:r>
      <w:r>
        <w:t xml:space="preserve">Offence under the </w:t>
      </w:r>
      <w:r>
        <w:rPr>
          <w:i/>
        </w:rPr>
        <w:t>Children and Community Services Act 2004</w:t>
      </w:r>
      <w:bookmarkEnd w:id="244"/>
      <w:bookmarkEnd w:id="245"/>
      <w:bookmarkEnd w:id="246"/>
      <w:bookmarkEnd w:id="24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248" w:name="_Toc184818279"/>
      <w:bookmarkStart w:id="249" w:name="_Toc184819921"/>
      <w:bookmarkStart w:id="250" w:name="_Toc184820090"/>
      <w:bookmarkStart w:id="251" w:name="_Toc184823382"/>
      <w:r>
        <w:t>Subdivision 3</w:t>
      </w:r>
      <w:r>
        <w:rPr>
          <w:b w:val="0"/>
        </w:rPr>
        <w:t> — </w:t>
      </w:r>
      <w:r>
        <w:t xml:space="preserve">Offences under </w:t>
      </w:r>
      <w:r>
        <w:rPr>
          <w:i/>
        </w:rPr>
        <w:t>The Criminal Code</w:t>
      </w:r>
      <w:bookmarkEnd w:id="248"/>
      <w:bookmarkEnd w:id="249"/>
      <w:bookmarkEnd w:id="250"/>
      <w:bookmarkEnd w:id="25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lastRenderedPageBreak/>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14A.</w:t>
            </w:r>
          </w:p>
        </w:tc>
        <w:tc>
          <w:tcPr>
            <w:tcW w:w="1276" w:type="dxa"/>
          </w:tcPr>
          <w:p>
            <w:pPr>
              <w:pStyle w:val="yTableNAm"/>
            </w:pPr>
            <w:r>
              <w:t>s. 300(1)</w:t>
            </w:r>
          </w:p>
        </w:tc>
        <w:tc>
          <w:tcPr>
            <w:tcW w:w="4819" w:type="dxa"/>
          </w:tcPr>
          <w:p>
            <w:pPr>
              <w:pStyle w:val="yTableNAm"/>
            </w:pPr>
            <w:r>
              <w:t>Persistent family violence</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lastRenderedPageBreak/>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Footnotesection"/>
      </w:pPr>
      <w:r>
        <w:tab/>
        <w:t>[Subdivision 3 amended: No. 28 of 2024 s. 46.]</w:t>
      </w:r>
    </w:p>
    <w:p>
      <w:pPr>
        <w:pStyle w:val="yHeading4"/>
        <w:spacing w:after="120"/>
      </w:pPr>
      <w:bookmarkStart w:id="252" w:name="_Toc184818280"/>
      <w:bookmarkStart w:id="253" w:name="_Toc184819922"/>
      <w:bookmarkStart w:id="254" w:name="_Toc184820091"/>
      <w:bookmarkStart w:id="255" w:name="_Toc184823383"/>
      <w:r>
        <w:t xml:space="preserve">Subdivision 4 — Offences under the </w:t>
      </w:r>
      <w:r>
        <w:rPr>
          <w:i/>
        </w:rPr>
        <w:t>Prostitution Act 2000</w:t>
      </w:r>
      <w:bookmarkEnd w:id="252"/>
      <w:bookmarkEnd w:id="253"/>
      <w:bookmarkEnd w:id="254"/>
      <w:bookmarkEnd w:id="25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lastRenderedPageBreak/>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256" w:name="_Toc184818281"/>
      <w:bookmarkStart w:id="257" w:name="_Toc184819923"/>
      <w:bookmarkStart w:id="258" w:name="_Toc184820092"/>
      <w:bookmarkStart w:id="259" w:name="_Toc184823384"/>
      <w:r>
        <w:t xml:space="preserve">Subdivision 5 — Offence under the </w:t>
      </w:r>
      <w:r>
        <w:rPr>
          <w:i/>
        </w:rPr>
        <w:t>Road Traffic Act 1974</w:t>
      </w:r>
      <w:bookmarkEnd w:id="256"/>
      <w:bookmarkEnd w:id="257"/>
      <w:bookmarkEnd w:id="258"/>
      <w:bookmarkEnd w:id="25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bCs/>
          <w:i/>
          <w:iCs/>
        </w:rPr>
      </w:pPr>
      <w:bookmarkStart w:id="260" w:name="_Toc184818282"/>
      <w:bookmarkStart w:id="261" w:name="_Toc184819924"/>
      <w:bookmarkStart w:id="262" w:name="_Toc184820093"/>
      <w:bookmarkStart w:id="263" w:name="_Toc184823385"/>
      <w:r>
        <w:rPr>
          <w:bCs/>
        </w:rPr>
        <w:t xml:space="preserve">Subdivision 6 — Offences under </w:t>
      </w:r>
      <w:r>
        <w:rPr>
          <w:bCs/>
          <w:i/>
          <w:iCs/>
        </w:rPr>
        <w:t>Western Australian Marine Act 1982</w:t>
      </w:r>
      <w:bookmarkEnd w:id="260"/>
      <w:bookmarkEnd w:id="261"/>
      <w:bookmarkEnd w:id="262"/>
      <w:bookmarkEnd w:id="263"/>
    </w:p>
    <w:p>
      <w:pPr>
        <w:pStyle w:val="yFootnoteheading"/>
      </w:pPr>
      <w:r>
        <w:tab/>
        <w:t>[Heading inserted: No. 31 of 2023 s. 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rPr>
                <w:szCs w:val="22"/>
              </w:rPr>
              <w:t>s. 75B(1)</w:t>
            </w:r>
          </w:p>
        </w:tc>
        <w:tc>
          <w:tcPr>
            <w:tcW w:w="4819" w:type="dxa"/>
            <w:noWrap/>
          </w:tcPr>
          <w:p>
            <w:pPr>
              <w:pStyle w:val="yTableNAm"/>
            </w:pPr>
            <w:r>
              <w:t>Navigation of vessel occasioning death while under influence of alcohol, a drug or alcohol and a drug</w:t>
            </w:r>
          </w:p>
        </w:tc>
      </w:tr>
      <w:tr>
        <w:trPr>
          <w:cantSplit/>
        </w:trPr>
        <w:tc>
          <w:tcPr>
            <w:tcW w:w="709" w:type="dxa"/>
            <w:noWrap/>
          </w:tcPr>
          <w:p>
            <w:pPr>
              <w:pStyle w:val="yTableNAm"/>
            </w:pPr>
            <w:r>
              <w:t>2.</w:t>
            </w:r>
          </w:p>
        </w:tc>
        <w:tc>
          <w:tcPr>
            <w:tcW w:w="1276" w:type="dxa"/>
            <w:noWrap/>
          </w:tcPr>
          <w:p>
            <w:pPr>
              <w:pStyle w:val="yTableNAm"/>
            </w:pPr>
            <w:r>
              <w:t>s. 75B(2)</w:t>
            </w:r>
          </w:p>
        </w:tc>
        <w:tc>
          <w:tcPr>
            <w:tcW w:w="4819" w:type="dxa"/>
            <w:noWrap/>
          </w:tcPr>
          <w:p>
            <w:pPr>
              <w:pStyle w:val="yTableNAm"/>
            </w:pPr>
            <w:r>
              <w:t>Dangerous navigation of vessel occasioning death</w:t>
            </w:r>
          </w:p>
        </w:tc>
      </w:tr>
      <w:tr>
        <w:trPr>
          <w:cantSplit/>
        </w:trPr>
        <w:tc>
          <w:tcPr>
            <w:tcW w:w="709" w:type="dxa"/>
            <w:noWrap/>
          </w:tcPr>
          <w:p>
            <w:pPr>
              <w:pStyle w:val="yTableNAm"/>
            </w:pPr>
            <w:r>
              <w:t>3.</w:t>
            </w:r>
          </w:p>
        </w:tc>
        <w:tc>
          <w:tcPr>
            <w:tcW w:w="1276" w:type="dxa"/>
            <w:noWrap/>
          </w:tcPr>
          <w:p>
            <w:pPr>
              <w:pStyle w:val="yTableNAm"/>
            </w:pPr>
            <w:r>
              <w:t>s. 75BA(1)</w:t>
            </w:r>
          </w:p>
        </w:tc>
        <w:tc>
          <w:tcPr>
            <w:tcW w:w="4819" w:type="dxa"/>
            <w:noWrap/>
          </w:tcPr>
          <w:p>
            <w:pPr>
              <w:pStyle w:val="yTableNAm"/>
            </w:pPr>
            <w:r>
              <w:t>Navigation of vessel occasioning grievous bodily harm while under influence of alcohol, a drug or alcohol and a drug</w:t>
            </w:r>
          </w:p>
        </w:tc>
      </w:tr>
      <w:tr>
        <w:trPr>
          <w:cantSplit/>
        </w:trPr>
        <w:tc>
          <w:tcPr>
            <w:tcW w:w="709" w:type="dxa"/>
            <w:noWrap/>
          </w:tcPr>
          <w:p>
            <w:pPr>
              <w:pStyle w:val="yTableNAm"/>
            </w:pPr>
            <w:r>
              <w:t>4.</w:t>
            </w:r>
          </w:p>
        </w:tc>
        <w:tc>
          <w:tcPr>
            <w:tcW w:w="1276" w:type="dxa"/>
            <w:noWrap/>
          </w:tcPr>
          <w:p>
            <w:pPr>
              <w:pStyle w:val="yTableNAm"/>
            </w:pPr>
            <w:r>
              <w:t>s. 75BA(2)</w:t>
            </w:r>
          </w:p>
        </w:tc>
        <w:tc>
          <w:tcPr>
            <w:tcW w:w="4819" w:type="dxa"/>
            <w:noWrap/>
          </w:tcPr>
          <w:p>
            <w:pPr>
              <w:pStyle w:val="yTableNAm"/>
            </w:pPr>
            <w:r>
              <w:t>Dangerous navigation of vessel occasioning grievous bodily harm</w:t>
            </w:r>
          </w:p>
        </w:tc>
      </w:tr>
    </w:tbl>
    <w:p>
      <w:pPr>
        <w:pStyle w:val="yFootnotesection"/>
      </w:pPr>
      <w:r>
        <w:tab/>
        <w:t>[Subdivision 6 inserted: No. 31 of 2023 s. 35.]</w:t>
      </w:r>
    </w:p>
    <w:p>
      <w:pPr>
        <w:pStyle w:val="yHeading3"/>
      </w:pPr>
      <w:bookmarkStart w:id="264" w:name="_Toc184818283"/>
      <w:bookmarkStart w:id="265" w:name="_Toc184819925"/>
      <w:bookmarkStart w:id="266" w:name="_Toc184820094"/>
      <w:bookmarkStart w:id="267" w:name="_Toc184823386"/>
      <w:r>
        <w:rPr>
          <w:rStyle w:val="CharSDivNo"/>
        </w:rPr>
        <w:lastRenderedPageBreak/>
        <w:t>Division 2</w:t>
      </w:r>
      <w:r>
        <w:t> — </w:t>
      </w:r>
      <w:r>
        <w:rPr>
          <w:rStyle w:val="CharSDivText"/>
        </w:rPr>
        <w:t>Offences that are serious offences if committed in specified circumstances</w:t>
      </w:r>
      <w:bookmarkEnd w:id="264"/>
      <w:bookmarkEnd w:id="265"/>
      <w:bookmarkEnd w:id="266"/>
      <w:bookmarkEnd w:id="267"/>
    </w:p>
    <w:p>
      <w:pPr>
        <w:pStyle w:val="yHeading4"/>
        <w:spacing w:after="120"/>
      </w:pPr>
      <w:bookmarkStart w:id="268" w:name="_Toc184818284"/>
      <w:bookmarkStart w:id="269" w:name="_Toc184819926"/>
      <w:bookmarkStart w:id="270" w:name="_Toc184820095"/>
      <w:bookmarkStart w:id="271" w:name="_Toc184823387"/>
      <w:r>
        <w:t xml:space="preserve">Subdivision 1 — Offence under </w:t>
      </w:r>
      <w:r>
        <w:rPr>
          <w:i/>
        </w:rPr>
        <w:t>The Criminal Code</w:t>
      </w:r>
      <w:bookmarkEnd w:id="268"/>
      <w:bookmarkEnd w:id="269"/>
      <w:bookmarkEnd w:id="270"/>
      <w:bookmarkEnd w:id="27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272" w:name="_Toc184818285"/>
      <w:bookmarkStart w:id="273" w:name="_Toc184819927"/>
      <w:bookmarkStart w:id="274" w:name="_Toc184820096"/>
      <w:bookmarkStart w:id="275" w:name="_Toc184823388"/>
      <w:r>
        <w:t xml:space="preserve">Subdivision 2 — Offence under the </w:t>
      </w:r>
      <w:r>
        <w:rPr>
          <w:i/>
        </w:rPr>
        <w:t>Prostitution Act 2000</w:t>
      </w:r>
      <w:bookmarkEnd w:id="272"/>
      <w:bookmarkEnd w:id="273"/>
      <w:bookmarkEnd w:id="274"/>
      <w:bookmarkEnd w:id="27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277" w:name="_Toc184818286"/>
      <w:bookmarkStart w:id="278" w:name="_Toc184819928"/>
      <w:bookmarkStart w:id="279" w:name="_Toc184820097"/>
      <w:bookmarkStart w:id="280" w:name="_Toc184823389"/>
      <w:r>
        <w:lastRenderedPageBreak/>
        <w:t>Notes</w:t>
      </w:r>
      <w:bookmarkEnd w:id="277"/>
      <w:bookmarkEnd w:id="278"/>
      <w:bookmarkEnd w:id="279"/>
      <w:bookmarkEnd w:id="280"/>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81" w:name="_Toc184823390"/>
      <w:r>
        <w:t>Compilation table</w:t>
      </w:r>
      <w:bookmarkEnd w:id="28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248" w:type="dxa"/>
            <w:tcBorders>
              <w:bottom w:val="nil"/>
            </w:tcBorders>
          </w:tcPr>
          <w:p>
            <w:pPr>
              <w:pStyle w:val="nTable"/>
              <w:spacing w:after="40"/>
            </w:pPr>
            <w:r>
              <w:t>9 Jul 2020</w:t>
            </w:r>
          </w:p>
        </w:tc>
        <w:tc>
          <w:tcPr>
            <w:tcW w:w="2438"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c>
          <w:tcPr>
            <w:tcW w:w="2268" w:type="dxa"/>
            <w:tcBorders>
              <w:top w:val="nil"/>
              <w:bottom w:val="nil"/>
            </w:tcBorders>
          </w:tcPr>
          <w:p>
            <w:pPr>
              <w:pStyle w:val="nTable"/>
              <w:spacing w:after="40"/>
              <w:rPr>
                <w:i/>
                <w:noProof/>
              </w:rPr>
            </w:pPr>
            <w:r>
              <w:rPr>
                <w:i/>
                <w:noProof/>
              </w:rPr>
              <w:t>Criminal Law (Mental Impairment) Act 2023</w:t>
            </w:r>
            <w:r>
              <w:rPr>
                <w:noProof/>
              </w:rPr>
              <w:t xml:space="preserve"> Pt. 15 Div. 17</w:t>
            </w:r>
          </w:p>
        </w:tc>
        <w:tc>
          <w:tcPr>
            <w:tcW w:w="1134" w:type="dxa"/>
            <w:tcBorders>
              <w:top w:val="nil"/>
              <w:bottom w:val="nil"/>
            </w:tcBorders>
          </w:tcPr>
          <w:p>
            <w:pPr>
              <w:pStyle w:val="nTable"/>
              <w:spacing w:after="40"/>
            </w:pPr>
            <w:r>
              <w:t>10 of 2023</w:t>
            </w:r>
          </w:p>
        </w:tc>
        <w:tc>
          <w:tcPr>
            <w:tcW w:w="1248" w:type="dxa"/>
            <w:tcBorders>
              <w:top w:val="nil"/>
              <w:bottom w:val="nil"/>
            </w:tcBorders>
          </w:tcPr>
          <w:p>
            <w:pPr>
              <w:pStyle w:val="nTable"/>
              <w:spacing w:after="40"/>
            </w:pPr>
            <w:r>
              <w:t>13 Apr 2023</w:t>
            </w:r>
          </w:p>
        </w:tc>
        <w:tc>
          <w:tcPr>
            <w:tcW w:w="2438" w:type="dxa"/>
            <w:tcBorders>
              <w:top w:val="nil"/>
              <w:bottom w:val="nil"/>
            </w:tcBorders>
          </w:tcPr>
          <w:p>
            <w:pPr>
              <w:pStyle w:val="nTable"/>
              <w:spacing w:after="40"/>
            </w:pPr>
            <w:r>
              <w:t>1 Sep 2024 (see s. 2(b) and SL 2024/175 cl. 2)</w:t>
            </w:r>
          </w:p>
        </w:tc>
      </w:tr>
      <w:tr>
        <w:tc>
          <w:tcPr>
            <w:tcW w:w="2268" w:type="dxa"/>
            <w:tcBorders>
              <w:top w:val="nil"/>
              <w:bottom w:val="nil"/>
            </w:tcBorders>
          </w:tcPr>
          <w:p>
            <w:pPr>
              <w:pStyle w:val="nTable"/>
              <w:spacing w:after="40"/>
              <w:rPr>
                <w:i/>
                <w:noProof/>
              </w:rPr>
            </w:pPr>
            <w:r>
              <w:rPr>
                <w:i/>
                <w:noProof/>
              </w:rPr>
              <w:t>Western Australian Marine Amendment Act 2023</w:t>
            </w:r>
            <w:r>
              <w:rPr>
                <w:iCs/>
                <w:noProof/>
              </w:rPr>
              <w:t xml:space="preserve"> s. 35</w:t>
            </w:r>
          </w:p>
        </w:tc>
        <w:tc>
          <w:tcPr>
            <w:tcW w:w="1134" w:type="dxa"/>
            <w:tcBorders>
              <w:top w:val="nil"/>
              <w:bottom w:val="nil"/>
            </w:tcBorders>
          </w:tcPr>
          <w:p>
            <w:pPr>
              <w:pStyle w:val="nTable"/>
              <w:spacing w:after="40"/>
            </w:pPr>
            <w:r>
              <w:t>31 of 2023</w:t>
            </w:r>
          </w:p>
        </w:tc>
        <w:tc>
          <w:tcPr>
            <w:tcW w:w="1248" w:type="dxa"/>
            <w:tcBorders>
              <w:top w:val="nil"/>
              <w:bottom w:val="nil"/>
            </w:tcBorders>
          </w:tcPr>
          <w:p>
            <w:pPr>
              <w:pStyle w:val="nTable"/>
              <w:spacing w:after="40"/>
            </w:pPr>
            <w:r>
              <w:t>11 Dec 2023</w:t>
            </w:r>
          </w:p>
        </w:tc>
        <w:tc>
          <w:tcPr>
            <w:tcW w:w="2438" w:type="dxa"/>
            <w:tcBorders>
              <w:top w:val="nil"/>
              <w:bottom w:val="nil"/>
            </w:tcBorders>
          </w:tcPr>
          <w:p>
            <w:pPr>
              <w:pStyle w:val="nTable"/>
              <w:spacing w:after="40"/>
            </w:pPr>
            <w:r>
              <w:t>21 Dec 2023 (see s. 2(c) and SL 2023/202 cl. 2(a))</w:t>
            </w:r>
          </w:p>
        </w:tc>
      </w:tr>
      <w:tr>
        <w:tc>
          <w:tcPr>
            <w:tcW w:w="2268" w:type="dxa"/>
            <w:tcBorders>
              <w:top w:val="nil"/>
              <w:bottom w:val="single" w:sz="4" w:space="0" w:color="auto"/>
            </w:tcBorders>
          </w:tcPr>
          <w:p>
            <w:pPr>
              <w:pStyle w:val="nTable"/>
              <w:spacing w:after="40"/>
              <w:rPr>
                <w:iCs/>
                <w:noProof/>
              </w:rPr>
            </w:pPr>
            <w:r>
              <w:rPr>
                <w:i/>
              </w:rPr>
              <w:t xml:space="preserve">Family Violence Legislation Reform Act 2024 </w:t>
            </w:r>
            <w:r>
              <w:rPr>
                <w:iCs/>
              </w:rPr>
              <w:t>Pt. 6</w:t>
            </w:r>
          </w:p>
        </w:tc>
        <w:tc>
          <w:tcPr>
            <w:tcW w:w="1134" w:type="dxa"/>
            <w:tcBorders>
              <w:top w:val="nil"/>
              <w:bottom w:val="single" w:sz="4" w:space="0" w:color="auto"/>
            </w:tcBorders>
          </w:tcPr>
          <w:p>
            <w:pPr>
              <w:pStyle w:val="nTable"/>
              <w:spacing w:after="40"/>
            </w:pPr>
            <w:r>
              <w:t>28 of 2024</w:t>
            </w:r>
          </w:p>
        </w:tc>
        <w:tc>
          <w:tcPr>
            <w:tcW w:w="1248" w:type="dxa"/>
            <w:tcBorders>
              <w:top w:val="nil"/>
              <w:bottom w:val="single" w:sz="4" w:space="0" w:color="auto"/>
            </w:tcBorders>
          </w:tcPr>
          <w:p>
            <w:pPr>
              <w:pStyle w:val="nTable"/>
              <w:spacing w:after="40"/>
            </w:pPr>
            <w:r>
              <w:t>17 Sep 2024</w:t>
            </w:r>
          </w:p>
        </w:tc>
        <w:tc>
          <w:tcPr>
            <w:tcW w:w="2438" w:type="dxa"/>
            <w:tcBorders>
              <w:top w:val="nil"/>
              <w:bottom w:val="single" w:sz="4" w:space="0" w:color="auto"/>
            </w:tcBorders>
          </w:tcPr>
          <w:p>
            <w:pPr>
              <w:pStyle w:val="nTable"/>
              <w:spacing w:after="40"/>
            </w:pPr>
            <w:r>
              <w:t>Pt. 6 (other than s. 43</w:t>
            </w:r>
            <w:r>
              <w:noBreakHyphen/>
              <w:t>45): 18 Sep 2024 (see s. 2(c));</w:t>
            </w:r>
            <w:r>
              <w:br/>
              <w:t>s. 43</w:t>
            </w:r>
            <w:r>
              <w:noBreakHyphen/>
              <w:t>45: 18 Dec 2024 (see s. 2(d) and SL 2024/249 cl. 2(c))</w:t>
            </w:r>
          </w:p>
        </w:tc>
      </w:tr>
    </w:tbl>
    <w:p>
      <w:pPr>
        <w:pStyle w:val="nHeading3"/>
      </w:pPr>
      <w:bookmarkStart w:id="282" w:name="_Toc184823391"/>
      <w:r>
        <w:t>Uncommenced provisions table</w:t>
      </w:r>
      <w:bookmarkEnd w:id="28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248" w:type="dxa"/>
            <w:tcBorders>
              <w:bottom w:val="single" w:sz="8" w:space="0" w:color="auto"/>
            </w:tcBorders>
          </w:tcPr>
          <w:p>
            <w:pPr>
              <w:pStyle w:val="nTable"/>
              <w:spacing w:after="40"/>
              <w:rPr>
                <w:b/>
              </w:rPr>
            </w:pPr>
            <w:r>
              <w:rPr>
                <w:b/>
              </w:rPr>
              <w:t>Assent</w:t>
            </w:r>
          </w:p>
        </w:tc>
        <w:tc>
          <w:tcPr>
            <w:tcW w:w="2438"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single" w:sz="4" w:space="0" w:color="auto"/>
            </w:tcBorders>
          </w:tcPr>
          <w:p>
            <w:pPr>
              <w:pStyle w:val="nTable"/>
              <w:spacing w:after="40"/>
            </w:pPr>
            <w:r>
              <w:t>29 of 2020</w:t>
            </w:r>
          </w:p>
        </w:tc>
        <w:tc>
          <w:tcPr>
            <w:tcW w:w="1248" w:type="dxa"/>
            <w:tcBorders>
              <w:bottom w:val="single" w:sz="4" w:space="0" w:color="auto"/>
            </w:tcBorders>
          </w:tcPr>
          <w:p>
            <w:pPr>
              <w:pStyle w:val="nTable"/>
              <w:spacing w:after="40"/>
            </w:pPr>
            <w:r>
              <w:t>9 Jul 2020</w:t>
            </w:r>
          </w:p>
        </w:tc>
        <w:tc>
          <w:tcPr>
            <w:tcW w:w="2438" w:type="dxa"/>
            <w:tcBorders>
              <w:bottom w:val="single" w:sz="4" w:space="0" w:color="auto"/>
            </w:tcBorders>
          </w:tcPr>
          <w:p>
            <w:pPr>
              <w:pStyle w:val="nTable"/>
              <w:spacing w:after="40"/>
            </w:pPr>
            <w:r>
              <w:t>To be proclaimed (see s. 2(1)(c))</w:t>
            </w:r>
          </w:p>
        </w:tc>
      </w:tr>
    </w:tbl>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84" w:name="_Toc184823392"/>
      <w:r>
        <w:rPr>
          <w:sz w:val="28"/>
        </w:rPr>
        <w:lastRenderedPageBreak/>
        <w:t>Defined terms</w:t>
      </w:r>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 81A(1)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36(1)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t>relevant application</w:t>
      </w:r>
      <w:r>
        <w:tab/>
        <w:t>59</w:t>
      </w:r>
    </w:p>
    <w:p>
      <w:pPr>
        <w:pStyle w:val="DefinedTerms"/>
      </w:pPr>
      <w:r>
        <w:lastRenderedPageBreak/>
        <w:t>relevant instruction</w:t>
      </w:r>
      <w:r>
        <w:tab/>
        <w:t>81A(1)</w:t>
      </w:r>
    </w:p>
    <w:p>
      <w:pPr>
        <w:pStyle w:val="DefinedTerms"/>
      </w:pPr>
      <w:r>
        <w:t>relevant matter</w:t>
      </w:r>
      <w:r>
        <w:tab/>
        <w:t>81A(1)</w:t>
      </w:r>
    </w:p>
    <w:p>
      <w:pPr>
        <w:pStyle w:val="DefinedTerms"/>
      </w:pPr>
      <w:r>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3, 5(1), (2), (3), (4), (5) and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unfit to stand trial</w:t>
      </w:r>
      <w:r>
        <w:tab/>
        <w:t>79(1)</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D275FA"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6684FC0" w14:textId="28CE00F4" w:rsidR="00A44C2B" w:rsidRDefault="001F4E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3F32">
                        <w:rPr>
                          <w:sz w:val="16"/>
                        </w:rPr>
                        <w:t>2024</w:t>
                      </w:r>
                      <w:r>
                        <w:rPr>
                          <w:sz w:val="16"/>
                        </w:rPr>
                        <w:fldChar w:fldCharType="end"/>
                      </w:r>
                      <w:r>
                        <w:rPr>
                          <w:sz w:val="16"/>
                        </w:rPr>
                        <w:t>.</w:t>
                      </w:r>
                    </w:p>
                    <w:p w14:paraId="2AC856F0" w14:textId="77777777" w:rsidR="00A44C2B" w:rsidRDefault="001F4E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BBF506" w14:textId="7297EE54" w:rsidR="00A44C2B" w:rsidRDefault="001F4E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3F32">
                        <w:rPr>
                          <w:sz w:val="16"/>
                        </w:rPr>
                        <w:t>2024</w:t>
                      </w:r>
                      <w:r>
                        <w:rPr>
                          <w:sz w:val="16"/>
                        </w:rPr>
                        <w:fldChar w:fldCharType="end"/>
                      </w:r>
                      <w:r>
                        <w:rPr>
                          <w:sz w:val="16"/>
                        </w:rPr>
                        <w:t>.</w:t>
                      </w:r>
                    </w:p>
                    <w:p w14:paraId="5FB3DE17" w14:textId="77777777" w:rsidR="00A44C2B" w:rsidRDefault="001F4EC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276" w:name="Schedule"/>
    <w:bookmarkEnd w:id="2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5" w:name="DefinedTerms"/>
    <w:bookmarkEnd w:id="28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942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401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 w:name="WAFER_2024091116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1163338_GUID" w:val="d1392b81-f142-4c91-ad7b-f0c0f30a0c72"/>
    <w:docVar w:name="WAFER_20241209123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3653_GUID" w:val="a5e8a57b-29b5-4e64-8d88-69cc80b7a0c6"/>
    <w:docVar w:name="WAFER_20241211140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40117_GUID" w:val="63fa0217-1634-43ee-81e3-4609b43184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19625</Words>
  <Characters>96556</Characters>
  <Application>Microsoft Office Word</Application>
  <DocSecurity>0</DocSecurity>
  <Lines>2925</Lines>
  <Paragraphs>1904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114277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2020 - 00-h0-00</dc:title>
  <dc:subject/>
  <dc:creator/>
  <cp:keywords/>
  <dc:description/>
  <cp:lastModifiedBy>Master Repository Process</cp:lastModifiedBy>
  <cp:revision>4</cp:revision>
  <cp:lastPrinted>2020-07-10T02:49:00Z</cp:lastPrinted>
  <dcterms:created xsi:type="dcterms:W3CDTF">2025-07-04T02:53:00Z</dcterms:created>
  <dcterms:modified xsi:type="dcterms:W3CDTF">2025-07-04T02:53:00Z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18 Dec 2024</vt:lpwstr>
  </property>
  <property fmtid="{D5CDD505-2E9C-101B-9397-08002B2CF9AE}" pid="6" name="Suffix">
    <vt:lpwstr>00-h0-00</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ies>
</file>