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(Parnngurr Restricted Area) Regulations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_Toc184983802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_Toc184983803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_Toc184983804 \h </w:instrText>
      </w:r>
      <w:r>
        <w:fldChar w:fldCharType="separate"/>
      </w:r>
      <w:r>
        <w:t>1</w:t>
      </w:r>
      <w:r>
        <w:fldChar w:fldCharType="end"/>
      </w:r>
    </w:p>
    <w:p>
      <w:pPr>
        <w:pStyle w:val="TOC8"/>
        <w:rPr>
          <w:rFonts w:asciiTheme="minorHAnsi" w:eastAsiaTheme="minorEastAsia" w:hAnsiTheme="minorHAnsi" w:cstheme="minorBidi"/>
          <w:szCs w:val="22"/>
        </w:rPr>
      </w:pPr>
      <w:r>
        <w:t>4.</w:t>
      </w:r>
      <w:r>
        <w:tab/>
        <w:t>Exempt person</w:t>
      </w:r>
      <w:r>
        <w:tab/>
      </w:r>
      <w:r>
        <w:fldChar w:fldCharType="begin"/>
      </w:r>
      <w:r>
        <w:instrText xml:space="preserve"> PAGEREF _Toc184983805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_Toc184983807 \h </w:instrText>
      </w:r>
      <w:r>
        <w:fldChar w:fldCharType="separate"/>
      </w:r>
      <w:r>
        <w:t>3</w:t>
      </w:r>
      <w:r>
        <w:fldChar w:fldCharType="end"/>
      </w:r>
    </w:p>
    <w:p>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_Toc184983808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8.</w:t>
      </w:r>
      <w:r>
        <w:tab/>
        <w:t>Prohibitions as to liquor in the Parnngurr Aboriginal Community</w:t>
      </w:r>
      <w:r>
        <w:tab/>
      </w:r>
      <w:r>
        <w:fldChar w:fldCharType="begin"/>
      </w:r>
      <w:r>
        <w:instrText xml:space="preserve"> PAGEREF _Toc184983810 \h </w:instrText>
      </w:r>
      <w:r>
        <w:fldChar w:fldCharType="separate"/>
      </w:r>
      <w:r>
        <w:t>4</w:t>
      </w:r>
      <w:r>
        <w:fldChar w:fldCharType="end"/>
      </w:r>
    </w:p>
    <w:p>
      <w:pPr>
        <w:pStyle w:val="TOC8"/>
        <w:rPr>
          <w:rFonts w:asciiTheme="minorHAnsi" w:eastAsiaTheme="minorEastAsia" w:hAnsiTheme="minorHAnsi" w:cstheme="minorBidi"/>
          <w:szCs w:val="22"/>
        </w:rPr>
      </w:pPr>
      <w:r>
        <w:t>9.</w:t>
      </w:r>
      <w:r>
        <w:tab/>
        <w:t>Exception to r. 8</w:t>
      </w:r>
      <w:r>
        <w:tab/>
      </w:r>
      <w:r>
        <w:fldChar w:fldCharType="begin"/>
      </w:r>
      <w:r>
        <w:instrText xml:space="preserve"> PAGEREF _Toc184983811 \h </w:instrText>
      </w:r>
      <w:r>
        <w:fldChar w:fldCharType="separate"/>
      </w:r>
      <w:r>
        <w:t>4</w:t>
      </w:r>
      <w:r>
        <w:fldChar w:fldCharType="end"/>
      </w:r>
    </w:p>
    <w:p>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_Toc184983812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_Toc184983814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_Toc184983816 \h </w:instrText>
      </w:r>
      <w:r>
        <w:fldChar w:fldCharType="separate"/>
      </w:r>
      <w:r>
        <w:t>6</w:t>
      </w:r>
      <w:r>
        <w:fldChar w:fldCharType="end"/>
      </w:r>
    </w:p>
    <w:p>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_Toc184983817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_Toc184983819 \h </w:instrText>
      </w:r>
      <w:r>
        <w:fldChar w:fldCharType="separate"/>
      </w:r>
      <w:r>
        <w:t>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_Toc184983820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(Parnngurr Restricted Area) Regulations 2018</w:t>
      </w:r>
    </w:p>
    <w:p>
      <w:pPr>
        <w:pStyle w:val="Heading2"/>
        <w:pageBreakBefore w:val="0"/>
        <w:spacing w:before="240"/>
      </w:pPr>
      <w:bookmarkStart w:id="2" w:name="_Toc184976371"/>
      <w:bookmarkStart w:id="3" w:name="_Toc184977057"/>
      <w:bookmarkStart w:id="4" w:name="_Toc184983801"/>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4983802"/>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7" w:name="_Toc18498380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8" w:name="_Toc184983804"/>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2020 (GDA2020) coordinates —</w:t>
      </w:r>
    </w:p>
    <w:p>
      <w:pPr>
        <w:pStyle w:val="Defpara"/>
      </w:pPr>
      <w:r>
        <w:tab/>
        <w:t>(a)</w:t>
      </w:r>
      <w:r>
        <w:tab/>
        <w:t>22.817097°S;</w:t>
      </w:r>
    </w:p>
    <w:p>
      <w:pPr>
        <w:pStyle w:val="Defpara"/>
      </w:pPr>
      <w:r>
        <w:tab/>
        <w:t>(b)</w:t>
      </w:r>
      <w:r>
        <w:tab/>
        <w:t>122.597667°E.</w:t>
      </w:r>
    </w:p>
    <w:p>
      <w:pPr>
        <w:pStyle w:val="Footnotesection"/>
      </w:pPr>
      <w:r>
        <w:tab/>
        <w:t>[Regulation 3 amended: SL 2021/209 r. 4.]</w:t>
      </w:r>
    </w:p>
    <w:p>
      <w:pPr>
        <w:pStyle w:val="Heading5"/>
      </w:pPr>
      <w:bookmarkStart w:id="9" w:name="_Toc184983805"/>
      <w:r>
        <w:rPr>
          <w:rStyle w:val="CharSectno"/>
        </w:rPr>
        <w:lastRenderedPageBreak/>
        <w:t>4</w:t>
      </w:r>
      <w:r>
        <w:t>.</w:t>
      </w:r>
      <w:r>
        <w:tab/>
        <w:t>Exempt person</w:t>
      </w:r>
      <w:bookmarkEnd w:id="9"/>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Ednotesection"/>
      </w:pPr>
      <w:r>
        <w:t>[</w:t>
      </w:r>
      <w:r>
        <w:rPr>
          <w:b/>
        </w:rPr>
        <w:t>5.</w:t>
      </w:r>
      <w:r>
        <w:tab/>
        <w:t>Deleted: SL</w:t>
      </w:r>
      <w:r>
        <w:rPr>
          <w:b/>
        </w:rPr>
        <w:t> </w:t>
      </w:r>
      <w:r>
        <w:t>2021/113 r. 4.]</w:t>
      </w:r>
    </w:p>
    <w:p>
      <w:pPr>
        <w:pStyle w:val="Heading2"/>
      </w:pPr>
      <w:bookmarkStart w:id="10" w:name="_Toc184976376"/>
      <w:bookmarkStart w:id="11" w:name="_Toc184977062"/>
      <w:bookmarkStart w:id="12" w:name="_Toc184983806"/>
      <w:r>
        <w:rPr>
          <w:rStyle w:val="CharPartNo"/>
        </w:rPr>
        <w:lastRenderedPageBreak/>
        <w:t>Part 2</w:t>
      </w:r>
      <w:r>
        <w:rPr>
          <w:rStyle w:val="CharDivNo"/>
        </w:rPr>
        <w:t> </w:t>
      </w:r>
      <w:r>
        <w:t>—</w:t>
      </w:r>
      <w:r>
        <w:rPr>
          <w:rStyle w:val="CharDivText"/>
        </w:rPr>
        <w:t> </w:t>
      </w:r>
      <w:r>
        <w:rPr>
          <w:rStyle w:val="CharPartText"/>
        </w:rPr>
        <w:t>Restricted area</w:t>
      </w:r>
      <w:bookmarkEnd w:id="10"/>
      <w:bookmarkEnd w:id="11"/>
      <w:bookmarkEnd w:id="12"/>
    </w:p>
    <w:p>
      <w:pPr>
        <w:pStyle w:val="Heading5"/>
      </w:pPr>
      <w:bookmarkStart w:id="13" w:name="_Toc184983807"/>
      <w:r>
        <w:rPr>
          <w:rStyle w:val="CharSectno"/>
        </w:rPr>
        <w:t>6</w:t>
      </w:r>
      <w:r>
        <w:t>.</w:t>
      </w:r>
      <w:r>
        <w:tab/>
        <w:t>Declaration of restricted area</w:t>
      </w:r>
      <w:bookmarkEnd w:id="13"/>
    </w:p>
    <w:p>
      <w:pPr>
        <w:pStyle w:val="Subsection"/>
      </w:pPr>
      <w:r>
        <w:tab/>
      </w:r>
      <w:r>
        <w:tab/>
        <w:t>The Parnngurr Aboriginal Community is declared to be a restricted area for the purposes of section 175(1a) of the Act.</w:t>
      </w:r>
    </w:p>
    <w:p>
      <w:pPr>
        <w:pStyle w:val="Heading5"/>
      </w:pPr>
      <w:bookmarkStart w:id="14" w:name="_Toc184983808"/>
      <w:r>
        <w:rPr>
          <w:rStyle w:val="CharSectno"/>
        </w:rPr>
        <w:t>7</w:t>
      </w:r>
      <w:r>
        <w:t>.</w:t>
      </w:r>
      <w:r>
        <w:tab/>
        <w:t>Notice of restricted area</w:t>
      </w:r>
      <w:bookmarkEnd w:id="14"/>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15" w:name="_Toc184976379"/>
      <w:bookmarkStart w:id="16" w:name="_Toc184977065"/>
      <w:bookmarkStart w:id="17" w:name="_Toc184983809"/>
      <w:r>
        <w:rPr>
          <w:rStyle w:val="CharPartNo"/>
        </w:rPr>
        <w:lastRenderedPageBreak/>
        <w:t>Part 3</w:t>
      </w:r>
      <w:r>
        <w:rPr>
          <w:rStyle w:val="CharDivNo"/>
        </w:rPr>
        <w:t> </w:t>
      </w:r>
      <w:r>
        <w:t>—</w:t>
      </w:r>
      <w:r>
        <w:rPr>
          <w:rStyle w:val="CharDivText"/>
        </w:rPr>
        <w:t> </w:t>
      </w:r>
      <w:r>
        <w:rPr>
          <w:rStyle w:val="CharPartText"/>
        </w:rPr>
        <w:t>Prohibitions and related provisions</w:t>
      </w:r>
      <w:bookmarkEnd w:id="15"/>
      <w:bookmarkEnd w:id="16"/>
      <w:bookmarkEnd w:id="17"/>
    </w:p>
    <w:p>
      <w:pPr>
        <w:pStyle w:val="Heading5"/>
      </w:pPr>
      <w:bookmarkStart w:id="18" w:name="_Toc184983810"/>
      <w:r>
        <w:rPr>
          <w:rStyle w:val="CharSectno"/>
        </w:rPr>
        <w:t>8</w:t>
      </w:r>
      <w:r>
        <w:t>.</w:t>
      </w:r>
      <w:r>
        <w:tab/>
        <w:t>Prohibitions as to liquor in the Parnngurr Aboriginal Community</w:t>
      </w:r>
      <w:bookmarkEnd w:id="18"/>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9" w:name="_Toc184983811"/>
      <w:r>
        <w:rPr>
          <w:rStyle w:val="CharSectno"/>
        </w:rPr>
        <w:t>9</w:t>
      </w:r>
      <w:r>
        <w:t>.</w:t>
      </w:r>
      <w:r>
        <w:tab/>
        <w:t>Exception to r. 8</w:t>
      </w:r>
      <w:bookmarkEnd w:id="19"/>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20" w:name="_Toc184983812"/>
      <w:r>
        <w:rPr>
          <w:rStyle w:val="CharSectno"/>
        </w:rPr>
        <w:t>10</w:t>
      </w:r>
      <w:r>
        <w:t>.</w:t>
      </w:r>
      <w:r>
        <w:tab/>
        <w:t>Seizure and disposal of containers of liquor</w:t>
      </w:r>
      <w:bookmarkEnd w:id="20"/>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21" w:name="_Toc184976383"/>
      <w:bookmarkStart w:id="22" w:name="_Toc184977069"/>
      <w:bookmarkStart w:id="23" w:name="_Toc184983813"/>
      <w:r>
        <w:rPr>
          <w:rStyle w:val="CharPartNo"/>
        </w:rPr>
        <w:lastRenderedPageBreak/>
        <w:t>Part 4</w:t>
      </w:r>
      <w:r>
        <w:rPr>
          <w:rStyle w:val="CharDivNo"/>
        </w:rPr>
        <w:t> </w:t>
      </w:r>
      <w:r>
        <w:t>—</w:t>
      </w:r>
      <w:r>
        <w:rPr>
          <w:rStyle w:val="CharDivText"/>
        </w:rPr>
        <w:t> </w:t>
      </w:r>
      <w:r>
        <w:rPr>
          <w:rStyle w:val="CharPartText"/>
        </w:rPr>
        <w:t>Period of effect</w:t>
      </w:r>
      <w:bookmarkEnd w:id="21"/>
      <w:bookmarkEnd w:id="22"/>
      <w:bookmarkEnd w:id="23"/>
    </w:p>
    <w:p>
      <w:pPr>
        <w:pStyle w:val="Heading5"/>
      </w:pPr>
      <w:bookmarkStart w:id="24" w:name="_Toc184983814"/>
      <w:r>
        <w:rPr>
          <w:rStyle w:val="CharSectno"/>
        </w:rPr>
        <w:t>11</w:t>
      </w:r>
      <w:r>
        <w:t>.</w:t>
      </w:r>
      <w:r>
        <w:tab/>
        <w:t>Period during which these regulations have effect</w:t>
      </w:r>
      <w:bookmarkEnd w:id="24"/>
    </w:p>
    <w:p>
      <w:pPr>
        <w:pStyle w:val="Subsection"/>
      </w:pPr>
      <w:r>
        <w:tab/>
      </w:r>
      <w:r>
        <w:tab/>
        <w:t>Unless sooner repealed, these regulations have effect for the period that ends at the close of 7 January 2035.</w:t>
      </w:r>
    </w:p>
    <w:p>
      <w:pPr>
        <w:pStyle w:val="Footnotesection"/>
      </w:pPr>
      <w:r>
        <w:tab/>
        <w:t>[Regulation 11 inserted: SL 2021/113 r. 5; amended: SL 2021/209 r. 5; SL 2024/273 r. 6.]</w:t>
      </w:r>
    </w:p>
    <w:p>
      <w:pPr>
        <w:pStyle w:val="Heading2"/>
      </w:pPr>
      <w:bookmarkStart w:id="25" w:name="_Toc184976385"/>
      <w:bookmarkStart w:id="26" w:name="_Toc184977071"/>
      <w:bookmarkStart w:id="27" w:name="_Toc184983815"/>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5"/>
      <w:bookmarkEnd w:id="26"/>
      <w:bookmarkEnd w:id="27"/>
    </w:p>
    <w:p>
      <w:pPr>
        <w:pStyle w:val="Heading5"/>
      </w:pPr>
      <w:bookmarkStart w:id="28" w:name="_Toc184983816"/>
      <w:r>
        <w:rPr>
          <w:rStyle w:val="CharSectno"/>
        </w:rPr>
        <w:t>12</w:t>
      </w:r>
      <w:r>
        <w:t>.</w:t>
      </w:r>
      <w:r>
        <w:tab/>
        <w:t>Regulations amended</w:t>
      </w:r>
      <w:bookmarkEnd w:id="28"/>
    </w:p>
    <w:p>
      <w:pPr>
        <w:pStyle w:val="Subsection"/>
      </w:pPr>
      <w:r>
        <w:tab/>
      </w:r>
      <w:r>
        <w:tab/>
        <w:t xml:space="preserve">This Part amends the </w:t>
      </w:r>
      <w:r>
        <w:rPr>
          <w:i/>
        </w:rPr>
        <w:t>Liquor Control Regulations 1989</w:t>
      </w:r>
      <w:r>
        <w:t>.</w:t>
      </w:r>
    </w:p>
    <w:p>
      <w:pPr>
        <w:pStyle w:val="Heading5"/>
      </w:pPr>
      <w:bookmarkStart w:id="29" w:name="_Toc184983817"/>
      <w:r>
        <w:rPr>
          <w:rStyle w:val="CharSectno"/>
        </w:rPr>
        <w:t>13</w:t>
      </w:r>
      <w:r>
        <w:t>.</w:t>
      </w:r>
      <w:r>
        <w:tab/>
        <w:t>Regulation 27 amended</w:t>
      </w:r>
      <w:bookmarkEnd w:id="29"/>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30" w:name="_Toc184976388"/>
      <w:bookmarkStart w:id="31" w:name="_Toc184977074"/>
      <w:bookmarkStart w:id="32" w:name="_Toc184983818"/>
      <w:r>
        <w:lastRenderedPageBreak/>
        <w:t>Notes</w:t>
      </w:r>
      <w:bookmarkEnd w:id="30"/>
      <w:bookmarkEnd w:id="31"/>
      <w:bookmarkEnd w:id="32"/>
    </w:p>
    <w:p>
      <w:pPr>
        <w:pStyle w:val="nStatement"/>
      </w:pPr>
      <w:r>
        <w:t xml:space="preserve">This is a compilation of the </w:t>
      </w:r>
      <w:r>
        <w:rPr>
          <w:i/>
          <w:noProof/>
        </w:rPr>
        <w:t>Liquor Control (Parnngurr Restricted Area) Regulations 2018</w:t>
      </w:r>
      <w:r>
        <w:t xml:space="preserve"> and includes amendments made by other written laws. For provisions that have come into operation see the compilation table.</w:t>
      </w:r>
    </w:p>
    <w:p>
      <w:pPr>
        <w:pStyle w:val="nHeading3"/>
      </w:pPr>
      <w:bookmarkStart w:id="33" w:name="_Toc184983819"/>
      <w:r>
        <w:t>Compilation table</w:t>
      </w:r>
      <w:bookmarkEnd w:id="3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(Parnngurr Restricted Area) Regulations 2018</w:t>
            </w:r>
            <w:r>
              <w:rPr>
                <w:vertAlign w:val="superscript"/>
              </w:rPr>
              <w:t> 1</w:t>
            </w:r>
          </w:p>
        </w:tc>
        <w:tc>
          <w:tcPr>
            <w:tcW w:w="1276" w:type="dxa"/>
            <w:tcBorders>
              <w:bottom w:val="nil"/>
            </w:tcBorders>
          </w:tcPr>
          <w:p>
            <w:pPr>
              <w:pStyle w:val="nTable"/>
              <w:spacing w:after="40"/>
            </w:pPr>
            <w:r>
              <w:t>6 Jul 2018 p. 2546</w:t>
            </w:r>
            <w:r>
              <w:noBreakHyphen/>
              <w:t>8</w:t>
            </w:r>
          </w:p>
        </w:tc>
        <w:tc>
          <w:tcPr>
            <w:tcW w:w="2693" w:type="dxa"/>
            <w:tcBorders>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r>
        <w:tc>
          <w:tcPr>
            <w:tcW w:w="3118" w:type="dxa"/>
            <w:tcBorders>
              <w:top w:val="nil"/>
              <w:bottom w:val="nil"/>
            </w:tcBorders>
          </w:tcPr>
          <w:p>
            <w:pPr>
              <w:pStyle w:val="nTable"/>
              <w:spacing w:after="40"/>
              <w:rPr>
                <w:i/>
                <w:noProof/>
              </w:rPr>
            </w:pPr>
            <w:r>
              <w:rPr>
                <w:i/>
                <w:noProof/>
              </w:rPr>
              <w:t>Liquor Control (Parnngurr Restricted Area) Amendment Regulations 2021</w:t>
            </w:r>
          </w:p>
        </w:tc>
        <w:tc>
          <w:tcPr>
            <w:tcW w:w="1276" w:type="dxa"/>
            <w:tcBorders>
              <w:top w:val="nil"/>
              <w:bottom w:val="nil"/>
            </w:tcBorders>
          </w:tcPr>
          <w:p>
            <w:pPr>
              <w:pStyle w:val="nTable"/>
              <w:spacing w:after="40"/>
            </w:pPr>
            <w:r>
              <w:t>SL 2021/113</w:t>
            </w:r>
            <w:r>
              <w:br/>
              <w:t>2 Jul 2021</w:t>
            </w:r>
          </w:p>
        </w:tc>
        <w:tc>
          <w:tcPr>
            <w:tcW w:w="2693" w:type="dxa"/>
            <w:tcBorders>
              <w:top w:val="nil"/>
              <w:bottom w:val="nil"/>
            </w:tcBorders>
          </w:tcPr>
          <w:p>
            <w:pPr>
              <w:pStyle w:val="nTable"/>
              <w:spacing w:after="40"/>
              <w:rPr>
                <w:snapToGrid w:val="0"/>
              </w:rPr>
            </w:pPr>
            <w:r>
              <w:rPr>
                <w:snapToGrid w:val="0"/>
              </w:rPr>
              <w:t>r. 1 and 2: 2 Jul 2021 (see r. 2(a));</w:t>
            </w:r>
            <w:r>
              <w:rPr>
                <w:snapToGrid w:val="0"/>
              </w:rPr>
              <w:br/>
              <w:t>Regulations other than r. 1 and 2: 3 Jul 2021</w:t>
            </w:r>
            <w:r>
              <w:t xml:space="preserve"> (see r. 2(b))</w:t>
            </w:r>
          </w:p>
        </w:tc>
      </w:tr>
      <w:tr>
        <w:tc>
          <w:tcPr>
            <w:tcW w:w="3118" w:type="dxa"/>
            <w:tcBorders>
              <w:top w:val="nil"/>
              <w:bottom w:val="nil"/>
            </w:tcBorders>
          </w:tcPr>
          <w:p>
            <w:pPr>
              <w:pStyle w:val="nTable"/>
              <w:spacing w:after="40"/>
              <w:rPr>
                <w:i/>
                <w:noProof/>
              </w:rPr>
            </w:pPr>
            <w:r>
              <w:rPr>
                <w:i/>
              </w:rPr>
              <w:t>Liquor Control (Parnngurr Restricted Area) Amendment Regulations (No. 2) 2021</w:t>
            </w:r>
          </w:p>
        </w:tc>
        <w:tc>
          <w:tcPr>
            <w:tcW w:w="1276" w:type="dxa"/>
            <w:tcBorders>
              <w:top w:val="nil"/>
              <w:bottom w:val="nil"/>
            </w:tcBorders>
          </w:tcPr>
          <w:p>
            <w:pPr>
              <w:pStyle w:val="nTable"/>
              <w:spacing w:after="40"/>
            </w:pPr>
            <w:r>
              <w:t>SL 2021/209 17 Dec 2021</w:t>
            </w:r>
          </w:p>
        </w:tc>
        <w:tc>
          <w:tcPr>
            <w:tcW w:w="2693" w:type="dxa"/>
            <w:tcBorders>
              <w:top w:val="nil"/>
              <w:bottom w:val="nil"/>
            </w:tcBorders>
          </w:tcPr>
          <w:p>
            <w:pPr>
              <w:pStyle w:val="nTable"/>
              <w:spacing w:after="40"/>
              <w:rPr>
                <w:snapToGrid w:val="0"/>
              </w:rPr>
            </w:pPr>
            <w:r>
              <w:rPr>
                <w:snapToGrid w:val="0"/>
              </w:rPr>
              <w:t>r. 1 and 2: 17 Dec 2021 (see r. 2(a));</w:t>
            </w:r>
            <w:r>
              <w:rPr>
                <w:snapToGrid w:val="0"/>
              </w:rPr>
              <w:br/>
              <w:t>Regulations other than r. 1 and 2: 18 Dec 2021 (see r. 2(b))</w:t>
            </w:r>
          </w:p>
        </w:tc>
      </w:tr>
      <w:tr>
        <w:tc>
          <w:tcPr>
            <w:tcW w:w="3118" w:type="dxa"/>
            <w:tcBorders>
              <w:top w:val="nil"/>
              <w:bottom w:val="single" w:sz="4" w:space="0" w:color="auto"/>
            </w:tcBorders>
          </w:tcPr>
          <w:p>
            <w:pPr>
              <w:pStyle w:val="nTable"/>
              <w:spacing w:after="40"/>
              <w:rPr>
                <w:i/>
              </w:rPr>
            </w:pPr>
            <w:r>
              <w:rPr>
                <w:i/>
              </w:rPr>
              <w:t xml:space="preserve">Racing and Gaming Regulations Amendment (Liquor Control) Regulations (No. 5) 2024 </w:t>
            </w:r>
            <w:r>
              <w:rPr>
                <w:iCs/>
              </w:rPr>
              <w:t>Pt. 3</w:t>
            </w:r>
          </w:p>
        </w:tc>
        <w:tc>
          <w:tcPr>
            <w:tcW w:w="1276" w:type="dxa"/>
            <w:tcBorders>
              <w:top w:val="nil"/>
              <w:bottom w:val="single" w:sz="4" w:space="0" w:color="auto"/>
            </w:tcBorders>
          </w:tcPr>
          <w:p>
            <w:pPr>
              <w:pStyle w:val="nTable"/>
              <w:spacing w:after="40"/>
            </w:pPr>
            <w:r>
              <w:t>SL 2024/273 18 Dec 2024</w:t>
            </w:r>
          </w:p>
        </w:tc>
        <w:tc>
          <w:tcPr>
            <w:tcW w:w="2693" w:type="dxa"/>
            <w:tcBorders>
              <w:top w:val="nil"/>
              <w:bottom w:val="single" w:sz="4" w:space="0" w:color="auto"/>
            </w:tcBorders>
          </w:tcPr>
          <w:p>
            <w:pPr>
              <w:pStyle w:val="nTable"/>
              <w:spacing w:after="40"/>
              <w:rPr>
                <w:snapToGrid w:val="0"/>
              </w:rPr>
            </w:pPr>
            <w:r>
              <w:rPr>
                <w:snapToGrid w:val="0"/>
              </w:rPr>
              <w:t>19 Dec 2024 (see r. 2(b))</w:t>
            </w:r>
          </w:p>
        </w:tc>
      </w:tr>
    </w:tbl>
    <w:p>
      <w:pPr>
        <w:pStyle w:val="nHeading3"/>
      </w:pPr>
      <w:bookmarkStart w:id="34" w:name="_Toc184983820"/>
      <w:r>
        <w:t>Other notes</w:t>
      </w:r>
      <w:bookmarkEnd w:id="34"/>
    </w:p>
    <w:p>
      <w:pPr>
        <w:pStyle w:val="nNote"/>
      </w:pPr>
      <w:r>
        <w:rPr>
          <w:vertAlign w:val="superscript"/>
        </w:rPr>
        <w:t>1</w:t>
      </w:r>
      <w:r>
        <w:tab/>
        <w:t>These regulations expire at the close of 7 Jan 2035 (see r. 11).</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36" w:name="_Toc184976391"/>
      <w:bookmarkStart w:id="37" w:name="_Toc184977077"/>
      <w:bookmarkStart w:id="38" w:name="_Toc184983821"/>
      <w:r>
        <w:rPr>
          <w:sz w:val="28"/>
        </w:rPr>
        <w:lastRenderedPageBreak/>
        <w:t>Defined terms</w:t>
      </w:r>
      <w:bookmarkEnd w:id="36"/>
      <w:bookmarkEnd w:id="37"/>
      <w:bookmarkEnd w:id="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3, 4</w:t>
      </w:r>
    </w:p>
    <w:p>
      <w:pPr>
        <w:pStyle w:val="DefinedTerms"/>
      </w:pPr>
      <w:r>
        <w:t>Parnngurr Aboriginal Community</w:t>
      </w:r>
      <w:r>
        <w:tab/>
        <w:t>3</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2337A5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A1585C4" w14:textId="7F35754F" w:rsidR="003331DA" w:rsidRDefault="003331D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25141">
                        <w:rPr>
                          <w:sz w:val="16"/>
                        </w:rPr>
                        <w:t>2024</w:t>
                      </w:r>
                      <w:r>
                        <w:rPr>
                          <w:sz w:val="16"/>
                        </w:rPr>
                        <w:fldChar w:fldCharType="end"/>
                      </w:r>
                      <w:r>
                        <w:rPr>
                          <w:sz w:val="16"/>
                        </w:rPr>
                        <w:t>.</w:t>
                      </w:r>
                    </w:p>
                    <w:p w14:paraId="16B98C38" w14:textId="77777777" w:rsidR="003331DA" w:rsidRDefault="003331D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744F5EA" w14:textId="38E1ADBE" w:rsidR="003331DA" w:rsidRDefault="003331D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25141">
                        <w:rPr>
                          <w:sz w:val="16"/>
                        </w:rPr>
                        <w:t>2024</w:t>
                      </w:r>
                      <w:r>
                        <w:rPr>
                          <w:sz w:val="16"/>
                        </w:rPr>
                        <w:fldChar w:fldCharType="end"/>
                      </w:r>
                      <w:r>
                        <w:rPr>
                          <w:sz w:val="16"/>
                        </w:rPr>
                        <w:t>.</w:t>
                      </w:r>
                    </w:p>
                    <w:p w14:paraId="5B9B0D57" w14:textId="77777777" w:rsidR="003331DA" w:rsidRDefault="003331D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 w:name="DefinedTerms"/>
    <w:bookmarkEnd w:id="3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0" w:name="Coversheet"/>
    <w:bookmarkEnd w:id="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09581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 w:name="WAFER_202106301033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30103306_GUID" w:val="30d679a2-5fce-4b6e-9eaf-bf32c124d7da"/>
    <w:docVar w:name="WAFER_202106301033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30103332_GUID" w:val="aff715d5-df19-462f-97b2-7eef197dc282"/>
    <w:docVar w:name="WAFER_202112151108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215110837_GUID" w:val="ca468b6d-9cee-42bc-aba7-a02397da6b2d"/>
    <w:docVar w:name="WAFER_2024121309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3095814_GUID" w:val="fc260a36-fc93-412a-a18c-8f4e676a46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B84B6359-47FF-4EE5-9C64-EAD8414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A371D-65DB-4A6F-BDBC-48902521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1164</Words>
  <Characters>5755</Characters>
  <Application>Microsoft Office Word</Application>
  <DocSecurity>0</DocSecurity>
  <Lines>213</Lines>
  <Paragraphs>147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2018 - 00-d0-00</dc:title>
  <dc:subject/>
  <dc:creator/>
  <cp:keywords/>
  <dc:description/>
  <cp:lastModifiedBy>Master Repository Process</cp:lastModifiedBy>
  <cp:revision>4</cp:revision>
  <cp:lastPrinted>2018-06-18T04:16:00Z</cp:lastPrinted>
  <dcterms:created xsi:type="dcterms:W3CDTF">2025-07-04T06:39:00Z</dcterms:created>
  <dcterms:modified xsi:type="dcterms:W3CDTF">2025-07-04T06:39:00Z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19 Dec 2024</vt:lpwstr>
  </property>
  <property fmtid="{D5CDD505-2E9C-101B-9397-08002B2CF9AE}" pid="4" name="Suffix">
    <vt:lpwstr>00-d0-00</vt:lpwstr>
  </property>
  <property fmtid="{D5CDD505-2E9C-101B-9397-08002B2CF9AE}" pid="5" name="Official">
    <vt:lpwstr/>
  </property>
  <property fmtid="{D5CDD505-2E9C-101B-9397-08002B2CF9AE}" pid="6" name="CommencementDate">
    <vt:lpwstr>20241219</vt:lpwstr>
  </property>
  <property fmtid="{D5CDD505-2E9C-101B-9397-08002B2CF9AE}" pid="7" name="CommencementAsAt">
    <vt:filetime>2024-12-18T16:00:00Z</vt:filetime>
  </property>
  <property fmtid="{D5CDD505-2E9C-101B-9397-08002B2CF9AE}" pid="8" name="CommencementYear">
    <vt:lpwstr>2024</vt:lpwstr>
  </property>
</Properties>
</file>