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Weapons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Weapons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Weapons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_Toc184993392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_Toc184993393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_Toc184993394 \h </w:instrText>
      </w:r>
      <w:r>
        <w:fldChar w:fldCharType="separate"/>
      </w:r>
      <w:r>
        <w:t>1</w:t>
      </w:r>
      <w:r>
        <w:fldChar w:fldCharType="end"/>
      </w:r>
    </w:p>
    <w:p>
      <w:pPr>
        <w:pStyle w:val="TOC8"/>
        <w:rPr>
          <w:rFonts w:asciiTheme="minorHAnsi" w:eastAsiaTheme="minorEastAsia" w:hAnsiTheme="minorHAnsi" w:cstheme="minorBidi"/>
          <w:szCs w:val="22"/>
        </w:rPr>
      </w:pPr>
      <w:r>
        <w:t>4.</w:t>
      </w:r>
      <w:r>
        <w:tab/>
        <w:t>Prohibited weapons prescribed (Act s. 3) (Sch. 1)</w:t>
      </w:r>
      <w:r>
        <w:tab/>
      </w:r>
      <w:r>
        <w:fldChar w:fldCharType="begin"/>
      </w:r>
      <w:r>
        <w:instrText xml:space="preserve"> PAGEREF _Toc184993395 \h </w:instrText>
      </w:r>
      <w:r>
        <w:fldChar w:fldCharType="separate"/>
      </w:r>
      <w:r>
        <w:t>2</w:t>
      </w:r>
      <w:r>
        <w:fldChar w:fldCharType="end"/>
      </w:r>
    </w:p>
    <w:p>
      <w:pPr>
        <w:pStyle w:val="TOC8"/>
        <w:rPr>
          <w:rFonts w:asciiTheme="minorHAnsi" w:eastAsiaTheme="minorEastAsia" w:hAnsiTheme="minorHAnsi" w:cstheme="minorBidi"/>
          <w:szCs w:val="22"/>
        </w:rPr>
      </w:pPr>
      <w:r>
        <w:t>5.</w:t>
      </w:r>
      <w:r>
        <w:tab/>
        <w:t>Controlled weapons prescribed (Act s. 3) (Sch. 2)</w:t>
      </w:r>
      <w:r>
        <w:tab/>
      </w:r>
      <w:r>
        <w:fldChar w:fldCharType="begin"/>
      </w:r>
      <w:r>
        <w:instrText xml:space="preserve"> PAGEREF _Toc184993396 \h </w:instrText>
      </w:r>
      <w:r>
        <w:fldChar w:fldCharType="separate"/>
      </w:r>
      <w:r>
        <w:t>2</w:t>
      </w:r>
      <w:r>
        <w:fldChar w:fldCharType="end"/>
      </w:r>
    </w:p>
    <w:p>
      <w:pPr>
        <w:pStyle w:val="TOC8"/>
        <w:rPr>
          <w:rFonts w:asciiTheme="minorHAnsi" w:eastAsiaTheme="minorEastAsia" w:hAnsiTheme="minorHAnsi" w:cstheme="minorBidi"/>
          <w:szCs w:val="22"/>
        </w:rPr>
      </w:pPr>
      <w:r>
        <w:t>5A.</w:t>
      </w:r>
      <w:r>
        <w:tab/>
        <w:t>Edged weapons prescribed (Act s. 3A) (Sch. 3)</w:t>
      </w:r>
      <w:r>
        <w:tab/>
      </w:r>
      <w:r>
        <w:fldChar w:fldCharType="begin"/>
      </w:r>
      <w:r>
        <w:instrText xml:space="preserve"> PAGEREF _Toc184993397 \h </w:instrText>
      </w:r>
      <w:r>
        <w:fldChar w:fldCharType="separate"/>
      </w:r>
      <w:r>
        <w:t>2</w:t>
      </w:r>
      <w:r>
        <w:fldChar w:fldCharType="end"/>
      </w:r>
    </w:p>
    <w:p>
      <w:pPr>
        <w:pStyle w:val="TOC8"/>
        <w:rPr>
          <w:rFonts w:asciiTheme="minorHAnsi" w:eastAsiaTheme="minorEastAsia" w:hAnsiTheme="minorHAnsi" w:cstheme="minorBidi"/>
          <w:szCs w:val="22"/>
        </w:rPr>
      </w:pPr>
      <w:r>
        <w:t>6.</w:t>
      </w:r>
      <w:r>
        <w:tab/>
        <w:t>Approved electric shock cases may be used for defence (Act s. 5A(2))</w:t>
      </w:r>
      <w:r>
        <w:tab/>
      </w:r>
      <w:r>
        <w:fldChar w:fldCharType="begin"/>
      </w:r>
      <w:r>
        <w:instrText xml:space="preserve"> PAGEREF _Toc184993398 \h </w:instrText>
      </w:r>
      <w:r>
        <w:fldChar w:fldCharType="separate"/>
      </w:r>
      <w:r>
        <w:t>3</w:t>
      </w:r>
      <w:r>
        <w:fldChar w:fldCharType="end"/>
      </w:r>
    </w:p>
    <w:p>
      <w:pPr>
        <w:pStyle w:val="TOC8"/>
        <w:rPr>
          <w:rFonts w:asciiTheme="minorHAnsi" w:eastAsiaTheme="minorEastAsia" w:hAnsiTheme="minorHAnsi" w:cstheme="minorBidi"/>
          <w:szCs w:val="22"/>
        </w:rPr>
      </w:pPr>
      <w:r>
        <w:t>7.</w:t>
      </w:r>
      <w:r>
        <w:tab/>
        <w:t>Capsicum spray weapons may be used for defence (Act s. 5A(2))</w:t>
      </w:r>
      <w:r>
        <w:tab/>
      </w:r>
      <w:r>
        <w:fldChar w:fldCharType="begin"/>
      </w:r>
      <w:r>
        <w:instrText xml:space="preserve"> PAGEREF _Toc184993399 \h </w:instrText>
      </w:r>
      <w:r>
        <w:fldChar w:fldCharType="separate"/>
      </w:r>
      <w:r>
        <w:t>3</w:t>
      </w:r>
      <w:r>
        <w:fldChar w:fldCharType="end"/>
      </w:r>
    </w:p>
    <w:p>
      <w:pPr>
        <w:pStyle w:val="TOC8"/>
        <w:rPr>
          <w:rFonts w:asciiTheme="minorHAnsi" w:eastAsiaTheme="minorEastAsia" w:hAnsiTheme="minorHAnsi" w:cstheme="minorBidi"/>
          <w:szCs w:val="22"/>
        </w:rPr>
      </w:pPr>
      <w:r>
        <w:t>8.</w:t>
      </w:r>
      <w:r>
        <w:tab/>
        <w:t>Circumstances prescribed (Act s. 10(3))</w:t>
      </w:r>
      <w:r>
        <w:tab/>
      </w:r>
      <w:r>
        <w:fldChar w:fldCharType="begin"/>
      </w:r>
      <w:r>
        <w:instrText xml:space="preserve"> PAGEREF _Toc184993400 \h </w:instrText>
      </w:r>
      <w:r>
        <w:fldChar w:fldCharType="separate"/>
      </w:r>
      <w:r>
        <w:t>3</w:t>
      </w:r>
      <w:r>
        <w:fldChar w:fldCharType="end"/>
      </w:r>
    </w:p>
    <w:p>
      <w:pPr>
        <w:pStyle w:val="TOC8"/>
        <w:rPr>
          <w:rFonts w:asciiTheme="minorHAnsi" w:eastAsiaTheme="minorEastAsia" w:hAnsiTheme="minorHAnsi" w:cstheme="minorBidi"/>
          <w:szCs w:val="22"/>
        </w:rPr>
      </w:pPr>
      <w:r>
        <w:t>9.</w:t>
      </w:r>
      <w:r>
        <w:tab/>
      </w:r>
      <w:r>
        <w:rPr>
          <w:bCs/>
        </w:rPr>
        <w:t>Certain collectors and others excepted from Act s. 6(1)(a) to (c) in relation to specified prohibited weapons</w:t>
      </w:r>
      <w:r>
        <w:tab/>
      </w:r>
      <w:r>
        <w:fldChar w:fldCharType="begin"/>
      </w:r>
      <w:r>
        <w:instrText xml:space="preserve"> PAGEREF _Toc184993401 \h </w:instrText>
      </w:r>
      <w:r>
        <w:fldChar w:fldCharType="separate"/>
      </w:r>
      <w:r>
        <w:t>5</w:t>
      </w:r>
      <w:r>
        <w:fldChar w:fldCharType="end"/>
      </w:r>
    </w:p>
    <w:p>
      <w:pPr>
        <w:pStyle w:val="TOC8"/>
        <w:rPr>
          <w:rFonts w:asciiTheme="minorHAnsi" w:eastAsiaTheme="minorEastAsia" w:hAnsiTheme="minorHAnsi" w:cstheme="minorBidi"/>
          <w:szCs w:val="22"/>
        </w:rPr>
      </w:pPr>
      <w:r>
        <w:t>10.</w:t>
      </w:r>
      <w:r>
        <w:tab/>
        <w:t>Prison officers and other authorised persons excepted from Act s. 6, 6A, 7 and 8</w:t>
      </w:r>
      <w:r>
        <w:tab/>
      </w:r>
      <w:r>
        <w:fldChar w:fldCharType="begin"/>
      </w:r>
      <w:r>
        <w:instrText xml:space="preserve"> PAGEREF _Toc184993402 \h </w:instrText>
      </w:r>
      <w:r>
        <w:fldChar w:fldCharType="separate"/>
      </w:r>
      <w:r>
        <w:t>7</w:t>
      </w:r>
      <w:r>
        <w:fldChar w:fldCharType="end"/>
      </w:r>
    </w:p>
    <w:p>
      <w:pPr>
        <w:pStyle w:val="TOC8"/>
        <w:rPr>
          <w:rFonts w:asciiTheme="minorHAnsi" w:eastAsiaTheme="minorEastAsia" w:hAnsiTheme="minorHAnsi" w:cstheme="minorBidi"/>
          <w:szCs w:val="22"/>
        </w:rPr>
      </w:pPr>
      <w:r>
        <w:t>10A.</w:t>
      </w:r>
      <w:r>
        <w:tab/>
        <w:t>Custodial officers excepted from Act s. 7 in relation to capsicum spray weapons</w:t>
      </w:r>
      <w:r>
        <w:tab/>
      </w:r>
      <w:r>
        <w:fldChar w:fldCharType="begin"/>
      </w:r>
      <w:r>
        <w:instrText xml:space="preserve"> PAGEREF _Toc184993403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bCs/>
        </w:rPr>
        <w:t>Certain people excepted from Act s. 6 in relation to blow pipes</w:t>
      </w:r>
      <w:r>
        <w:tab/>
      </w:r>
      <w:r>
        <w:fldChar w:fldCharType="begin"/>
      </w:r>
      <w:r>
        <w:instrText xml:space="preserve"> PAGEREF _Toc184993404 \h </w:instrText>
      </w:r>
      <w:r>
        <w:fldChar w:fldCharType="separate"/>
      </w:r>
      <w:r>
        <w:t>8</w:t>
      </w:r>
      <w:r>
        <w:fldChar w:fldCharType="end"/>
      </w:r>
    </w:p>
    <w:p>
      <w:pPr>
        <w:pStyle w:val="TOC8"/>
        <w:rPr>
          <w:rFonts w:asciiTheme="minorHAnsi" w:eastAsiaTheme="minorEastAsia" w:hAnsiTheme="minorHAnsi" w:cstheme="minorBidi"/>
          <w:szCs w:val="22"/>
        </w:rPr>
      </w:pPr>
      <w:r>
        <w:t>12.</w:t>
      </w:r>
      <w:r>
        <w:tab/>
        <w:t>Federal and interstate police officers excepted from Act s. 6, 6A, 7 and 8</w:t>
      </w:r>
      <w:r>
        <w:tab/>
      </w:r>
      <w:r>
        <w:fldChar w:fldCharType="begin"/>
      </w:r>
      <w:r>
        <w:instrText xml:space="preserve"> PAGEREF _Toc184993405 \h </w:instrText>
      </w:r>
      <w:r>
        <w:fldChar w:fldCharType="separate"/>
      </w:r>
      <w:r>
        <w:t>9</w:t>
      </w:r>
      <w:r>
        <w:fldChar w:fldCharType="end"/>
      </w:r>
    </w:p>
    <w:p>
      <w:pPr>
        <w:pStyle w:val="TOC8"/>
        <w:rPr>
          <w:rFonts w:asciiTheme="minorHAnsi" w:eastAsiaTheme="minorEastAsia" w:hAnsiTheme="minorHAnsi" w:cstheme="minorBidi"/>
          <w:szCs w:val="22"/>
        </w:rPr>
      </w:pPr>
      <w:r>
        <w:t>12A.</w:t>
      </w:r>
      <w:r>
        <w:tab/>
        <w:t>Aviation and maritime security inspectors excepted from Act s. 6, 6A, 7 and 8</w:t>
      </w:r>
      <w:r>
        <w:tab/>
      </w:r>
      <w:r>
        <w:fldChar w:fldCharType="begin"/>
      </w:r>
      <w:r>
        <w:instrText xml:space="preserve"> PAGEREF _Toc184993406 \h </w:instrText>
      </w:r>
      <w:r>
        <w:fldChar w:fldCharType="separate"/>
      </w:r>
      <w:r>
        <w:t>9</w:t>
      </w:r>
      <w:r>
        <w:fldChar w:fldCharType="end"/>
      </w:r>
    </w:p>
    <w:p>
      <w:pPr>
        <w:pStyle w:val="TOC8"/>
        <w:rPr>
          <w:rFonts w:asciiTheme="minorHAnsi" w:eastAsiaTheme="minorEastAsia" w:hAnsiTheme="minorHAnsi" w:cstheme="minorBidi"/>
          <w:szCs w:val="22"/>
        </w:rPr>
      </w:pPr>
      <w:r>
        <w:t>13.</w:t>
      </w:r>
      <w:r>
        <w:tab/>
      </w:r>
      <w:r>
        <w:rPr>
          <w:bCs/>
        </w:rPr>
        <w:t>People connected with dramatic productions excepted from Act s. 6</w:t>
      </w:r>
      <w:r>
        <w:tab/>
      </w:r>
      <w:r>
        <w:fldChar w:fldCharType="begin"/>
      </w:r>
      <w:r>
        <w:instrText xml:space="preserve"> PAGEREF _Toc184993407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bCs/>
        </w:rPr>
        <w:t>Exempt arbalests and others excepted from Act s. 6 in relation to crossbows in certain circumstances</w:t>
      </w:r>
      <w:r>
        <w:tab/>
      </w:r>
      <w:r>
        <w:fldChar w:fldCharType="begin"/>
      </w:r>
      <w:r>
        <w:instrText xml:space="preserve"> PAGEREF _Toc184993408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Prohibited weapons</w:t>
      </w:r>
    </w:p>
    <w:p>
      <w:pPr>
        <w:pStyle w:val="TOC2"/>
        <w:tabs>
          <w:tab w:val="right" w:leader="dot" w:pos="7077"/>
        </w:tabs>
        <w:rPr>
          <w:rFonts w:asciiTheme="minorHAnsi" w:eastAsiaTheme="minorEastAsia" w:hAnsiTheme="minorHAnsi" w:cstheme="minorBidi"/>
          <w:b w:val="0"/>
          <w:sz w:val="22"/>
          <w:szCs w:val="22"/>
        </w:rPr>
      </w:pPr>
      <w:r>
        <w:t>Schedule 2 — Controlled weapons</w:t>
      </w:r>
    </w:p>
    <w:p>
      <w:pPr>
        <w:pStyle w:val="TOC2"/>
        <w:tabs>
          <w:tab w:val="right" w:leader="dot" w:pos="7077"/>
        </w:tabs>
        <w:rPr>
          <w:rFonts w:asciiTheme="minorHAnsi" w:eastAsiaTheme="minorEastAsia" w:hAnsiTheme="minorHAnsi" w:cstheme="minorBidi"/>
          <w:b w:val="0"/>
          <w:sz w:val="22"/>
          <w:szCs w:val="22"/>
        </w:rPr>
      </w:pPr>
      <w:r>
        <w:t>Schedule 3 — Edged weapons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_Toc184993413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2" w:name="_Toc184993392"/>
      <w:r>
        <w:rPr>
          <w:rStyle w:val="CharSectno"/>
        </w:rPr>
        <w:t>1</w:t>
      </w:r>
      <w:r>
        <w:t>.</w:t>
      </w:r>
      <w:r>
        <w:tab/>
        <w:t>Citation</w:t>
      </w:r>
      <w:bookmarkEnd w:id="2"/>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3" w:name="_Toc184993393"/>
      <w:r>
        <w:rPr>
          <w:rStyle w:val="CharSectno"/>
        </w:rPr>
        <w:t>2</w:t>
      </w:r>
      <w:r>
        <w:t>.</w:t>
      </w:r>
      <w:r>
        <w:tab/>
        <w:t>Commencement</w:t>
      </w:r>
      <w:bookmarkEnd w:id="3"/>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4" w:name="_Toc184993394"/>
      <w:r>
        <w:rPr>
          <w:rStyle w:val="CharSectno"/>
        </w:rPr>
        <w:t>3</w:t>
      </w:r>
      <w:r>
        <w:t>.</w:t>
      </w:r>
      <w:r>
        <w:tab/>
        <w:t>Terms used</w:t>
      </w:r>
      <w:bookmarkEnd w:id="4"/>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of the kind described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capsicum spray weapon</w:t>
      </w:r>
      <w:r>
        <w:t xml:space="preserve"> means a spray weapon made or modified to be used to discharge oleoresin capsicum;</w:t>
      </w:r>
    </w:p>
    <w:p>
      <w:pPr>
        <w:pStyle w:val="Defstart"/>
      </w:pPr>
      <w:r>
        <w:tab/>
      </w:r>
      <w:r>
        <w:rPr>
          <w:rStyle w:val="CharDefText"/>
        </w:rPr>
        <w:t>catapult</w:t>
      </w:r>
      <w:r>
        <w:t xml:space="preserve"> includes a ging, shanghai or slingshot;</w:t>
      </w:r>
    </w:p>
    <w:p>
      <w:pPr>
        <w:pStyle w:val="Defstart"/>
      </w:pPr>
      <w:r>
        <w:lastRenderedPageBreak/>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Footnotesection"/>
      </w:pPr>
      <w:r>
        <w:tab/>
        <w:t>[Regulation 3 amended: SL 2024/267 r. 4; SL 2024/282 r. 6.]</w:t>
      </w:r>
    </w:p>
    <w:p>
      <w:pPr>
        <w:pStyle w:val="Heading5"/>
      </w:pPr>
      <w:bookmarkStart w:id="5" w:name="_Toc184993395"/>
      <w:r>
        <w:rPr>
          <w:rStyle w:val="CharSectno"/>
        </w:rPr>
        <w:t>4</w:t>
      </w:r>
      <w:r>
        <w:t>.</w:t>
      </w:r>
      <w:r>
        <w:tab/>
        <w:t>Prohibited weapons prescribed (Act s. 3) (Sch. 1)</w:t>
      </w:r>
      <w:bookmarkEnd w:id="5"/>
    </w:p>
    <w:p>
      <w:pPr>
        <w:pStyle w:val="Subsection"/>
      </w:pPr>
      <w:r>
        <w:tab/>
      </w:r>
      <w:r>
        <w:tab/>
        <w:t>An article described in the third column of Schedule 1 is prescribed to be a prohibited weapon.</w:t>
      </w:r>
    </w:p>
    <w:p>
      <w:pPr>
        <w:pStyle w:val="Heading5"/>
      </w:pPr>
      <w:bookmarkStart w:id="6" w:name="_Toc184993396"/>
      <w:r>
        <w:rPr>
          <w:rStyle w:val="CharSectno"/>
        </w:rPr>
        <w:t>5</w:t>
      </w:r>
      <w:r>
        <w:t>.</w:t>
      </w:r>
      <w:r>
        <w:tab/>
        <w:t>Controlled weapons prescribed (Act s. 3) (Sch. 2)</w:t>
      </w:r>
      <w:bookmarkEnd w:id="6"/>
    </w:p>
    <w:p>
      <w:pPr>
        <w:pStyle w:val="Subsection"/>
      </w:pPr>
      <w:r>
        <w:tab/>
      </w:r>
      <w:r>
        <w:tab/>
        <w:t>An article described in the third column of Schedule 2 is prescribed to be a controlled weapon.</w:t>
      </w:r>
    </w:p>
    <w:p>
      <w:pPr>
        <w:pStyle w:val="Heading5"/>
      </w:pPr>
      <w:bookmarkStart w:id="7" w:name="_Toc184910431"/>
      <w:bookmarkStart w:id="8" w:name="_Toc184910570"/>
      <w:bookmarkStart w:id="9" w:name="_Toc184993397"/>
      <w:r>
        <w:rPr>
          <w:rStyle w:val="CharSectno"/>
        </w:rPr>
        <w:t>5A</w:t>
      </w:r>
      <w:r>
        <w:t>.</w:t>
      </w:r>
      <w:r>
        <w:tab/>
        <w:t>Edged weapons prescribed (Act s. 3A) (Sch. 3)</w:t>
      </w:r>
      <w:bookmarkEnd w:id="7"/>
      <w:bookmarkEnd w:id="8"/>
      <w:bookmarkEnd w:id="9"/>
    </w:p>
    <w:p>
      <w:pPr>
        <w:pStyle w:val="Subsection"/>
      </w:pPr>
      <w:r>
        <w:tab/>
      </w:r>
      <w:r>
        <w:tab/>
        <w:t xml:space="preserve">For the purposes of the definition of </w:t>
      </w:r>
      <w:r>
        <w:rPr>
          <w:b/>
          <w:bCs/>
          <w:i/>
        </w:rPr>
        <w:t>edged weapon</w:t>
      </w:r>
      <w:r>
        <w:t xml:space="preserve"> in section 3A of the Act, an article described in Schedule 3 is an edged weapon. </w:t>
      </w:r>
    </w:p>
    <w:p>
      <w:pPr>
        <w:pStyle w:val="Footnotesection"/>
      </w:pPr>
      <w:r>
        <w:tab/>
        <w:t>[Regulation 5A inserted: SL 2024/282 r. 7.]</w:t>
      </w:r>
    </w:p>
    <w:p>
      <w:pPr>
        <w:pStyle w:val="Heading5"/>
      </w:pPr>
      <w:bookmarkStart w:id="10" w:name="_Toc184993398"/>
      <w:r>
        <w:rPr>
          <w:rStyle w:val="CharSectno"/>
        </w:rPr>
        <w:lastRenderedPageBreak/>
        <w:t>6</w:t>
      </w:r>
      <w:r>
        <w:t>.</w:t>
      </w:r>
      <w:r>
        <w:tab/>
        <w:t>Approved electric shock cases may be used for defence (Act s. 5A(2))</w:t>
      </w:r>
      <w:bookmarkEnd w:id="10"/>
    </w:p>
    <w:p>
      <w:pPr>
        <w:pStyle w:val="Subsection"/>
      </w:pPr>
      <w:r>
        <w:tab/>
        <w:t>(1A)</w:t>
      </w:r>
      <w:r>
        <w:tab/>
        <w:t>A briefcase or suitcase of the kind described in subregulation (1) is prescribed for the purposes of section 5A(2) of the Act.</w:t>
      </w:r>
    </w:p>
    <w:p>
      <w:pPr>
        <w:pStyle w:val="Subsection"/>
      </w:pPr>
      <w:r>
        <w:tab/>
        <w:t>(1)</w:t>
      </w:r>
      <w:r>
        <w:tab/>
        <w:t>A briefcase or suitcase that —</w:t>
      </w:r>
    </w:p>
    <w:p>
      <w:pPr>
        <w:pStyle w:val="Indenta"/>
      </w:pPr>
      <w:r>
        <w:tab/>
        <w:t>(a)</w:t>
      </w:r>
      <w:r>
        <w:tab/>
        <w:t>is made or modified to discharge an electric current so as to deter the theft of the case; and</w:t>
      </w:r>
    </w:p>
    <w:p>
      <w:pPr>
        <w:pStyle w:val="Indenta"/>
        <w:keepNext/>
      </w:pPr>
      <w:r>
        <w:tab/>
        <w:t>(b)</w:t>
      </w:r>
      <w:r>
        <w:tab/>
        <w:t xml:space="preserve">is, or is of a standard or type that is, approved by the Minister, for the purposes of this regulation, by notice in the </w:t>
      </w:r>
      <w:r>
        <w:rPr>
          <w:i/>
          <w:iCs/>
        </w:rPr>
        <w:t>Gazette</w:t>
      </w:r>
      <w:r>
        <w:t>.</w:t>
      </w:r>
    </w:p>
    <w:p>
      <w:pPr>
        <w:pStyle w:val="Subsection"/>
      </w:pPr>
      <w:r>
        <w:tab/>
        <w:t>(2)</w:t>
      </w:r>
      <w:r>
        <w:tab/>
        <w:t>For the purposes of section 5A(2) of the Act, a person may carry or possess an approved electric shock case if the person carries or possesses it for the purpose of it being used in lawful defence in circumstances that the person has reasonable grounds to apprehend may arise.</w:t>
      </w:r>
    </w:p>
    <w:p>
      <w:pPr>
        <w:pStyle w:val="Footnotesection"/>
      </w:pPr>
      <w:bookmarkStart w:id="11" w:name="_Toc184910434"/>
      <w:bookmarkStart w:id="12" w:name="_Toc184910573"/>
      <w:r>
        <w:tab/>
        <w:t>[Regulation 6 amended: SL 2024/282 r. 8.]</w:t>
      </w:r>
    </w:p>
    <w:p>
      <w:pPr>
        <w:pStyle w:val="Heading5"/>
      </w:pPr>
      <w:bookmarkStart w:id="13" w:name="_Toc184993399"/>
      <w:r>
        <w:rPr>
          <w:rStyle w:val="CharSectno"/>
        </w:rPr>
        <w:t>7</w:t>
      </w:r>
      <w:r>
        <w:t>.</w:t>
      </w:r>
      <w:r>
        <w:tab/>
        <w:t>Capsicum spray weapons may be used for defence (Act s. 5A(2))</w:t>
      </w:r>
      <w:bookmarkEnd w:id="11"/>
      <w:bookmarkEnd w:id="12"/>
      <w:bookmarkEnd w:id="13"/>
    </w:p>
    <w:p>
      <w:pPr>
        <w:pStyle w:val="Subsection"/>
      </w:pPr>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p>
    <w:p>
      <w:pPr>
        <w:pStyle w:val="Footnotesection"/>
      </w:pPr>
      <w:r>
        <w:tab/>
        <w:t>[Regulation 7 inserted: SL 2024/282 r. 9.]</w:t>
      </w:r>
    </w:p>
    <w:p>
      <w:pPr>
        <w:pStyle w:val="Heading5"/>
      </w:pPr>
      <w:bookmarkStart w:id="14" w:name="_Toc184993400"/>
      <w:r>
        <w:rPr>
          <w:rStyle w:val="CharSectno"/>
        </w:rPr>
        <w:t>8</w:t>
      </w:r>
      <w:r>
        <w:t>.</w:t>
      </w:r>
      <w:r>
        <w:tab/>
        <w:t>Circumstances prescribed (Act s. 10(3))</w:t>
      </w:r>
      <w:bookmarkEnd w:id="14"/>
    </w:p>
    <w:p>
      <w:pPr>
        <w:pStyle w:val="Subsection"/>
        <w:keepNext/>
      </w:pPr>
      <w:r>
        <w:tab/>
        <w:t>(1)</w:t>
      </w:r>
      <w:r>
        <w:tab/>
        <w:t xml:space="preserve">For the purposes of section 10(3), prescribed circumstances are the carrying or possession of an extendable baton by a person who is the holder of a security officer’s licence issued for the </w:t>
      </w:r>
      <w:r>
        <w:lastRenderedPageBreak/>
        <w:t xml:space="preserve">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keepNext/>
      </w:pPr>
      <w:r>
        <w:tab/>
        <w:t>(b)</w:t>
      </w:r>
      <w:r>
        <w:tab/>
        <w:t xml:space="preserve">supplies the provider of an approved training course in baton use, under the </w:t>
      </w:r>
      <w:r>
        <w:rPr>
          <w:i/>
          <w:iCs/>
        </w:rPr>
        <w:t xml:space="preserve">Security and Related Activities </w:t>
      </w:r>
      <w:r>
        <w:rPr>
          <w:i/>
          <w:iCs/>
        </w:rPr>
        <w:lastRenderedPageBreak/>
        <w:t>(Control)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15" w:name="_Toc184993401"/>
      <w:r>
        <w:rPr>
          <w:rStyle w:val="CharSectno"/>
        </w:rPr>
        <w:t>9</w:t>
      </w:r>
      <w:r>
        <w:t>.</w:t>
      </w:r>
      <w:r>
        <w:tab/>
      </w:r>
      <w:r>
        <w:rPr>
          <w:bCs/>
        </w:rPr>
        <w:t>Certain collectors and others excepted from Act s. 6(1)(a) to (c) in relation to specified prohibited weapons</w:t>
      </w:r>
      <w:bookmarkEnd w:id="15"/>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keepNext/>
      </w:pPr>
      <w:r>
        <w:lastRenderedPageBreak/>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keepNext/>
      </w:pPr>
      <w:r>
        <w:lastRenderedPageBreak/>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16" w:name="_Toc184993402"/>
      <w:r>
        <w:rPr>
          <w:rStyle w:val="CharSectno"/>
        </w:rPr>
        <w:t>10</w:t>
      </w:r>
      <w:r>
        <w:t>.</w:t>
      </w:r>
      <w:r>
        <w:tab/>
        <w:t>Prison officers and other authorised persons excepted from Act s. 6, 6A, 7 and 8</w:t>
      </w:r>
      <w:bookmarkEnd w:id="16"/>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 amended: SL 2024/282 r. 10.]</w:t>
      </w:r>
    </w:p>
    <w:p>
      <w:pPr>
        <w:pStyle w:val="Heading5"/>
      </w:pPr>
      <w:bookmarkStart w:id="17" w:name="_Toc184993403"/>
      <w:r>
        <w:rPr>
          <w:rStyle w:val="CharSectno"/>
        </w:rPr>
        <w:t>10A</w:t>
      </w:r>
      <w:r>
        <w:t>.</w:t>
      </w:r>
      <w:r>
        <w:tab/>
        <w:t>Custodial officers excepted from Act s. 7 in relation to capsicum spray weapons</w:t>
      </w:r>
      <w:bookmarkEnd w:id="17"/>
    </w:p>
    <w:p>
      <w:pPr>
        <w:pStyle w:val="Subsection"/>
      </w:pPr>
      <w:r>
        <w:tab/>
        <w:t>(1)</w:t>
      </w:r>
      <w:r>
        <w:tab/>
        <w:t xml:space="preserve">In this regulation — </w:t>
      </w:r>
    </w:p>
    <w:p>
      <w:pPr>
        <w:pStyle w:val="Defstart"/>
      </w:pPr>
      <w:r>
        <w:tab/>
      </w:r>
      <w:r>
        <w:rPr>
          <w:rStyle w:val="CharDefText"/>
        </w:rPr>
        <w:t>custodial officer</w:t>
      </w:r>
      <w:r>
        <w:t xml:space="preserve"> has the meaning given in the </w:t>
      </w:r>
      <w:r>
        <w:rPr>
          <w:i/>
        </w:rPr>
        <w:t>Young Offenders Act 1994</w:t>
      </w:r>
      <w:r>
        <w:t xml:space="preserve"> section 3(1).</w:t>
      </w:r>
    </w:p>
    <w:p>
      <w:pPr>
        <w:pStyle w:val="Subsection"/>
      </w:pPr>
      <w:r>
        <w:lastRenderedPageBreak/>
        <w:tab/>
        <w:t>(2)</w:t>
      </w:r>
      <w:r>
        <w:tab/>
        <w:t>A person does not commit an offence under section 7(1) of the Act only because the person, in the performance of the person’s functions as a custodial officer, carries or possesses a capsicum spray weapon.</w:t>
      </w:r>
    </w:p>
    <w:p>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pPr>
        <w:pStyle w:val="Indenta"/>
      </w:pPr>
      <w:r>
        <w:tab/>
        <w:t>(a)</w:t>
      </w:r>
      <w:r>
        <w:tab/>
        <w:t>to be injured or disabled; or</w:t>
      </w:r>
    </w:p>
    <w:p>
      <w:pPr>
        <w:pStyle w:val="Indenta"/>
      </w:pPr>
      <w:r>
        <w:tab/>
        <w:t>(b)</w:t>
      </w:r>
      <w:r>
        <w:tab/>
        <w:t>to fear that someone will be injured or disabled.</w:t>
      </w:r>
    </w:p>
    <w:p>
      <w:pPr>
        <w:pStyle w:val="Footnotesection"/>
      </w:pPr>
      <w:r>
        <w:tab/>
        <w:t>[Regulation 10A inserted: SL 2024/267 r. 6.]</w:t>
      </w:r>
    </w:p>
    <w:p>
      <w:pPr>
        <w:pStyle w:val="Heading5"/>
      </w:pPr>
      <w:bookmarkStart w:id="18" w:name="_Toc184993404"/>
      <w:r>
        <w:rPr>
          <w:rStyle w:val="CharSectno"/>
        </w:rPr>
        <w:t>11</w:t>
      </w:r>
      <w:r>
        <w:t>.</w:t>
      </w:r>
      <w:r>
        <w:tab/>
      </w:r>
      <w:r>
        <w:rPr>
          <w:bCs/>
        </w:rPr>
        <w:t>Certain people excepted from Act s. 6 in relation to blow pipes</w:t>
      </w:r>
      <w:bookmarkEnd w:id="18"/>
    </w:p>
    <w:p>
      <w:pPr>
        <w:pStyle w:val="Subsection"/>
        <w:keepNext/>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lastRenderedPageBreak/>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19" w:name="_Toc184993405"/>
      <w:r>
        <w:rPr>
          <w:rStyle w:val="CharSectno"/>
        </w:rPr>
        <w:t>12</w:t>
      </w:r>
      <w:r>
        <w:t>.</w:t>
      </w:r>
      <w:r>
        <w:tab/>
        <w:t>Federal and interstate police officers excepted from Act s. 6, 6A, 7 and 8</w:t>
      </w:r>
      <w:bookmarkEnd w:id="19"/>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pPr>
        <w:pStyle w:val="Footnotesection"/>
      </w:pPr>
      <w:r>
        <w:tab/>
        <w:t>[Regulation 12 inserted: Gazette 12 Mar 2010 p. 953; amended: SL 2024/282 r. 11.]</w:t>
      </w:r>
    </w:p>
    <w:p>
      <w:pPr>
        <w:pStyle w:val="Heading5"/>
      </w:pPr>
      <w:bookmarkStart w:id="20" w:name="_Toc184993406"/>
      <w:r>
        <w:rPr>
          <w:rStyle w:val="CharSectno"/>
        </w:rPr>
        <w:t>12A</w:t>
      </w:r>
      <w:r>
        <w:t>.</w:t>
      </w:r>
      <w:r>
        <w:tab/>
        <w:t>Aviation and maritime security inspectors excepted from Act s. 6, 6A, 7 and 8</w:t>
      </w:r>
      <w:bookmarkEnd w:id="20"/>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lastRenderedPageBreak/>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A person does not commit an offence under section 6, 6A, 7 or 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 amended: SL 2024/282 r. 12.]</w:t>
      </w:r>
    </w:p>
    <w:p>
      <w:pPr>
        <w:pStyle w:val="Heading5"/>
      </w:pPr>
      <w:bookmarkStart w:id="21" w:name="_Toc184993407"/>
      <w:r>
        <w:rPr>
          <w:rStyle w:val="CharSectno"/>
        </w:rPr>
        <w:t>13</w:t>
      </w:r>
      <w:r>
        <w:t>.</w:t>
      </w:r>
      <w:r>
        <w:tab/>
      </w:r>
      <w:r>
        <w:rPr>
          <w:bCs/>
        </w:rPr>
        <w:t>People connected with dramatic productions excepted from Act s. 6</w:t>
      </w:r>
      <w:bookmarkEnd w:id="21"/>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lastRenderedPageBreak/>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lastRenderedPageBreak/>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22" w:name="_Toc184993408"/>
      <w:r>
        <w:rPr>
          <w:rStyle w:val="CharSectno"/>
        </w:rPr>
        <w:t>14</w:t>
      </w:r>
      <w:r>
        <w:t>.</w:t>
      </w:r>
      <w:r>
        <w:tab/>
      </w:r>
      <w:r>
        <w:rPr>
          <w:bCs/>
        </w:rPr>
        <w:t>Exempt arbalests and others excepted from Act s. 6 in relation to crossbows in certain circumstances</w:t>
      </w:r>
      <w:bookmarkEnd w:id="22"/>
    </w:p>
    <w:p>
      <w:pPr>
        <w:pStyle w:val="Subsection"/>
      </w:pPr>
      <w:r>
        <w:tab/>
        <w:t>(1)</w:t>
      </w:r>
      <w:r>
        <w:tab/>
        <w:t xml:space="preserve">In this regulation — </w:t>
      </w:r>
    </w:p>
    <w:p>
      <w:pPr>
        <w:pStyle w:val="Defstart"/>
      </w:pPr>
      <w:r>
        <w:tab/>
      </w:r>
      <w:r>
        <w:rPr>
          <w:rStyle w:val="CharDefText"/>
        </w:rPr>
        <w:t>Archery Australia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lastRenderedPageBreak/>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keepNext/>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 xml:space="preserve">If, after giving a notice under subregulation (6), the Minister is no longer satisfied as to any of the circumstances described in that subregulation, the Minister may give to the exempt arbalest written notice that, on a day specified in the notice (being a day </w:t>
      </w:r>
      <w:r>
        <w:lastRenderedPageBreak/>
        <w:t>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3" w:name="_Toc184973414"/>
      <w:bookmarkStart w:id="24" w:name="_Toc184977001"/>
      <w:bookmarkStart w:id="25" w:name="_Toc184977256"/>
      <w:bookmarkStart w:id="26" w:name="_Toc184986112"/>
      <w:bookmarkStart w:id="27" w:name="_Toc184993409"/>
      <w:r>
        <w:rPr>
          <w:rStyle w:val="CharSchNo"/>
        </w:rPr>
        <w:lastRenderedPageBreak/>
        <w:t>Schedule 1</w:t>
      </w:r>
      <w:r>
        <w:t xml:space="preserve"> — </w:t>
      </w:r>
      <w:r>
        <w:rPr>
          <w:rStyle w:val="CharSchText"/>
        </w:rPr>
        <w:t>Prohibited weapons</w:t>
      </w:r>
      <w:bookmarkEnd w:id="23"/>
      <w:bookmarkEnd w:id="24"/>
      <w:bookmarkEnd w:id="25"/>
      <w:bookmarkEnd w:id="26"/>
      <w:bookmarkEnd w:id="27"/>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(for example,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(for example, the article commonly known as the “Bowen” knife belt); or</w:t>
            </w:r>
          </w:p>
          <w:p>
            <w:pPr>
              <w:pStyle w:val="yTable"/>
              <w:tabs>
                <w:tab w:val="left" w:pos="496"/>
              </w:tabs>
              <w:ind w:left="496" w:hanging="496"/>
            </w:pPr>
            <w:r>
              <w:lastRenderedPageBreak/>
              <w:t>(b)</w:t>
            </w:r>
            <w:r>
              <w:tab/>
              <w:t>a sword disguised as a cane or stick.</w:t>
            </w:r>
          </w:p>
        </w:tc>
      </w:tr>
      <w:tr>
        <w:tc>
          <w:tcPr>
            <w:tcW w:w="755" w:type="dxa"/>
            <w:gridSpan w:val="2"/>
          </w:tcPr>
          <w:p>
            <w:pPr>
              <w:pStyle w:val="yTable"/>
            </w:pPr>
            <w:r>
              <w:lastRenderedPageBreak/>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11B.</w:t>
            </w:r>
          </w:p>
        </w:tc>
        <w:tc>
          <w:tcPr>
            <w:tcW w:w="1726" w:type="dxa"/>
          </w:tcPr>
          <w:p>
            <w:pPr>
              <w:pStyle w:val="yTable"/>
            </w:pPr>
            <w:r>
              <w:t>Gel blaster</w:t>
            </w:r>
          </w:p>
        </w:tc>
        <w:tc>
          <w:tcPr>
            <w:tcW w:w="4788" w:type="dxa"/>
          </w:tcPr>
          <w:p>
            <w:pPr>
              <w:pStyle w:val="yTable"/>
            </w:pPr>
            <w:r>
              <w:t>An article that is made or modified to be used to discharge a hydrated superabsorbent polymer ball or other similar gel</w:t>
            </w:r>
            <w:r>
              <w:noBreakHyphen/>
              <w:t>like missile and includes the ball or missile.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lastRenderedPageBreak/>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(for example,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r>
            <w:r>
              <w:rPr>
                <w:szCs w:val="22"/>
              </w:rPr>
              <w:t>(other than a capsicum spray weapon)</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 SL 2021/120 r. 4; SL 2024/267 r. 7; SL 2024/282 r. 13.]</w:t>
      </w:r>
    </w:p>
    <w:p>
      <w:pPr>
        <w:pStyle w:val="yScheduleHeading"/>
      </w:pPr>
      <w:bookmarkStart w:id="28" w:name="_Toc184973415"/>
      <w:bookmarkStart w:id="29" w:name="_Toc184977002"/>
      <w:bookmarkStart w:id="30" w:name="_Toc184977257"/>
      <w:bookmarkStart w:id="31" w:name="_Toc184986113"/>
      <w:bookmarkStart w:id="32" w:name="_Toc184993410"/>
      <w:r>
        <w:rPr>
          <w:rStyle w:val="CharSchNo"/>
        </w:rPr>
        <w:lastRenderedPageBreak/>
        <w:t>Schedule 2</w:t>
      </w:r>
      <w:r>
        <w:t xml:space="preserve"> — </w:t>
      </w:r>
      <w:r>
        <w:rPr>
          <w:rStyle w:val="CharSchText"/>
        </w:rPr>
        <w:t>Controlled weapons</w:t>
      </w:r>
      <w:bookmarkEnd w:id="28"/>
      <w:bookmarkEnd w:id="29"/>
      <w:bookmarkEnd w:id="30"/>
      <w:bookmarkEnd w:id="31"/>
      <w:bookmarkEnd w:id="32"/>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3A.</w:t>
            </w:r>
          </w:p>
        </w:tc>
        <w:tc>
          <w:tcPr>
            <w:tcW w:w="1612" w:type="dxa"/>
          </w:tcPr>
          <w:p>
            <w:pPr>
              <w:pStyle w:val="yTable"/>
            </w:pPr>
            <w:r>
              <w:t>Capsicum spray weapon</w:t>
            </w:r>
          </w:p>
        </w:tc>
        <w:tc>
          <w:tcPr>
            <w:tcW w:w="4760" w:type="dxa"/>
          </w:tcPr>
          <w:p>
            <w:pPr>
              <w:pStyle w:val="yTable"/>
            </w:pPr>
            <w:r>
              <w:t>A spray weapon made or modified to be used to discharge oleoresin capsicum.</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7241" w:type="dxa"/>
            <w:gridSpan w:val="3"/>
          </w:tcPr>
          <w:p>
            <w:pPr>
              <w:pStyle w:val="yTable"/>
              <w:ind w:left="918" w:hanging="918"/>
            </w:pPr>
            <w:r>
              <w:rPr>
                <w:i/>
              </w:rPr>
              <w:t>[5, 6.</w:t>
            </w:r>
            <w:r>
              <w:rPr>
                <w:i/>
              </w:rPr>
              <w:tab/>
              <w:t>deleted]</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241" w:type="dxa"/>
            <w:gridSpan w:val="3"/>
          </w:tcPr>
          <w:p>
            <w:pPr>
              <w:pStyle w:val="yTable"/>
              <w:ind w:left="918" w:hanging="918"/>
            </w:pPr>
            <w:r>
              <w:rPr>
                <w:i/>
              </w:rPr>
              <w:t>[8, 9.</w:t>
            </w:r>
            <w:r>
              <w:rPr>
                <w:i/>
              </w:rPr>
              <w:tab/>
              <w:t>deleted]</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241" w:type="dxa"/>
            <w:gridSpan w:val="3"/>
          </w:tcPr>
          <w:p>
            <w:pPr>
              <w:pStyle w:val="yTable"/>
              <w:ind w:left="918" w:hanging="918"/>
            </w:pPr>
            <w:r>
              <w:rPr>
                <w:i/>
              </w:rPr>
              <w:t>[10A.</w:t>
            </w:r>
            <w:r>
              <w:rPr>
                <w:i/>
              </w:rPr>
              <w:tab/>
              <w:t>deleted]</w:t>
            </w:r>
          </w:p>
        </w:tc>
      </w:tr>
      <w:tr>
        <w:trPr>
          <w:cantSplit/>
        </w:trPr>
        <w:tc>
          <w:tcPr>
            <w:tcW w:w="869" w:type="dxa"/>
          </w:tcPr>
          <w:p>
            <w:pPr>
              <w:pStyle w:val="yTable"/>
            </w:pPr>
            <w:r>
              <w:lastRenderedPageBreak/>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(for example,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with 2 or more prongs and no sharp edges, made or modified to be used to injure or disable a person or as a martial arts weapon (for example, the martial arts weapons known as the sai and jitte).</w:t>
            </w:r>
          </w:p>
        </w:tc>
      </w:tr>
      <w:tr>
        <w:trPr>
          <w:cantSplit/>
        </w:trPr>
        <w:tc>
          <w:tcPr>
            <w:tcW w:w="7241" w:type="dxa"/>
            <w:gridSpan w:val="3"/>
          </w:tcPr>
          <w:p>
            <w:pPr>
              <w:pStyle w:val="yTable"/>
              <w:ind w:left="918" w:hanging="918"/>
            </w:pPr>
            <w:r>
              <w:rPr>
                <w:i/>
              </w:rPr>
              <w:t>[14.</w:t>
            </w:r>
            <w:r>
              <w:rPr>
                <w:i/>
              </w:rPr>
              <w:tab/>
              <w:t>deleted]</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(for example,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241" w:type="dxa"/>
            <w:gridSpan w:val="3"/>
          </w:tcPr>
          <w:p>
            <w:pPr>
              <w:pStyle w:val="yTable"/>
              <w:ind w:left="918" w:hanging="918"/>
              <w:rPr>
                <w:i/>
                <w:iCs/>
              </w:rPr>
            </w:pPr>
            <w:r>
              <w:rPr>
                <w:i/>
                <w:iCs/>
              </w:rPr>
              <w:t>[17.</w:t>
            </w:r>
            <w:r>
              <w:rPr>
                <w:i/>
                <w:iCs/>
              </w:rPr>
              <w:tab/>
            </w:r>
            <w:r>
              <w:rPr>
                <w:i/>
              </w:rPr>
              <w:t>deleted</w:t>
            </w:r>
            <w:r>
              <w:rPr>
                <w:i/>
                <w:iCs/>
              </w:rPr>
              <w:t>]</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(for example, a studded glove).</w:t>
            </w:r>
          </w:p>
        </w:tc>
      </w:tr>
      <w:tr>
        <w:trPr>
          <w:cantSplit/>
        </w:trPr>
        <w:tc>
          <w:tcPr>
            <w:tcW w:w="7241" w:type="dxa"/>
            <w:gridSpan w:val="3"/>
          </w:tcPr>
          <w:p>
            <w:pPr>
              <w:pStyle w:val="yTable"/>
              <w:ind w:left="918" w:hanging="918"/>
            </w:pPr>
            <w:r>
              <w:rPr>
                <w:i/>
              </w:rPr>
              <w:t>[19-21.</w:t>
            </w:r>
            <w:r>
              <w:rPr>
                <w:i/>
              </w:rPr>
              <w:tab/>
              <w:t>deleted]</w:t>
            </w:r>
          </w:p>
        </w:tc>
      </w:tr>
      <w:tr>
        <w:trPr>
          <w:cantSplit/>
        </w:trPr>
        <w:tc>
          <w:tcPr>
            <w:tcW w:w="869" w:type="dxa"/>
          </w:tcPr>
          <w:p>
            <w:pPr>
              <w:pStyle w:val="yTable"/>
            </w:pPr>
            <w:r>
              <w:lastRenderedPageBreak/>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(for example, the martial arts weapons known as the kusari fundo, manrikigusari and surujin).</w:t>
            </w:r>
          </w:p>
        </w:tc>
      </w:tr>
    </w:tbl>
    <w:p>
      <w:pPr>
        <w:pStyle w:val="yFootnotesection"/>
      </w:pPr>
      <w:r>
        <w:tab/>
        <w:t>[Schedule 2 amended: Gazette 1 Oct 2004 p. 4284; 11 Apr 2008 p. 1392; 8 Apr 2011 p. 1286; 29 Nov 2016 p. 5323; SL 2024/267 r. 8; SL 2024/282 r. 14.]</w:t>
      </w:r>
    </w:p>
    <w:p>
      <w:pPr>
        <w:pStyle w:val="yScheduleHeading"/>
      </w:pPr>
      <w:bookmarkStart w:id="33" w:name="_Toc184910441"/>
      <w:bookmarkStart w:id="34" w:name="_Toc184910496"/>
      <w:bookmarkStart w:id="35" w:name="_Toc184910580"/>
      <w:bookmarkStart w:id="36" w:name="_Toc184977003"/>
      <w:bookmarkStart w:id="37" w:name="_Toc184977258"/>
      <w:bookmarkStart w:id="38" w:name="_Toc184986114"/>
      <w:bookmarkStart w:id="39" w:name="_Toc184993411"/>
      <w:r>
        <w:rPr>
          <w:rStyle w:val="CharSchNo"/>
        </w:rPr>
        <w:lastRenderedPageBreak/>
        <w:t>Schedule 3</w:t>
      </w:r>
      <w:r>
        <w:t xml:space="preserve"> — </w:t>
      </w:r>
      <w:r>
        <w:rPr>
          <w:rStyle w:val="CharSchText"/>
        </w:rPr>
        <w:t>Edged weapons</w:t>
      </w:r>
      <w:bookmarkEnd w:id="33"/>
      <w:bookmarkEnd w:id="34"/>
      <w:bookmarkEnd w:id="35"/>
      <w:bookmarkEnd w:id="36"/>
      <w:bookmarkEnd w:id="37"/>
      <w:bookmarkEnd w:id="38"/>
      <w:bookmarkEnd w:id="39"/>
    </w:p>
    <w:p>
      <w:pPr>
        <w:pStyle w:val="yShoulderClause"/>
      </w:pPr>
      <w:r>
        <w:t>[r. 5A]</w:t>
      </w:r>
    </w:p>
    <w:p>
      <w:pPr>
        <w:pStyle w:val="yFootnoteheading"/>
        <w:spacing w:after="60"/>
      </w:pPr>
      <w:r>
        <w:tab/>
        <w:t>[Heading inserted: SL 2024/282 r. 15.]</w:t>
      </w:r>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trPr>
          <w:cantSplit/>
          <w:tblHeader/>
        </w:trPr>
        <w:tc>
          <w:tcPr>
            <w:tcW w:w="869" w:type="dxa"/>
          </w:tcPr>
          <w:p>
            <w:pPr>
              <w:pStyle w:val="yTableNAm"/>
              <w:rPr>
                <w:b/>
                <w:bCs/>
              </w:rPr>
            </w:pPr>
            <w:r>
              <w:rPr>
                <w:b/>
                <w:bCs/>
              </w:rPr>
              <w:t>Item</w:t>
            </w:r>
          </w:p>
        </w:tc>
        <w:tc>
          <w:tcPr>
            <w:tcW w:w="1612" w:type="dxa"/>
          </w:tcPr>
          <w:p>
            <w:pPr>
              <w:pStyle w:val="yTableNAm"/>
              <w:rPr>
                <w:b/>
                <w:bCs/>
              </w:rPr>
            </w:pPr>
            <w:r>
              <w:rPr>
                <w:b/>
                <w:bCs/>
              </w:rPr>
              <w:t>Article</w:t>
            </w:r>
          </w:p>
        </w:tc>
        <w:tc>
          <w:tcPr>
            <w:tcW w:w="4607" w:type="dxa"/>
          </w:tcPr>
          <w:p>
            <w:pPr>
              <w:pStyle w:val="yTableNAm"/>
              <w:rPr>
                <w:b/>
                <w:bCs/>
              </w:rPr>
            </w:pPr>
            <w:r>
              <w:rPr>
                <w:b/>
                <w:bCs/>
              </w:rPr>
              <w:t>Description</w:t>
            </w:r>
          </w:p>
        </w:tc>
      </w:tr>
      <w:tr>
        <w:trPr>
          <w:cantSplit/>
          <w:trHeight w:val="189"/>
        </w:trPr>
        <w:tc>
          <w:tcPr>
            <w:tcW w:w="869" w:type="dxa"/>
          </w:tcPr>
          <w:p>
            <w:pPr>
              <w:pStyle w:val="yTableNAm"/>
            </w:pPr>
            <w:r>
              <w:t>1.</w:t>
            </w:r>
          </w:p>
        </w:tc>
        <w:tc>
          <w:tcPr>
            <w:tcW w:w="1612" w:type="dxa"/>
          </w:tcPr>
          <w:p>
            <w:pPr>
              <w:pStyle w:val="yTableNAm"/>
            </w:pPr>
            <w:r>
              <w:t>Dagger</w:t>
            </w:r>
          </w:p>
        </w:tc>
        <w:tc>
          <w:tcPr>
            <w:tcW w:w="4607" w:type="dxa"/>
          </w:tcPr>
          <w:p>
            <w:pPr>
              <w:pStyle w:val="yTableNAm"/>
            </w:pPr>
            <w:r>
              <w:t>Any dagger including a bayonet.</w:t>
            </w:r>
          </w:p>
        </w:tc>
      </w:tr>
      <w:tr>
        <w:trPr>
          <w:cantSplit/>
        </w:trPr>
        <w:tc>
          <w:tcPr>
            <w:tcW w:w="869" w:type="dxa"/>
          </w:tcPr>
          <w:p>
            <w:pPr>
              <w:pStyle w:val="yTableNAm"/>
            </w:pPr>
            <w:r>
              <w:t>2.</w:t>
            </w:r>
          </w:p>
        </w:tc>
        <w:tc>
          <w:tcPr>
            <w:tcW w:w="1612" w:type="dxa"/>
          </w:tcPr>
          <w:p>
            <w:pPr>
              <w:pStyle w:val="yTableNAm"/>
            </w:pPr>
            <w:r>
              <w:t>Halberd</w:t>
            </w:r>
          </w:p>
        </w:tc>
        <w:tc>
          <w:tcPr>
            <w:tcW w:w="4607" w:type="dxa"/>
          </w:tcPr>
          <w:p>
            <w:pPr>
              <w:pStyle w:val="yTableNAm"/>
            </w:pPr>
            <w:r>
              <w:t>An article (other than a spear) consisting of a stick or pole with a blade at the end made or modified to be used to injure or disable a person or as a martial arts weapon (for example, the martial arts weapon known as the naginata).</w:t>
            </w:r>
          </w:p>
        </w:tc>
      </w:tr>
      <w:tr>
        <w:trPr>
          <w:cantSplit/>
        </w:trPr>
        <w:tc>
          <w:tcPr>
            <w:tcW w:w="869" w:type="dxa"/>
          </w:tcPr>
          <w:p>
            <w:pPr>
              <w:pStyle w:val="yTableNAm"/>
            </w:pPr>
            <w:r>
              <w:t>3.</w:t>
            </w:r>
          </w:p>
        </w:tc>
        <w:tc>
          <w:tcPr>
            <w:tcW w:w="1612" w:type="dxa"/>
          </w:tcPr>
          <w:p>
            <w:pPr>
              <w:pStyle w:val="yTableNAm"/>
            </w:pPr>
            <w:r>
              <w:t>Hand or foot claws</w:t>
            </w:r>
          </w:p>
        </w:tc>
        <w:tc>
          <w:tcPr>
            <w:tcW w:w="4607" w:type="dxa"/>
          </w:tcPr>
          <w:p>
            <w:pPr>
              <w:pStyle w:val="yTableNAm"/>
            </w:pPr>
            <w:r>
              <w:t>An article consisting of claws that are made or modified to be attached to or worn on the hands or feet (for example, the martial arts weapons known as the ninja climbing claws, ninja hand claws and ninja foot claws).</w:t>
            </w:r>
          </w:p>
        </w:tc>
      </w:tr>
      <w:tr>
        <w:trPr>
          <w:cantSplit/>
        </w:trPr>
        <w:tc>
          <w:tcPr>
            <w:tcW w:w="869" w:type="dxa"/>
          </w:tcPr>
          <w:p>
            <w:pPr>
              <w:pStyle w:val="yTableNAm"/>
            </w:pPr>
            <w:r>
              <w:t>4.</w:t>
            </w:r>
          </w:p>
        </w:tc>
        <w:tc>
          <w:tcPr>
            <w:tcW w:w="1612" w:type="dxa"/>
          </w:tcPr>
          <w:p>
            <w:pPr>
              <w:pStyle w:val="yTableNAm"/>
            </w:pPr>
            <w:r>
              <w:t>Sword</w:t>
            </w:r>
          </w:p>
        </w:tc>
        <w:tc>
          <w:tcPr>
            <w:tcW w:w="4607" w:type="dxa"/>
          </w:tcPr>
          <w:p>
            <w:pPr>
              <w:pStyle w:val="yTableNAm"/>
            </w:pPr>
            <w:r>
              <w:t>Any sword (for example, the martial arts weapons known as the butterfly sword, katana, wakizashi and tanto).</w:t>
            </w:r>
          </w:p>
        </w:tc>
      </w:tr>
      <w:tr>
        <w:trPr>
          <w:cantSplit/>
        </w:trPr>
        <w:tc>
          <w:tcPr>
            <w:tcW w:w="869" w:type="dxa"/>
          </w:tcPr>
          <w:p>
            <w:pPr>
              <w:pStyle w:val="yTableNAm"/>
            </w:pPr>
            <w:r>
              <w:t>5.</w:t>
            </w:r>
          </w:p>
        </w:tc>
        <w:tc>
          <w:tcPr>
            <w:tcW w:w="1612" w:type="dxa"/>
          </w:tcPr>
          <w:p>
            <w:pPr>
              <w:pStyle w:val="yTableNAm"/>
            </w:pPr>
            <w:r>
              <w:t>Throwing blade or knife</w:t>
            </w:r>
          </w:p>
        </w:tc>
        <w:tc>
          <w:tcPr>
            <w:tcW w:w="4607" w:type="dxa"/>
          </w:tcPr>
          <w:p>
            <w:pPr>
              <w:pStyle w:val="yTableNAm"/>
              <w:rPr>
                <w:rStyle w:val="DraftersNotes"/>
              </w:rPr>
            </w:pPr>
            <w:r>
              <w:t>A blade or knife made or modified to be thrown, including an article consisting of a blade attached to a cord, rope or chain to enable the blade to be thrown and retrieved (for example, the martial arts weapon known as the shoge, ninja kyokeysu shoge or kyotetsu shoge).</w:t>
            </w:r>
          </w:p>
        </w:tc>
      </w:tr>
      <w:tr>
        <w:trPr>
          <w:cantSplit/>
        </w:trPr>
        <w:tc>
          <w:tcPr>
            <w:tcW w:w="869" w:type="dxa"/>
          </w:tcPr>
          <w:p>
            <w:pPr>
              <w:pStyle w:val="yTableNAm"/>
            </w:pPr>
            <w:r>
              <w:t>6.</w:t>
            </w:r>
          </w:p>
        </w:tc>
        <w:tc>
          <w:tcPr>
            <w:tcW w:w="1612" w:type="dxa"/>
          </w:tcPr>
          <w:p>
            <w:pPr>
              <w:pStyle w:val="yTableNAm"/>
            </w:pPr>
            <w:r>
              <w:t>Throwing star</w:t>
            </w:r>
          </w:p>
        </w:tc>
        <w:tc>
          <w:tcPr>
            <w:tcW w:w="4607" w:type="dxa"/>
          </w:tcPr>
          <w:p>
            <w:pPr>
              <w:pStyle w:val="yTableNAm"/>
            </w:pPr>
            <w:r>
              <w:t>A sharpened, star</w:t>
            </w:r>
            <w:r>
              <w:noBreakHyphen/>
              <w:t>shaped article made or modified to be thrown (for example, the martial arts weapon known as the shuriken or shaken), including a throwing star attached to a belt buckle.</w:t>
            </w:r>
          </w:p>
        </w:tc>
      </w:tr>
    </w:tbl>
    <w:p>
      <w:pPr>
        <w:pStyle w:val="yFootnotesection"/>
      </w:pPr>
      <w:r>
        <w:tab/>
        <w:t>[Schedule 3 inserted: SL 2024/282 r.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41" w:name="_Toc184973416"/>
      <w:bookmarkStart w:id="42" w:name="_Toc184977004"/>
      <w:bookmarkStart w:id="43" w:name="_Toc184977259"/>
      <w:bookmarkStart w:id="44" w:name="_Toc184986115"/>
      <w:bookmarkStart w:id="45" w:name="_Toc184993412"/>
      <w:r>
        <w:lastRenderedPageBreak/>
        <w:t>Notes</w:t>
      </w:r>
      <w:bookmarkEnd w:id="41"/>
      <w:bookmarkEnd w:id="42"/>
      <w:bookmarkEnd w:id="43"/>
      <w:bookmarkEnd w:id="44"/>
      <w:bookmarkEnd w:id="45"/>
    </w:p>
    <w:p>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w:t>
      </w:r>
    </w:p>
    <w:p>
      <w:pPr>
        <w:pStyle w:val="nHeading3"/>
      </w:pPr>
      <w:bookmarkStart w:id="46" w:name="_Toc184993413"/>
      <w:r>
        <w:t>Compilation table</w:t>
      </w:r>
      <w:bookmarkEnd w:id="46"/>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trPr>
          <w:tblHeader/>
        </w:trPr>
        <w:tc>
          <w:tcPr>
            <w:tcW w:w="3091"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lastRenderedPageBreak/>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2019</w:t>
            </w:r>
          </w:p>
        </w:tc>
        <w:tc>
          <w:tcPr>
            <w:tcW w:w="1276" w:type="dxa"/>
          </w:tcPr>
          <w:p>
            <w:pPr>
              <w:pStyle w:val="nTable"/>
              <w:spacing w:after="40"/>
              <w:ind w:left="51"/>
            </w:pPr>
            <w:r>
              <w:t>22 Oct 2019 p. 3718</w:t>
            </w:r>
            <w:r>
              <w:noBreakHyphen/>
              <w:t>19</w:t>
            </w:r>
          </w:p>
        </w:tc>
        <w:tc>
          <w:tcPr>
            <w:tcW w:w="2693" w:type="dxa"/>
          </w:tcPr>
          <w:p>
            <w:pPr>
              <w:pStyle w:val="nTable"/>
              <w:spacing w:after="40"/>
              <w:ind w:left="35"/>
            </w:pPr>
            <w:r>
              <w:t>r. 1 and 2: 22 Oct 2019 (see r. 2(a));</w:t>
            </w:r>
            <w:r>
              <w:br/>
              <w:t>Regulations other than r. 1 and 2: 23 Oct 2019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2021</w:t>
            </w:r>
          </w:p>
        </w:tc>
        <w:tc>
          <w:tcPr>
            <w:tcW w:w="1276" w:type="dxa"/>
            <w:tcBorders>
              <w:top w:val="nil"/>
              <w:bottom w:val="nil"/>
            </w:tcBorders>
          </w:tcPr>
          <w:p>
            <w:pPr>
              <w:pStyle w:val="nTable"/>
              <w:spacing w:after="40"/>
              <w:ind w:left="51"/>
            </w:pPr>
            <w:r>
              <w:t>SL 2021/120 2 Jul 2021</w:t>
            </w:r>
          </w:p>
        </w:tc>
        <w:tc>
          <w:tcPr>
            <w:tcW w:w="2693" w:type="dxa"/>
            <w:tcBorders>
              <w:top w:val="nil"/>
              <w:bottom w:val="nil"/>
            </w:tcBorders>
          </w:tcPr>
          <w:p>
            <w:pPr>
              <w:pStyle w:val="nTable"/>
              <w:spacing w:after="40"/>
              <w:ind w:left="35"/>
            </w:pPr>
            <w:r>
              <w:t>r. 1 and 2: 2 Jul 2021 (see r. 2(a));</w:t>
            </w:r>
            <w:r>
              <w:br/>
              <w:t>Regulations other than r. 1 and 2: 3 Jul 2021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2024</w:t>
            </w:r>
          </w:p>
        </w:tc>
        <w:tc>
          <w:tcPr>
            <w:tcW w:w="1276" w:type="dxa"/>
            <w:tcBorders>
              <w:top w:val="nil"/>
              <w:bottom w:val="nil"/>
            </w:tcBorders>
          </w:tcPr>
          <w:p>
            <w:pPr>
              <w:pStyle w:val="nTable"/>
              <w:spacing w:after="40"/>
              <w:ind w:left="51"/>
            </w:pPr>
            <w:r>
              <w:t>SL 2024/267 11 Dec 2024</w:t>
            </w:r>
          </w:p>
        </w:tc>
        <w:tc>
          <w:tcPr>
            <w:tcW w:w="2693" w:type="dxa"/>
            <w:tcBorders>
              <w:top w:val="nil"/>
              <w:bottom w:val="nil"/>
            </w:tcBorders>
          </w:tcPr>
          <w:p>
            <w:pPr>
              <w:pStyle w:val="nTable"/>
              <w:spacing w:after="40"/>
              <w:ind w:left="35"/>
            </w:pPr>
            <w:r>
              <w:t>r. 1 and 2: 11 Dec 2024 (see r. 2(a));</w:t>
            </w:r>
            <w:r>
              <w:br/>
              <w:t>Regulations other than r. 1 and 2: 12 Dec 2024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bottom w:val="single" w:sz="4" w:space="0" w:color="auto"/>
            </w:tcBorders>
          </w:tcPr>
          <w:p>
            <w:pPr>
              <w:pStyle w:val="nTable"/>
              <w:spacing w:after="40"/>
              <w:ind w:right="113"/>
              <w:rPr>
                <w:iCs/>
              </w:rPr>
            </w:pPr>
            <w:r>
              <w:rPr>
                <w:i/>
              </w:rPr>
              <w:t>Police Regulations Amendment (Edged Weapons and Move On Orders) Regulations 2024</w:t>
            </w:r>
            <w:r>
              <w:rPr>
                <w:iCs/>
              </w:rPr>
              <w:t xml:space="preserve"> Pt. 3</w:t>
            </w:r>
          </w:p>
        </w:tc>
        <w:tc>
          <w:tcPr>
            <w:tcW w:w="1276" w:type="dxa"/>
            <w:tcBorders>
              <w:bottom w:val="single" w:sz="4" w:space="0" w:color="auto"/>
            </w:tcBorders>
          </w:tcPr>
          <w:p>
            <w:pPr>
              <w:pStyle w:val="nTable"/>
              <w:spacing w:after="40"/>
              <w:ind w:left="51"/>
            </w:pPr>
            <w:r>
              <w:t>SL 2024/282 18 Dec 2024</w:t>
            </w:r>
          </w:p>
        </w:tc>
        <w:tc>
          <w:tcPr>
            <w:tcW w:w="2693" w:type="dxa"/>
            <w:tcBorders>
              <w:bottom w:val="single" w:sz="4" w:space="0" w:color="auto"/>
            </w:tcBorders>
          </w:tcPr>
          <w:p>
            <w:pPr>
              <w:pStyle w:val="nTable"/>
              <w:spacing w:after="40"/>
              <w:ind w:left="35"/>
            </w:pPr>
            <w:r>
              <w:t>20 Dec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48" w:name="_Toc184973418"/>
      <w:bookmarkStart w:id="49" w:name="_Toc184977006"/>
      <w:bookmarkStart w:id="50" w:name="_Toc184977261"/>
      <w:bookmarkStart w:id="51" w:name="_Toc184986117"/>
      <w:bookmarkStart w:id="52" w:name="_Toc184993414"/>
      <w:r>
        <w:rPr>
          <w:sz w:val="28"/>
        </w:rPr>
        <w:lastRenderedPageBreak/>
        <w:t>Defined terms</w:t>
      </w:r>
      <w:bookmarkEnd w:id="48"/>
      <w:bookmarkEnd w:id="49"/>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electric shock case</w:t>
      </w:r>
      <w:r>
        <w:tab/>
        <w:t>3</w:t>
      </w:r>
    </w:p>
    <w:p>
      <w:pPr>
        <w:pStyle w:val="DefinedTerms"/>
      </w:pPr>
      <w:r>
        <w:t>Archery Australia (Inc.) member</w:t>
      </w:r>
      <w:r>
        <w:tab/>
        <w:t>14(1)</w:t>
      </w:r>
    </w:p>
    <w:p>
      <w:pPr>
        <w:pStyle w:val="DefinedTerms"/>
      </w:pPr>
      <w:r>
        <w:t>aviation security inspector</w:t>
      </w:r>
      <w:r>
        <w:tab/>
        <w:t>12A(1)</w:t>
      </w:r>
    </w:p>
    <w:p>
      <w:pPr>
        <w:pStyle w:val="DefinedTerms"/>
      </w:pPr>
      <w:r>
        <w:t>baton</w:t>
      </w:r>
      <w:r>
        <w:tab/>
        <w:t>3</w:t>
      </w:r>
    </w:p>
    <w:p>
      <w:pPr>
        <w:pStyle w:val="DefinedTerms"/>
      </w:pPr>
      <w:r>
        <w:t>capsicum spray weapon</w:t>
      </w:r>
      <w:r>
        <w:tab/>
        <w:t>3</w:t>
      </w:r>
    </w:p>
    <w:p>
      <w:pPr>
        <w:pStyle w:val="DefinedTerms"/>
      </w:pPr>
      <w:r>
        <w:t>catapult</w:t>
      </w:r>
      <w:r>
        <w:tab/>
        <w:t>3</w:t>
      </w:r>
    </w:p>
    <w:p>
      <w:pPr>
        <w:pStyle w:val="DefinedTerms"/>
      </w:pPr>
      <w:r>
        <w:t>crossbow</w:t>
      </w:r>
      <w:r>
        <w:tab/>
        <w:t>14(1)</w:t>
      </w:r>
    </w:p>
    <w:p>
      <w:pPr>
        <w:pStyle w:val="DefinedTerms"/>
      </w:pPr>
      <w:r>
        <w:t>custodial officer</w:t>
      </w:r>
      <w:r>
        <w:tab/>
        <w:t>10A(1)</w:t>
      </w:r>
    </w:p>
    <w:p>
      <w:pPr>
        <w:pStyle w:val="DefinedTerms"/>
      </w:pPr>
      <w:r>
        <w:t>discharge</w:t>
      </w:r>
      <w:r>
        <w:tab/>
        <w:t>3</w:t>
      </w:r>
    </w:p>
    <w:p>
      <w:pPr>
        <w:pStyle w:val="DefinedTerms"/>
      </w:pPr>
      <w:r>
        <w:t>dramatic production</w:t>
      </w:r>
      <w:r>
        <w:tab/>
        <w:t>13(1)</w:t>
      </w:r>
    </w:p>
    <w:p>
      <w:pPr>
        <w:pStyle w:val="DefinedTerms"/>
      </w:pPr>
      <w:r>
        <w:t>exempt arbalest</w:t>
      </w:r>
      <w:r>
        <w:tab/>
        <w:t>14(1)</w:t>
      </w:r>
    </w:p>
    <w:p>
      <w:pPr>
        <w:pStyle w:val="DefinedTerms"/>
      </w:pPr>
      <w:r>
        <w:t>exempt collector</w:t>
      </w:r>
      <w:r>
        <w:tab/>
        <w:t>9(6)</w:t>
      </w:r>
    </w:p>
    <w:p>
      <w:pPr>
        <w:pStyle w:val="DefinedTerms"/>
      </w:pPr>
      <w:r>
        <w:t>exempt event</w:t>
      </w:r>
      <w:r>
        <w:tab/>
        <w:t>11(1)</w:t>
      </w:r>
    </w:p>
    <w:p>
      <w:pPr>
        <w:pStyle w:val="DefinedTerms"/>
      </w:pPr>
      <w:r>
        <w:t>exemption notice</w:t>
      </w:r>
      <w:r>
        <w:tab/>
        <w:t>13(1)</w:t>
      </w:r>
    </w:p>
    <w:p>
      <w:pPr>
        <w:pStyle w:val="DefinedTerms"/>
      </w:pPr>
      <w:r>
        <w:t>exempt production</w:t>
      </w:r>
      <w:r>
        <w:tab/>
        <w:t>13(1)</w:t>
      </w:r>
    </w:p>
    <w:p>
      <w:pPr>
        <w:pStyle w:val="DefinedTerms"/>
      </w:pPr>
      <w:r>
        <w:t>extendable baton</w:t>
      </w:r>
      <w:r>
        <w:tab/>
        <w:t>8(2)</w:t>
      </w:r>
    </w:p>
    <w:p>
      <w:pPr>
        <w:pStyle w:val="DefinedTerms"/>
      </w:pPr>
      <w:r>
        <w:t>injure or disable</w:t>
      </w:r>
      <w:r>
        <w:tab/>
        <w:t>3</w:t>
      </w:r>
    </w:p>
    <w:p>
      <w:pPr>
        <w:pStyle w:val="DefinedTerms"/>
      </w:pPr>
      <w:r>
        <w:t>maritime security inspector</w:t>
      </w:r>
      <w:r>
        <w:tab/>
        <w:t>12A(1)</w:t>
      </w:r>
    </w:p>
    <w:p>
      <w:pPr>
        <w:pStyle w:val="DefinedTerms"/>
      </w:pPr>
      <w:r>
        <w:t>martial arts weapon</w:t>
      </w:r>
      <w:r>
        <w:tab/>
        <w:t>3</w:t>
      </w:r>
    </w:p>
    <w:p>
      <w:pPr>
        <w:pStyle w:val="DefinedTerms"/>
      </w:pPr>
      <w:r>
        <w:t>missile</w:t>
      </w:r>
      <w:r>
        <w:tab/>
        <w:t>3</w:t>
      </w:r>
    </w:p>
    <w:p>
      <w:pPr>
        <w:pStyle w:val="DefinedTerms"/>
      </w:pPr>
      <w:r>
        <w:t>participant</w:t>
      </w:r>
      <w:r>
        <w:tab/>
        <w:t>11(1)</w:t>
      </w:r>
    </w:p>
    <w:p>
      <w:pPr>
        <w:pStyle w:val="DefinedTerms"/>
      </w:pPr>
      <w:r>
        <w:t>possess</w:t>
      </w:r>
      <w:r>
        <w:tab/>
        <w:t>11(1)</w:t>
      </w:r>
    </w:p>
    <w:p>
      <w:pPr>
        <w:pStyle w:val="DefinedTerms"/>
      </w:pPr>
      <w:r>
        <w:t>relevant date</w:t>
      </w:r>
      <w:r>
        <w:tab/>
        <w:t>9(6)</w:t>
      </w:r>
    </w:p>
    <w:p>
      <w:pPr>
        <w:pStyle w:val="DefinedTerms"/>
      </w:pPr>
      <w:r>
        <w:t>Secretary</w:t>
      </w:r>
      <w:r>
        <w:tab/>
        <w:t>12A(1)</w:t>
      </w:r>
    </w:p>
    <w:p>
      <w:pPr>
        <w:pStyle w:val="DefinedTerms"/>
      </w:pPr>
      <w:r>
        <w:t>specified prohibited weapon</w:t>
      </w:r>
      <w:r>
        <w:tab/>
        <w:t>9(6)</w:t>
      </w:r>
    </w:p>
    <w:p>
      <w:pPr>
        <w:pStyle w:val="DefinedTerms"/>
      </w:pPr>
      <w:r>
        <w:t>specified weapon</w:t>
      </w:r>
      <w:r>
        <w:tab/>
        <w:t>13(1)</w:t>
      </w:r>
    </w:p>
    <w:p>
      <w:pPr>
        <w:pStyle w:val="DefinedTerms"/>
      </w:pPr>
      <w:r>
        <w:t>spray weapon</w:t>
      </w:r>
      <w:r>
        <w:tab/>
        <w:t>3</w:t>
      </w:r>
    </w:p>
    <w:p>
      <w:pPr>
        <w:pStyle w:val="DefinedTerms"/>
      </w:pPr>
      <w:r>
        <w:t>WA Disabled Sports Association (Inc.) member</w:t>
      </w:r>
      <w:r>
        <w:tab/>
        <w:t>11(1)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A1064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6603262" w14:textId="3FBEF021" w:rsidR="00AE038D" w:rsidRDefault="00A902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17E8">
                        <w:rPr>
                          <w:sz w:val="16"/>
                        </w:rPr>
                        <w:t>2024</w:t>
                      </w:r>
                      <w:r>
                        <w:rPr>
                          <w:sz w:val="16"/>
                        </w:rPr>
                        <w:fldChar w:fldCharType="end"/>
                      </w:r>
                      <w:r>
                        <w:rPr>
                          <w:sz w:val="16"/>
                        </w:rPr>
                        <w:t>.</w:t>
                      </w:r>
                    </w:p>
                    <w:p w14:paraId="6379DE73" w14:textId="77777777" w:rsidR="00AE038D" w:rsidRDefault="00A902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57BD90" w14:textId="347249E2" w:rsidR="00AE038D" w:rsidRDefault="00A902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17E8">
                        <w:rPr>
                          <w:sz w:val="16"/>
                        </w:rPr>
                        <w:t>2024</w:t>
                      </w:r>
                      <w:r>
                        <w:rPr>
                          <w:sz w:val="16"/>
                        </w:rPr>
                        <w:fldChar w:fldCharType="end"/>
                      </w:r>
                      <w:r>
                        <w:rPr>
                          <w:sz w:val="16"/>
                        </w:rPr>
                        <w:t>.</w:t>
                      </w:r>
                    </w:p>
                    <w:p w14:paraId="22102AB6" w14:textId="77777777" w:rsidR="00AE038D" w:rsidRDefault="00A9028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090816"/>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 w:name="WAFER_20241213090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0755_GUID" w:val="3d796258-744f-4cac-a17c-c6e24f92b57c"/>
    <w:docVar w:name="WAFER_20241213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090816_GUID" w:val="8bab2a63-266f-40f6-ac1a-98900c5d06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98CD-393C-42B6-A0E1-988D5AFC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5731</Words>
  <Characters>26592</Characters>
  <Application>Microsoft Office Word</Application>
  <DocSecurity>0</DocSecurity>
  <Lines>949</Lines>
  <Paragraphs>577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1999 - 03-g0-00</dc:title>
  <dc:subject/>
  <dc:creator/>
  <cp:keywords/>
  <dc:description/>
  <cp:lastModifiedBy>Master Repository Process</cp:lastModifiedBy>
  <cp:revision>4</cp:revision>
  <cp:lastPrinted>2017-06-29T08:54:00Z</cp:lastPrinted>
  <dcterms:created xsi:type="dcterms:W3CDTF">2025-06-09T03:45:00Z</dcterms:created>
  <dcterms:modified xsi:type="dcterms:W3CDTF">2025-06-09T03:45:00Z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AsAtDate">
    <vt:lpwstr>20 Dec 2024</vt:lpwstr>
  </property>
  <property fmtid="{D5CDD505-2E9C-101B-9397-08002B2CF9AE}" pid="8" name="Suffix">
    <vt:lpwstr>03-g0-00</vt:lpwstr>
  </property>
  <property fmtid="{D5CDD505-2E9C-101B-9397-08002B2CF9AE}" pid="9" name="Official">
    <vt:lpwstr/>
  </property>
  <property fmtid="{D5CDD505-2E9C-101B-9397-08002B2CF9AE}" pid="10" name="CommencementDate">
    <vt:lpwstr>20241220</vt:lpwstr>
  </property>
  <property fmtid="{D5CDD505-2E9C-101B-9397-08002B2CF9AE}" pid="11" name="CommencementAsAt">
    <vt:filetime>2024-12-19T16:00:00Z</vt:filetime>
  </property>
  <property fmtid="{D5CDD505-2E9C-101B-9397-08002B2CF9AE}" pid="12" name="CommencementYear">
    <vt:lpwstr>2024</vt:lpwstr>
  </property>
</Properties>
</file>