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(No. 2)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_Toc185346469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_Toc185346470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_Toc185346471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33B amended</w:t>
      </w:r>
      <w:r>
        <w:tab/>
      </w:r>
      <w:r>
        <w:fldChar w:fldCharType="begin"/>
      </w:r>
      <w:r>
        <w:instrText xml:space="preserve"> PAGEREF _Toc185346472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33C amended</w:t>
      </w:r>
      <w:r>
        <w:tab/>
      </w:r>
      <w:r>
        <w:fldChar w:fldCharType="begin"/>
      </w:r>
      <w:r>
        <w:instrText xml:space="preserve"> PAGEREF _Toc185346473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345955"/>
      <w:bookmarkStart w:id="3" w:name="_Toc18534646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5345956"/>
      <w:bookmarkStart w:id="6" w:name="_Toc1853464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5345957"/>
      <w:bookmarkStart w:id="8" w:name="_Toc1853464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Environmental Protection Regulations 1987</w:t>
      </w:r>
      <w:r>
        <w:t>.</w:t>
      </w:r>
    </w:p>
    <w:p>
      <w:pPr>
        <w:pStyle w:val="Heading5"/>
      </w:pPr>
      <w:bookmarkStart w:id="9" w:name="_Toc185345958"/>
      <w:bookmarkStart w:id="10" w:name="_Toc185346472"/>
      <w:r>
        <w:rPr>
          <w:rStyle w:val="CharSectno"/>
        </w:rPr>
        <w:t>4</w:t>
      </w:r>
      <w:r>
        <w:t>.</w:t>
      </w:r>
      <w:r>
        <w:tab/>
        <w:t>Regulation 33B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33B(1)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Scheme;</w:t>
      </w:r>
    </w:p>
    <w:p>
      <w:pPr>
        <w:pStyle w:val="z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33B(2):</w:t>
      </w:r>
    </w:p>
    <w:p>
      <w:pPr>
        <w:pStyle w:val="Indenta"/>
      </w:pPr>
      <w:r>
        <w:tab/>
        <w:t>(a)</w:t>
      </w:r>
      <w:r>
        <w:tab/>
        <w:t>in paragraph (b) delete the passage that begins with “error if —” and continues to the end of the paragraph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error if the error is in, or otherwise relates to, a map, plan or diagram included in the scheme;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(c) insert:</w:t>
      </w:r>
    </w:p>
    <w:p>
      <w:pPr>
        <w:pStyle w:val="BlankOpen"/>
      </w:pPr>
    </w:p>
    <w:p>
      <w:pPr>
        <w:pStyle w:val="zIndenta"/>
      </w:pPr>
      <w:r>
        <w:tab/>
        <w:t>(ca)</w:t>
      </w:r>
      <w:r>
        <w:tab/>
        <w:t>an amendment to add land to a Bush Forever area;</w:t>
      </w:r>
    </w:p>
    <w:p>
      <w:pPr>
        <w:pStyle w:val="BlankClose"/>
      </w:pPr>
    </w:p>
    <w:p>
      <w:pPr>
        <w:pStyle w:val="Heading5"/>
      </w:pPr>
      <w:bookmarkStart w:id="11" w:name="_Toc185345959"/>
      <w:bookmarkStart w:id="12" w:name="_Toc185346473"/>
      <w:r>
        <w:rPr>
          <w:rStyle w:val="CharSectno"/>
        </w:rPr>
        <w:t>5</w:t>
      </w:r>
      <w:r>
        <w:t>.</w:t>
      </w:r>
      <w:r>
        <w:tab/>
        <w:t>Regulation 33C amended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In regulation 33C(1)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development</w:t>
      </w:r>
      <w:r>
        <w:t xml:space="preserve"> has the meaning given in the </w:t>
      </w:r>
      <w:r>
        <w:rPr>
          <w:i/>
          <w:iCs/>
        </w:rPr>
        <w:t>Planning and Development Act 2005</w:t>
      </w:r>
      <w:r>
        <w:t xml:space="preserve"> section 4(1);</w:t>
      </w:r>
    </w:p>
    <w:p>
      <w:pPr>
        <w:pStyle w:val="zDefstart"/>
        <w:rPr>
          <w:sz w:val="22"/>
        </w:rPr>
      </w:pPr>
      <w:r>
        <w:rPr>
          <w:b/>
          <w:bCs/>
          <w:i/>
          <w:iCs/>
        </w:rPr>
        <w:tab/>
      </w:r>
      <w:r>
        <w:rPr>
          <w:rStyle w:val="CharDefText"/>
        </w:rPr>
        <w:t>local development plan</w:t>
      </w:r>
      <w:r>
        <w:t xml:space="preserve"> has the meaning given in the </w:t>
      </w:r>
      <w:r>
        <w:rPr>
          <w:i/>
          <w:iCs/>
        </w:rPr>
        <w:t>Planning and Development (Local Planning Schemes) Regulations 2015</w:t>
      </w:r>
      <w:r>
        <w:t xml:space="preserve"> Schedule 2 clause 46;</w:t>
      </w:r>
    </w:p>
    <w:p>
      <w:pPr>
        <w:pStyle w:val="zDefstart"/>
      </w:pPr>
      <w:r>
        <w:rPr>
          <w:b/>
          <w:bCs/>
          <w:i/>
          <w:iCs/>
        </w:rPr>
        <w:tab/>
      </w:r>
      <w:r>
        <w:rPr>
          <w:rStyle w:val="CharDefText"/>
        </w:rPr>
        <w:t>scheme map</w:t>
      </w:r>
      <w:r>
        <w:t xml:space="preserve"> has the meaning given in the </w:t>
      </w:r>
      <w:r>
        <w:rPr>
          <w:i/>
          <w:iCs/>
        </w:rPr>
        <w:t>Planning and Development (Local Planning Schemes) Regulations 2015</w:t>
      </w:r>
      <w:r>
        <w:t xml:space="preserve"> regulation 3;</w:t>
      </w:r>
    </w:p>
    <w:p>
      <w:pPr>
        <w:pStyle w:val="zDefstart"/>
      </w:pPr>
      <w:r>
        <w:rPr>
          <w:b/>
          <w:bCs/>
          <w:i/>
          <w:iCs/>
        </w:rPr>
        <w:tab/>
      </w:r>
      <w:r>
        <w:rPr>
          <w:rStyle w:val="CharDefText"/>
        </w:rPr>
        <w:t>structure plan</w:t>
      </w:r>
      <w:r>
        <w:t xml:space="preserve"> has the meaning given in the </w:t>
      </w:r>
      <w:r>
        <w:rPr>
          <w:i/>
          <w:iCs/>
        </w:rPr>
        <w:t>Planning and Development (Local Planning Schemes) Regulations 2015</w:t>
      </w:r>
      <w:r>
        <w:t xml:space="preserve"> Schedule 2 clause 14.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 xml:space="preserve">In regulation 33C(1) in the definition of </w:t>
      </w:r>
      <w:r>
        <w:rPr>
          <w:b/>
          <w:i/>
        </w:rPr>
        <w:t>R-Codes</w:t>
      </w:r>
      <w:r>
        <w:t xml:space="preserve"> delete “clause 1.”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clause 1;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33C(2):</w:t>
      </w:r>
    </w:p>
    <w:p>
      <w:pPr>
        <w:pStyle w:val="Indenta"/>
      </w:pPr>
      <w:r>
        <w:tab/>
        <w:t>(a)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 xml:space="preserve">an amendment referred to in paragraph(a)(i) to (iv), (vi) or (viii) of the definition of </w:t>
      </w:r>
      <w:bookmarkStart w:id="13" w:name="RuleErr_0001"/>
      <w:r>
        <w:rPr>
          <w:b/>
          <w:bCs/>
          <w:i/>
          <w:iCs/>
        </w:rPr>
        <w:t>basic amendment</w:t>
      </w:r>
      <w:bookmarkEnd w:id="13"/>
      <w:r>
        <w:t xml:space="preserve"> in the </w:t>
      </w:r>
      <w:r>
        <w:rPr>
          <w:i/>
          <w:iCs/>
        </w:rPr>
        <w:t>Planning and Development (Local Planning Schemes) Regulations 2015</w:t>
      </w:r>
      <w:r>
        <w:t xml:space="preserve"> regulation 34;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delete paragraph (c) and insert:</w:t>
      </w:r>
    </w:p>
    <w:p>
      <w:pPr>
        <w:pStyle w:val="BlankOpen"/>
      </w:pPr>
    </w:p>
    <w:p>
      <w:pPr>
        <w:pStyle w:val="zIndenta"/>
        <w:keepNext/>
      </w:pPr>
      <w:r>
        <w:tab/>
        <w:t>(c)</w:t>
      </w:r>
      <w:r>
        <w:tab/>
        <w:t xml:space="preserve">an amendment to classify an area of land as a reserve for the purpose of — </w:t>
      </w:r>
    </w:p>
    <w:p>
      <w:pPr>
        <w:pStyle w:val="zIndenti"/>
      </w:pPr>
      <w:r>
        <w:tab/>
        <w:t>(i)</w:t>
      </w:r>
      <w:r>
        <w:tab/>
        <w:t>public open space; or</w:t>
      </w:r>
    </w:p>
    <w:p>
      <w:pPr>
        <w:pStyle w:val="zIndenti"/>
      </w:pPr>
      <w:r>
        <w:tab/>
        <w:t>(ii)</w:t>
      </w:r>
      <w:r>
        <w:tab/>
        <w:t>environmental conservation; or</w:t>
      </w:r>
    </w:p>
    <w:p>
      <w:pPr>
        <w:pStyle w:val="zIndenti"/>
      </w:pPr>
      <w:r>
        <w:tab/>
        <w:t>(iii)</w:t>
      </w:r>
      <w:r>
        <w:tab/>
        <w:t>State forest;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(g)(i) delete “replacing or redeveloping an existing building”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carrying out development 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(d)</w:t>
      </w:r>
      <w:r>
        <w:tab/>
        <w:t>in paragraph (l) delete “the term for which a development contribution plan is to have effect;”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any matter required to be set out in a development contribution plan under the </w:t>
      </w:r>
      <w:r>
        <w:rPr>
          <w:i/>
        </w:rPr>
        <w:t>Planning and Development (Local Planning Schemes) Regulations 2015</w:t>
      </w:r>
      <w:r>
        <w:t xml:space="preserve"> regulation 71(4);</w:t>
      </w:r>
    </w:p>
    <w:p>
      <w:pPr>
        <w:pStyle w:val="BlankClose"/>
      </w:pPr>
    </w:p>
    <w:p>
      <w:pPr>
        <w:pStyle w:val="Indenta"/>
      </w:pPr>
      <w:r>
        <w:tab/>
        <w:t>(e)</w:t>
      </w:r>
      <w:r>
        <w:tab/>
        <w:t>in paragraph (m) delete “use.”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use;</w:t>
      </w:r>
    </w:p>
    <w:p>
      <w:pPr>
        <w:pStyle w:val="BlankClose"/>
      </w:pPr>
    </w:p>
    <w:p>
      <w:pPr>
        <w:pStyle w:val="Indenta"/>
      </w:pPr>
      <w:r>
        <w:tab/>
        <w:t>(f)</w:t>
      </w:r>
      <w:r>
        <w:tab/>
        <w:t>after paragraph (m) insert:</w:t>
      </w:r>
    </w:p>
    <w:p>
      <w:pPr>
        <w:pStyle w:val="BlankOpen"/>
      </w:pPr>
    </w:p>
    <w:p>
      <w:pPr>
        <w:pStyle w:val="zIndenta"/>
      </w:pPr>
      <w:r>
        <w:tab/>
        <w:t>(n)</w:t>
      </w:r>
      <w:r>
        <w:tab/>
        <w:t xml:space="preserve">an amendment to the scheme map that is consistent with a structure plan or local development plan for land that has been entirely subdivided and developed if — </w:t>
      </w:r>
    </w:p>
    <w:p>
      <w:pPr>
        <w:pStyle w:val="zIndenti"/>
      </w:pPr>
      <w:r>
        <w:tab/>
        <w:t>(i)</w:t>
      </w:r>
      <w:r>
        <w:tab/>
        <w:t>the land has been subdivided and developed in a manner that is generally consistent with the structure plan or local development plan for which the amendment is intended to give effect; and</w:t>
      </w:r>
    </w:p>
    <w:p>
      <w:pPr>
        <w:pStyle w:val="zIndenti"/>
      </w:pPr>
      <w:r>
        <w:tab/>
        <w:t>(ii)</w:t>
      </w:r>
      <w:r>
        <w:tab/>
        <w:t>the amendment includes zones and reservations of all the types that are contemplated by the plan.</w:t>
      </w:r>
    </w:p>
    <w:p>
      <w:pPr>
        <w:pStyle w:val="BlankClose"/>
      </w:pPr>
    </w:p>
    <w:p>
      <w:pPr>
        <w:rPr>
          <w:szCs w:val="24"/>
        </w:rPr>
      </w:pPr>
      <w:r>
        <w:br w:type="page"/>
      </w:r>
    </w:p>
    <w:p>
      <w:pPr>
        <w:pStyle w:val="ByCommand"/>
      </w:pPr>
    </w:p>
    <w:p>
      <w:pPr>
        <w:pStyle w:val="ByCommand"/>
      </w:pPr>
      <w:r>
        <w:t>K. COLLERAN, Clerk of the Executive Council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6827080"/>
    <w:multiLevelType w:val="hybridMultilevel"/>
    <w:tmpl w:val="50682890"/>
    <w:lvl w:ilvl="0" w:tplc="0C09000F">
      <w:start w:val="1"/>
      <w:numFmt w:val="decimal"/>
      <w:lvlText w:val="%1."/>
      <w:lvlJc w:val="left"/>
      <w:pPr>
        <w:ind w:left="1976" w:hanging="360"/>
      </w:pPr>
    </w:lvl>
    <w:lvl w:ilvl="1" w:tplc="0C090019" w:tentative="1">
      <w:start w:val="1"/>
      <w:numFmt w:val="lowerLetter"/>
      <w:lvlText w:val="%2."/>
      <w:lvlJc w:val="left"/>
      <w:pPr>
        <w:ind w:left="2696" w:hanging="360"/>
      </w:pPr>
    </w:lvl>
    <w:lvl w:ilvl="2" w:tplc="0C09001B" w:tentative="1">
      <w:start w:val="1"/>
      <w:numFmt w:val="lowerRoman"/>
      <w:lvlText w:val="%3."/>
      <w:lvlJc w:val="right"/>
      <w:pPr>
        <w:ind w:left="3416" w:hanging="180"/>
      </w:pPr>
    </w:lvl>
    <w:lvl w:ilvl="3" w:tplc="0C09000F" w:tentative="1">
      <w:start w:val="1"/>
      <w:numFmt w:val="decimal"/>
      <w:lvlText w:val="%4."/>
      <w:lvlJc w:val="left"/>
      <w:pPr>
        <w:ind w:left="4136" w:hanging="360"/>
      </w:pPr>
    </w:lvl>
    <w:lvl w:ilvl="4" w:tplc="0C090019" w:tentative="1">
      <w:start w:val="1"/>
      <w:numFmt w:val="lowerLetter"/>
      <w:lvlText w:val="%5."/>
      <w:lvlJc w:val="left"/>
      <w:pPr>
        <w:ind w:left="4856" w:hanging="360"/>
      </w:pPr>
    </w:lvl>
    <w:lvl w:ilvl="5" w:tplc="0C09001B" w:tentative="1">
      <w:start w:val="1"/>
      <w:numFmt w:val="lowerRoman"/>
      <w:lvlText w:val="%6."/>
      <w:lvlJc w:val="right"/>
      <w:pPr>
        <w:ind w:left="5576" w:hanging="180"/>
      </w:pPr>
    </w:lvl>
    <w:lvl w:ilvl="6" w:tplc="0C09000F" w:tentative="1">
      <w:start w:val="1"/>
      <w:numFmt w:val="decimal"/>
      <w:lvlText w:val="%7."/>
      <w:lvlJc w:val="left"/>
      <w:pPr>
        <w:ind w:left="6296" w:hanging="360"/>
      </w:pPr>
    </w:lvl>
    <w:lvl w:ilvl="7" w:tplc="0C090019" w:tentative="1">
      <w:start w:val="1"/>
      <w:numFmt w:val="lowerLetter"/>
      <w:lvlText w:val="%8."/>
      <w:lvlJc w:val="left"/>
      <w:pPr>
        <w:ind w:left="7016" w:hanging="360"/>
      </w:pPr>
    </w:lvl>
    <w:lvl w:ilvl="8" w:tplc="0C09001B" w:tentative="1">
      <w:start w:val="1"/>
      <w:numFmt w:val="lowerRoman"/>
      <w:lvlText w:val="%9."/>
      <w:lvlJc w:val="right"/>
      <w:pPr>
        <w:ind w:left="7736" w:hanging="180"/>
      </w:p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0&lt;/Current&gt;&lt;Maximum&gt;1&lt;/Maximum&gt;&lt;/AllLaws&gt;"/>
    <w:docVar w:name="WAFER" w:val="2024121716380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9114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9114050_GUID" w:val="207f0332-e8eb-4b36-ac40-92bf052a29af"/>
    <w:docVar w:name="WAFER_202411191359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9135927_GUID" w:val="816af0c5-1e46-42e7-b51f-283d781a32cc"/>
    <w:docVar w:name="WAFER_20241217163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7163807_GUID" w:val="d0c03907-75f1-46b7-b9fb-175ffd35032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32ECB313-69C0-4B13-8308-446B8C5B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3593</Characters>
  <Application>Microsoft Office Word</Application>
  <DocSecurity>0</DocSecurity>
  <Lines>156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2025-06-13T05:13:00Z</dcterms:created>
  <dcterms:modified xsi:type="dcterms:W3CDTF">2025-06-13T05:13:00Z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55018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2024-12-17T16:00:00Z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2024/288</vt:lpwstr>
  </property>
  <property fmtid="{D5CDD505-2E9C-101B-9397-08002B2CF9AE}" pid="10" name="PublishDate">
    <vt:lpwstr>18 Dec 2024</vt:lpwstr>
  </property>
  <property fmtid="{D5CDD505-2E9C-101B-9397-08002B2CF9AE}" pid="11" name="CommencementDate">
    <vt:lpwstr>20241218</vt:lpwstr>
  </property>
</Properties>
</file>