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Transport (Road Passenger Services) Act 2018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Transport (Road Passenger Services) Amendment Regulations (No. 4)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Transport (Road Passenger Services) Amendment Regulations (No. 4)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_Toc185408359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_Toc185408360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_Toc185408361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2 clause 1 amended</w:t>
      </w:r>
      <w:r>
        <w:tab/>
      </w:r>
      <w:r>
        <w:fldChar w:fldCharType="begin"/>
      </w:r>
      <w:r>
        <w:instrText xml:space="preserve"> PAGEREF _Toc185408362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Schedule 3 clause 1 amended</w:t>
      </w:r>
      <w:r>
        <w:tab/>
      </w:r>
      <w:r>
        <w:fldChar w:fldCharType="begin"/>
      </w:r>
      <w:r>
        <w:instrText xml:space="preserve"> PAGEREF _Toc185408363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Transport (Road Passenger Services) Act 2018</w:t>
      </w:r>
    </w:p>
    <w:p>
      <w:pPr>
        <w:pStyle w:val="NameofActReg"/>
      </w:pPr>
      <w:r>
        <w:t>Transport (Road Passenger Services) Amendment Regulations (No. 4)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85408237"/>
      <w:bookmarkStart w:id="3" w:name="_Toc185408359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Transport (Road Passenger Services) Amendment Regulations (No. 4) 2024</w:t>
      </w:r>
      <w:r>
        <w:t>.</w:t>
      </w:r>
    </w:p>
    <w:p>
      <w:pPr>
        <w:pStyle w:val="Heading5"/>
        <w:rPr>
          <w:spacing w:val="-2"/>
        </w:rPr>
      </w:pPr>
      <w:bookmarkStart w:id="5" w:name="_Toc185408238"/>
      <w:bookmarkStart w:id="6" w:name="_Toc18540836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>Firearms Act 2024</w:t>
      </w:r>
      <w:r>
        <w:t xml:space="preserve"> section 440 comes into operation.</w:t>
      </w:r>
    </w:p>
    <w:p>
      <w:pPr>
        <w:pStyle w:val="Heading5"/>
        <w:rPr>
          <w:snapToGrid w:val="0"/>
        </w:rPr>
      </w:pPr>
      <w:bookmarkStart w:id="7" w:name="_Toc185408239"/>
      <w:bookmarkStart w:id="8" w:name="_Toc18540836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Transport (Road Passenger Services) Regulations 2020</w:t>
      </w:r>
      <w:r>
        <w:t>.</w:t>
      </w:r>
    </w:p>
    <w:p>
      <w:pPr>
        <w:pStyle w:val="Heading5"/>
      </w:pPr>
      <w:bookmarkStart w:id="9" w:name="_Toc185408240"/>
      <w:bookmarkStart w:id="10" w:name="_Toc185408362"/>
      <w:r>
        <w:rPr>
          <w:rStyle w:val="CharSectno"/>
        </w:rPr>
        <w:t>4</w:t>
      </w:r>
      <w:r>
        <w:t>.</w:t>
      </w:r>
      <w:r>
        <w:tab/>
        <w:t>Schedule 2 clause 1 amended</w:t>
      </w:r>
      <w:bookmarkEnd w:id="9"/>
      <w:bookmarkEnd w:id="10"/>
    </w:p>
    <w:p>
      <w:pPr>
        <w:pStyle w:val="Subsection"/>
      </w:pPr>
      <w:r>
        <w:tab/>
        <w:t>(1)</w:t>
      </w:r>
      <w:r>
        <w:tab/>
        <w:t>In Schedule 2 clause 1 in the Table delete “</w:t>
      </w:r>
      <w:r>
        <w:rPr>
          <w:i/>
          <w:iCs/>
          <w:sz w:val="22"/>
        </w:rPr>
        <w:t>Firearms Act 1973</w:t>
      </w:r>
      <w:r>
        <w:t>” (1</w:t>
      </w:r>
      <w:r>
        <w:rPr>
          <w:vertAlign w:val="superscript"/>
        </w:rPr>
        <w:t>st</w:t>
      </w:r>
      <w:r>
        <w:t xml:space="preserve"> occurrence) and insert:</w:t>
      </w:r>
    </w:p>
    <w:p>
      <w:pPr>
        <w:pStyle w:val="BlankOpen"/>
      </w:pPr>
    </w:p>
    <w:p>
      <w:pPr>
        <w:pStyle w:val="Subsection"/>
        <w:tabs>
          <w:tab w:val="clear" w:pos="879"/>
          <w:tab w:val="left" w:pos="1022"/>
        </w:tabs>
        <w:ind w:left="851" w:firstLine="0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Firearms Act 1973, </w:t>
      </w:r>
      <w:r>
        <w:rPr>
          <w:sz w:val="22"/>
          <w:szCs w:val="22"/>
        </w:rPr>
        <w:t xml:space="preserve">as in force immediately before the </w:t>
      </w:r>
      <w:r>
        <w:rPr>
          <w:i/>
          <w:iCs/>
          <w:sz w:val="22"/>
          <w:szCs w:val="22"/>
        </w:rPr>
        <w:t>Firearms Act 2024</w:t>
      </w:r>
      <w:r>
        <w:rPr>
          <w:sz w:val="22"/>
          <w:szCs w:val="22"/>
        </w:rPr>
        <w:t xml:space="preserve"> section 440 comes into operation</w:t>
      </w:r>
    </w:p>
    <w:p>
      <w:pPr>
        <w:pStyle w:val="BlankClose"/>
      </w:pPr>
    </w:p>
    <w:p>
      <w:pPr>
        <w:pStyle w:val="Subsection"/>
        <w:keepNext/>
      </w:pPr>
      <w:r>
        <w:lastRenderedPageBreak/>
        <w:tab/>
        <w:t>(2)</w:t>
      </w:r>
      <w:r>
        <w:tab/>
        <w:t>In Schedule 2 clause 1 in the Table items 12 and 13 delete “</w:t>
      </w:r>
      <w:r>
        <w:rPr>
          <w:i/>
          <w:iCs/>
          <w:sz w:val="22"/>
        </w:rPr>
        <w:t>Firearms Act 1973</w:t>
      </w:r>
      <w:r>
        <w:t>” and insert:</w:t>
      </w:r>
    </w:p>
    <w:p>
      <w:pPr>
        <w:pStyle w:val="BlankOpen"/>
      </w:pPr>
    </w:p>
    <w:p>
      <w:pPr>
        <w:pStyle w:val="Subsection"/>
        <w:tabs>
          <w:tab w:val="clear" w:pos="879"/>
          <w:tab w:val="left" w:pos="1134"/>
        </w:tabs>
        <w:ind w:left="851" w:firstLine="0"/>
        <w:rPr>
          <w:sz w:val="22"/>
          <w:szCs w:val="22"/>
        </w:rPr>
      </w:pPr>
      <w:r>
        <w:rPr>
          <w:i/>
          <w:iCs/>
          <w:sz w:val="22"/>
          <w:szCs w:val="22"/>
        </w:rPr>
        <w:t>Firearms Act 1973</w:t>
      </w:r>
      <w:r>
        <w:rPr>
          <w:sz w:val="22"/>
          <w:szCs w:val="22"/>
        </w:rPr>
        <w:t xml:space="preserve">, as in force immediately before the </w:t>
      </w:r>
      <w:r>
        <w:rPr>
          <w:i/>
          <w:iCs/>
          <w:sz w:val="22"/>
          <w:szCs w:val="22"/>
        </w:rPr>
        <w:t>Firearms Act 2024</w:t>
      </w:r>
      <w:r>
        <w:rPr>
          <w:sz w:val="22"/>
          <w:szCs w:val="22"/>
        </w:rPr>
        <w:t xml:space="preserve"> section 440 comes into operation,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In Schedule 2 clause 1 in the Table after item 13 insert:</w:t>
      </w:r>
    </w:p>
    <w:p>
      <w:pPr>
        <w:pStyle w:val="BlankOpen"/>
      </w:pPr>
    </w:p>
    <w:tbl>
      <w:tblPr>
        <w:tblW w:w="708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2551"/>
        <w:gridCol w:w="1843"/>
        <w:gridCol w:w="1985"/>
      </w:tblGrid>
      <w:tr>
        <w:tc>
          <w:tcPr>
            <w:tcW w:w="7088" w:type="dxa"/>
            <w:gridSpan w:val="4"/>
            <w:noWrap/>
          </w:tcPr>
          <w:p>
            <w:pPr>
              <w:pStyle w:val="zyTableNAm"/>
              <w:rPr>
                <w:i/>
                <w:iCs/>
              </w:rPr>
            </w:pPr>
            <w:r>
              <w:rPr>
                <w:i/>
                <w:iCs/>
              </w:rPr>
              <w:t>Firearms Act 2024</w:t>
            </w:r>
          </w:p>
        </w:tc>
      </w:tr>
      <w:tr>
        <w:tc>
          <w:tcPr>
            <w:tcW w:w="709" w:type="dxa"/>
            <w:noWrap/>
          </w:tcPr>
          <w:p>
            <w:pPr>
              <w:pStyle w:val="zyTableNAm"/>
            </w:pPr>
            <w:r>
              <w:t>13A.</w:t>
            </w:r>
          </w:p>
        </w:tc>
        <w:tc>
          <w:tcPr>
            <w:tcW w:w="2551" w:type="dxa"/>
            <w:noWrap/>
          </w:tcPr>
          <w:p>
            <w:pPr>
              <w:pStyle w:val="zyTableNAm"/>
            </w:pPr>
            <w:r>
              <w:t xml:space="preserve">Offence under the </w:t>
            </w:r>
            <w:r>
              <w:rPr>
                <w:i/>
                <w:iCs/>
              </w:rPr>
              <w:t>Firearms Act 2024</w:t>
            </w:r>
            <w:r>
              <w:t xml:space="preserve"> if an offender is liable to a penalty of imprisonment for more than 2 years</w:t>
            </w:r>
          </w:p>
        </w:tc>
        <w:tc>
          <w:tcPr>
            <w:tcW w:w="1843" w:type="dxa"/>
            <w:noWrap/>
          </w:tcPr>
          <w:p>
            <w:pPr>
              <w:pStyle w:val="zyTableNAm"/>
            </w:pPr>
          </w:p>
        </w:tc>
        <w:tc>
          <w:tcPr>
            <w:tcW w:w="1985" w:type="dxa"/>
            <w:noWrap/>
          </w:tcPr>
          <w:p>
            <w:pPr>
              <w:pStyle w:val="zyTableNAm"/>
            </w:pPr>
            <w:r>
              <w:t>10 years</w:t>
            </w:r>
          </w:p>
        </w:tc>
      </w:tr>
      <w:tr>
        <w:tc>
          <w:tcPr>
            <w:tcW w:w="709" w:type="dxa"/>
            <w:noWrap/>
          </w:tcPr>
          <w:p>
            <w:pPr>
              <w:pStyle w:val="zyTableNAm"/>
            </w:pPr>
            <w:r>
              <w:t>13B.</w:t>
            </w:r>
          </w:p>
        </w:tc>
        <w:tc>
          <w:tcPr>
            <w:tcW w:w="2551" w:type="dxa"/>
            <w:noWrap/>
          </w:tcPr>
          <w:p>
            <w:pPr>
              <w:pStyle w:val="zyTableNAm"/>
            </w:pPr>
            <w:r>
              <w:t xml:space="preserve">Offence under the </w:t>
            </w:r>
            <w:r>
              <w:rPr>
                <w:i/>
                <w:iCs/>
              </w:rPr>
              <w:t>Firearms Act 2024</w:t>
            </w:r>
            <w:r>
              <w:t xml:space="preserve"> (other than an offence under section 39(7) of that Act) if an offender is liable to a penalty of imprisonment for at least 12 months but no more than 2 years</w:t>
            </w:r>
          </w:p>
        </w:tc>
        <w:tc>
          <w:tcPr>
            <w:tcW w:w="1843" w:type="dxa"/>
            <w:noWrap/>
          </w:tcPr>
          <w:p>
            <w:pPr>
              <w:pStyle w:val="zyTableNAm"/>
            </w:pPr>
          </w:p>
        </w:tc>
        <w:tc>
          <w:tcPr>
            <w:tcW w:w="1985" w:type="dxa"/>
            <w:noWrap/>
          </w:tcPr>
          <w:p>
            <w:pPr>
              <w:pStyle w:val="zyTableNAm"/>
            </w:pPr>
            <w:r>
              <w:t>12 months</w:t>
            </w:r>
          </w:p>
        </w:tc>
      </w:tr>
    </w:tbl>
    <w:p>
      <w:pPr>
        <w:pStyle w:val="BlankClose"/>
      </w:pPr>
    </w:p>
    <w:p>
      <w:pPr>
        <w:pStyle w:val="Heading5"/>
      </w:pPr>
      <w:bookmarkStart w:id="11" w:name="_Toc185408241"/>
      <w:bookmarkStart w:id="12" w:name="_Toc185408363"/>
      <w:r>
        <w:rPr>
          <w:rStyle w:val="CharSectno"/>
        </w:rPr>
        <w:t>5</w:t>
      </w:r>
      <w:r>
        <w:t>.</w:t>
      </w:r>
      <w:r>
        <w:tab/>
        <w:t>Schedule 3 clause 1 amended</w:t>
      </w:r>
      <w:bookmarkEnd w:id="11"/>
      <w:bookmarkEnd w:id="12"/>
    </w:p>
    <w:p>
      <w:pPr>
        <w:pStyle w:val="Subsection"/>
        <w:keepNext/>
      </w:pPr>
      <w:r>
        <w:tab/>
        <w:t>(1)</w:t>
      </w:r>
      <w:r>
        <w:tab/>
        <w:t>In Schedule 3 clause 1 in the Table delete “</w:t>
      </w:r>
      <w:r>
        <w:rPr>
          <w:i/>
          <w:iCs/>
          <w:sz w:val="22"/>
        </w:rPr>
        <w:t>Firearms Act 1973</w:t>
      </w:r>
      <w:r>
        <w:t>” (1</w:t>
      </w:r>
      <w:r>
        <w:rPr>
          <w:vertAlign w:val="superscript"/>
        </w:rPr>
        <w:t>st</w:t>
      </w:r>
      <w:r>
        <w:t xml:space="preserve"> occurrence) and insert:</w:t>
      </w:r>
    </w:p>
    <w:p>
      <w:pPr>
        <w:pStyle w:val="BlankOpen"/>
      </w:pPr>
    </w:p>
    <w:p>
      <w:pPr>
        <w:pStyle w:val="Subsection"/>
        <w:tabs>
          <w:tab w:val="clear" w:pos="879"/>
          <w:tab w:val="left" w:pos="993"/>
        </w:tabs>
        <w:ind w:left="851" w:firstLine="0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Firearms Act 1973, </w:t>
      </w:r>
      <w:r>
        <w:rPr>
          <w:sz w:val="22"/>
          <w:szCs w:val="22"/>
        </w:rPr>
        <w:t xml:space="preserve">as in force immediately before the </w:t>
      </w:r>
      <w:r>
        <w:rPr>
          <w:i/>
          <w:iCs/>
          <w:sz w:val="22"/>
          <w:szCs w:val="22"/>
        </w:rPr>
        <w:t>Firearms Act 2024</w:t>
      </w:r>
      <w:r>
        <w:rPr>
          <w:sz w:val="22"/>
          <w:szCs w:val="22"/>
        </w:rPr>
        <w:t xml:space="preserve"> section 440 comes into operation</w:t>
      </w:r>
    </w:p>
    <w:p>
      <w:pPr>
        <w:pStyle w:val="BlankClose"/>
      </w:pPr>
    </w:p>
    <w:p>
      <w:pPr>
        <w:pStyle w:val="Subsection"/>
        <w:keepNext/>
      </w:pPr>
      <w:r>
        <w:lastRenderedPageBreak/>
        <w:tab/>
        <w:t>(2)</w:t>
      </w:r>
      <w:r>
        <w:tab/>
        <w:t>In Schedule 3 clause 1 in the Table items 15 and 16 delete “</w:t>
      </w:r>
      <w:r>
        <w:rPr>
          <w:i/>
          <w:iCs/>
          <w:sz w:val="22"/>
        </w:rPr>
        <w:t>Firearms Act 1973</w:t>
      </w:r>
      <w:r>
        <w:t>” and insert:</w:t>
      </w:r>
    </w:p>
    <w:p>
      <w:pPr>
        <w:pStyle w:val="BlankOpen"/>
      </w:pPr>
    </w:p>
    <w:p>
      <w:pPr>
        <w:pStyle w:val="Subsection"/>
        <w:tabs>
          <w:tab w:val="clear" w:pos="879"/>
          <w:tab w:val="left" w:pos="1134"/>
        </w:tabs>
        <w:ind w:left="851" w:firstLine="0"/>
        <w:rPr>
          <w:sz w:val="22"/>
          <w:szCs w:val="22"/>
        </w:rPr>
      </w:pPr>
      <w:r>
        <w:rPr>
          <w:i/>
          <w:iCs/>
          <w:sz w:val="22"/>
          <w:szCs w:val="22"/>
        </w:rPr>
        <w:t>Firearms Act 1973</w:t>
      </w:r>
      <w:r>
        <w:rPr>
          <w:sz w:val="22"/>
          <w:szCs w:val="22"/>
        </w:rPr>
        <w:t xml:space="preserve">, as in force immediately before the </w:t>
      </w:r>
      <w:r>
        <w:rPr>
          <w:i/>
          <w:iCs/>
          <w:sz w:val="22"/>
          <w:szCs w:val="22"/>
        </w:rPr>
        <w:t>Firearms Act 2024</w:t>
      </w:r>
      <w:r>
        <w:rPr>
          <w:sz w:val="22"/>
          <w:szCs w:val="22"/>
        </w:rPr>
        <w:t xml:space="preserve"> section 440 comes into operation,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In Schedule 3 clause 1 in the Table after item 16 insert:</w:t>
      </w:r>
    </w:p>
    <w:p>
      <w:pPr>
        <w:pStyle w:val="BlankOpen"/>
      </w:pPr>
    </w:p>
    <w:tbl>
      <w:tblPr>
        <w:tblW w:w="708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2551"/>
        <w:gridCol w:w="1843"/>
        <w:gridCol w:w="1985"/>
      </w:tblGrid>
      <w:tr>
        <w:tc>
          <w:tcPr>
            <w:tcW w:w="7088" w:type="dxa"/>
            <w:gridSpan w:val="4"/>
            <w:noWrap/>
          </w:tcPr>
          <w:p>
            <w:pPr>
              <w:pStyle w:val="zyTableNAm"/>
              <w:rPr>
                <w:i/>
                <w:iCs/>
              </w:rPr>
            </w:pPr>
            <w:r>
              <w:rPr>
                <w:i/>
                <w:iCs/>
              </w:rPr>
              <w:t>Firearms Act 2024</w:t>
            </w:r>
          </w:p>
        </w:tc>
      </w:tr>
      <w:tr>
        <w:tc>
          <w:tcPr>
            <w:tcW w:w="709" w:type="dxa"/>
            <w:noWrap/>
          </w:tcPr>
          <w:p>
            <w:pPr>
              <w:pStyle w:val="zyTableNAm"/>
            </w:pPr>
            <w:r>
              <w:t>16A.</w:t>
            </w:r>
          </w:p>
        </w:tc>
        <w:tc>
          <w:tcPr>
            <w:tcW w:w="2551" w:type="dxa"/>
            <w:noWrap/>
          </w:tcPr>
          <w:p>
            <w:pPr>
              <w:pStyle w:val="zyTableNAm"/>
            </w:pPr>
            <w:r>
              <w:t xml:space="preserve">Offence under the </w:t>
            </w:r>
            <w:r>
              <w:rPr>
                <w:i/>
                <w:iCs/>
              </w:rPr>
              <w:t>Firearms Act 2024</w:t>
            </w:r>
            <w:r>
              <w:t xml:space="preserve"> if an offender is liable to a penalty of imprisonment for more than 2 years</w:t>
            </w:r>
          </w:p>
        </w:tc>
        <w:tc>
          <w:tcPr>
            <w:tcW w:w="1843" w:type="dxa"/>
            <w:noWrap/>
          </w:tcPr>
          <w:p>
            <w:pPr>
              <w:pStyle w:val="zyTableNAm"/>
            </w:pPr>
          </w:p>
        </w:tc>
        <w:tc>
          <w:tcPr>
            <w:tcW w:w="1985" w:type="dxa"/>
            <w:noWrap/>
          </w:tcPr>
          <w:p>
            <w:pPr>
              <w:pStyle w:val="zyTableNAm"/>
            </w:pPr>
            <w:r>
              <w:t>10 years</w:t>
            </w:r>
          </w:p>
        </w:tc>
      </w:tr>
      <w:tr>
        <w:tc>
          <w:tcPr>
            <w:tcW w:w="709" w:type="dxa"/>
            <w:noWrap/>
          </w:tcPr>
          <w:p>
            <w:pPr>
              <w:pStyle w:val="zyTableNAm"/>
            </w:pPr>
            <w:r>
              <w:t>16B.</w:t>
            </w:r>
          </w:p>
        </w:tc>
        <w:tc>
          <w:tcPr>
            <w:tcW w:w="2551" w:type="dxa"/>
            <w:noWrap/>
          </w:tcPr>
          <w:p>
            <w:pPr>
              <w:pStyle w:val="zyTableNAm"/>
            </w:pPr>
            <w:r>
              <w:t xml:space="preserve">Offence under the </w:t>
            </w:r>
            <w:r>
              <w:rPr>
                <w:i/>
                <w:iCs/>
              </w:rPr>
              <w:t>Firearms Act 2024</w:t>
            </w:r>
            <w:r>
              <w:t xml:space="preserve"> (other than an offence under section 39(7) of that Act) if an offender is liable to a penalty of imprisonment for at least 12 months but no more than 2 years</w:t>
            </w:r>
          </w:p>
        </w:tc>
        <w:tc>
          <w:tcPr>
            <w:tcW w:w="1843" w:type="dxa"/>
            <w:noWrap/>
          </w:tcPr>
          <w:p>
            <w:pPr>
              <w:pStyle w:val="zyTableNAm"/>
            </w:pPr>
          </w:p>
        </w:tc>
        <w:tc>
          <w:tcPr>
            <w:tcW w:w="1985" w:type="dxa"/>
            <w:noWrap/>
          </w:tcPr>
          <w:p>
            <w:pPr>
              <w:pStyle w:val="zyTableNAm"/>
            </w:pPr>
            <w:r>
              <w:t>12 months</w:t>
            </w:r>
          </w:p>
        </w:tc>
      </w:tr>
    </w:tbl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F5D093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42FAA7F8" w14:textId="1253354F" w:rsidR="00DC1926" w:rsidRDefault="00DC192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2057B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50AAEC9" w14:textId="77777777" w:rsidR="00DC1926" w:rsidRDefault="00DC192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5E018C2" w14:textId="75A43B5C" w:rsidR="00DC1926" w:rsidRDefault="00DC192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2057B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12285BF" w14:textId="77777777" w:rsidR="00DC1926" w:rsidRDefault="00DC1926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(Road Passenger Services) Amendment Regulations (No. 4)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(Road Passenger Services) Amendment Regulations (No. 4)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(Road Passenger Services) Amendment Regulations (No. 4)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(Road Passenger Services) Amendment Regulations (No. 4)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21809562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01708214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017082140_GUID" w:val="88211a69-d64a-4795-b1bc-98b8d43586f3"/>
    <w:docVar w:name="WAFER_2024110613414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106134140_GUID" w:val="38951724-0b81-4488-bb40-60c773ef982e"/>
    <w:docVar w:name="WAFER_2024121809562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218095620_GUID" w:val="f014bd97-c039-42e8-9814-d471fcd5f22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5:docId w15:val="{E8884B0B-C0BA-46C9-8C8C-4185E7BD1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575</Words>
  <Characters>2791</Characters>
  <Application>Microsoft Office Word</Application>
  <DocSecurity>0</DocSecurity>
  <Lines>132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Transport (Road Passenger Services) Amendment Regulations (No. 4)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2025-06-17T03:29:00Z</dcterms:created>
  <dcterms:modified xsi:type="dcterms:W3CDTF">2025-06-17T03:29:00Z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55090</vt:lpwstr>
  </property>
  <property fmtid="{D5CDD505-2E9C-101B-9397-08002B2CF9AE}" pid="3" name="DocumentType">
    <vt:lpwstr>Reg</vt:lpwstr>
  </property>
  <property fmtid="{D5CDD505-2E9C-101B-9397-08002B2CF9AE}" pid="4" name="AsAtDate">
    <vt:lpwstr>21 Dec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2024/291</vt:lpwstr>
  </property>
  <property fmtid="{D5CDD505-2E9C-101B-9397-08002B2CF9AE}" pid="8" name="PublishDate">
    <vt:lpwstr>21 Dec 2024</vt:lpwstr>
  </property>
  <property fmtid="{D5CDD505-2E9C-101B-9397-08002B2CF9AE}" pid="9" name="CommencementDate">
    <vt:lpwstr>20241221</vt:lpwstr>
  </property>
  <property fmtid="{D5CDD505-2E9C-101B-9397-08002B2CF9AE}" pid="10" name="CommencementAsAt">
    <vt:filetime>2024-12-20T16:00:00Z</vt:filetime>
  </property>
  <property fmtid="{D5CDD505-2E9C-101B-9397-08002B2CF9AE}" pid="11" name="CommencementYear">
    <vt:lpwstr>2024</vt:lpwstr>
  </property>
</Properties>
</file>