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rPr>
          <w:noProof/>
        </w:rPr>
        <w:br/>
        <w:t>Weapons Act 1999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Police Regulations Amendment (Firearms)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Regulations Amendment (Firearms)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_Toc185415179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_Toc185415180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Security and Related Activities (Control) Regulations 1997</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_Toc185415182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_Toc185415183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10 amended</w:t>
      </w:r>
      <w:r>
        <w:tab/>
      </w:r>
      <w:r>
        <w:fldChar w:fldCharType="begin"/>
      </w:r>
      <w:r>
        <w:instrText xml:space="preserve"> PAGEREF _Toc185415184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14A deleted</w:t>
      </w:r>
      <w:r>
        <w:tab/>
      </w:r>
      <w:r>
        <w:fldChar w:fldCharType="begin"/>
      </w:r>
      <w:r>
        <w:instrText xml:space="preserve"> PAGEREF _Toc185415185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38 amended</w:t>
      </w:r>
      <w:r>
        <w:tab/>
      </w:r>
      <w:r>
        <w:fldChar w:fldCharType="begin"/>
      </w:r>
      <w:r>
        <w:instrText xml:space="preserve"> PAGEREF _Toc185415186 \h </w:instrText>
      </w:r>
      <w:r>
        <w:fldChar w:fldCharType="separate"/>
      </w:r>
      <w:r>
        <w:t>3</w:t>
      </w:r>
      <w:r>
        <w:fldChar w:fldCharType="end"/>
      </w:r>
    </w:p>
    <w:p>
      <w:pPr>
        <w:pStyle w:val="TOC8"/>
        <w:rPr>
          <w:rFonts w:asciiTheme="minorHAnsi" w:eastAsiaTheme="minorEastAsia" w:hAnsiTheme="minorHAnsi" w:cstheme="minorBidi"/>
          <w:szCs w:val="22"/>
        </w:rPr>
      </w:pPr>
      <w:r>
        <w:t>8.</w:t>
      </w:r>
      <w:r>
        <w:tab/>
        <w:t>Schedule 1 clause 4 amended</w:t>
      </w:r>
      <w:r>
        <w:tab/>
      </w:r>
      <w:r>
        <w:fldChar w:fldCharType="begin"/>
      </w:r>
      <w:r>
        <w:instrText xml:space="preserve"> PAGEREF _Toc185415187 \h </w:instrText>
      </w:r>
      <w:r>
        <w:fldChar w:fldCharType="separate"/>
      </w:r>
      <w:r>
        <w:t>4</w:t>
      </w:r>
      <w:r>
        <w:fldChar w:fldCharType="end"/>
      </w:r>
    </w:p>
    <w:p>
      <w:pPr>
        <w:pStyle w:val="TOC8"/>
        <w:rPr>
          <w:rFonts w:asciiTheme="minorHAnsi" w:eastAsiaTheme="minorEastAsia" w:hAnsiTheme="minorHAnsi" w:cstheme="minorBidi"/>
          <w:szCs w:val="22"/>
        </w:rPr>
      </w:pPr>
      <w:r>
        <w:t>9.</w:t>
      </w:r>
      <w:r>
        <w:tab/>
        <w:t>Schedule 1 clause 5 deleted</w:t>
      </w:r>
      <w:r>
        <w:tab/>
      </w:r>
      <w:r>
        <w:fldChar w:fldCharType="begin"/>
      </w:r>
      <w:r>
        <w:instrText xml:space="preserve"> PAGEREF _Toc185415188 \h </w:instrText>
      </w:r>
      <w:r>
        <w:fldChar w:fldCharType="separate"/>
      </w:r>
      <w:r>
        <w:t>4</w:t>
      </w:r>
      <w:r>
        <w:fldChar w:fldCharType="end"/>
      </w:r>
    </w:p>
    <w:p>
      <w:pPr>
        <w:pStyle w:val="TOC8"/>
        <w:rPr>
          <w:rFonts w:asciiTheme="minorHAnsi" w:eastAsiaTheme="minorEastAsia" w:hAnsiTheme="minorHAnsi" w:cstheme="minorBidi"/>
          <w:szCs w:val="22"/>
        </w:rPr>
      </w:pPr>
      <w:r>
        <w:t>10.</w:t>
      </w:r>
      <w:r>
        <w:tab/>
        <w:t>Schedule 1 clause 10 deleted</w:t>
      </w:r>
      <w:r>
        <w:tab/>
      </w:r>
      <w:r>
        <w:fldChar w:fldCharType="begin"/>
      </w:r>
      <w:r>
        <w:instrText xml:space="preserve"> PAGEREF _Toc185415189 \h </w:instrText>
      </w:r>
      <w:r>
        <w:fldChar w:fldCharType="separate"/>
      </w:r>
      <w:r>
        <w:t>4</w:t>
      </w:r>
      <w:r>
        <w:fldChar w:fldCharType="end"/>
      </w:r>
    </w:p>
    <w:p>
      <w:pPr>
        <w:pStyle w:val="TOC8"/>
        <w:rPr>
          <w:rFonts w:asciiTheme="minorHAnsi" w:eastAsiaTheme="minorEastAsia" w:hAnsiTheme="minorHAnsi" w:cstheme="minorBidi"/>
          <w:szCs w:val="22"/>
        </w:rPr>
      </w:pPr>
      <w:r>
        <w:t>11.</w:t>
      </w:r>
      <w:r>
        <w:tab/>
        <w:t>Schedule 1 clause 11 amended</w:t>
      </w:r>
      <w:r>
        <w:tab/>
      </w:r>
      <w:r>
        <w:fldChar w:fldCharType="begin"/>
      </w:r>
      <w:r>
        <w:instrText xml:space="preserve"> PAGEREF _Toc185415190 \h </w:instrText>
      </w:r>
      <w:r>
        <w:fldChar w:fldCharType="separate"/>
      </w:r>
      <w:r>
        <w:t>4</w:t>
      </w:r>
      <w:r>
        <w:fldChar w:fldCharType="end"/>
      </w:r>
    </w:p>
    <w:p>
      <w:pPr>
        <w:pStyle w:val="TOC8"/>
        <w:rPr>
          <w:rFonts w:asciiTheme="minorHAnsi" w:eastAsiaTheme="minorEastAsia" w:hAnsiTheme="minorHAnsi" w:cstheme="minorBidi"/>
          <w:szCs w:val="22"/>
        </w:rPr>
      </w:pPr>
      <w:r>
        <w:t>12.</w:t>
      </w:r>
      <w:r>
        <w:tab/>
        <w:t>Schedule 1 clause 12A amended</w:t>
      </w:r>
      <w:r>
        <w:tab/>
      </w:r>
      <w:r>
        <w:fldChar w:fldCharType="begin"/>
      </w:r>
      <w:r>
        <w:instrText xml:space="preserve"> PAGEREF _Toc185415191 \h </w:instrText>
      </w:r>
      <w:r>
        <w:fldChar w:fldCharType="separate"/>
      </w:r>
      <w:r>
        <w:t>4</w:t>
      </w:r>
      <w:r>
        <w:fldChar w:fldCharType="end"/>
      </w:r>
    </w:p>
    <w:p>
      <w:pPr>
        <w:pStyle w:val="TOC8"/>
        <w:rPr>
          <w:rFonts w:asciiTheme="minorHAnsi" w:eastAsiaTheme="minorEastAsia" w:hAnsiTheme="minorHAnsi" w:cstheme="minorBidi"/>
          <w:szCs w:val="22"/>
        </w:rPr>
      </w:pPr>
      <w:r>
        <w:t>13.</w:t>
      </w:r>
      <w:r>
        <w:tab/>
        <w:t>Schedule 1 clause 16 amended</w:t>
      </w:r>
      <w:r>
        <w:tab/>
      </w:r>
      <w:r>
        <w:fldChar w:fldCharType="begin"/>
      </w:r>
      <w:r>
        <w:instrText xml:space="preserve"> PAGEREF _Toc185415192 \h </w:instrText>
      </w:r>
      <w:r>
        <w:fldChar w:fldCharType="separate"/>
      </w:r>
      <w:r>
        <w:t>5</w:t>
      </w:r>
      <w:r>
        <w:fldChar w:fldCharType="end"/>
      </w:r>
    </w:p>
    <w:p>
      <w:pPr>
        <w:pStyle w:val="TOC8"/>
        <w:rPr>
          <w:rFonts w:asciiTheme="minorHAnsi" w:eastAsiaTheme="minorEastAsia" w:hAnsiTheme="minorHAnsi" w:cstheme="minorBidi"/>
          <w:szCs w:val="22"/>
        </w:rPr>
      </w:pPr>
      <w:r>
        <w:t>14.</w:t>
      </w:r>
      <w:r>
        <w:tab/>
        <w:t>Schedule 1 clause 18 amended</w:t>
      </w:r>
      <w:r>
        <w:tab/>
      </w:r>
      <w:r>
        <w:fldChar w:fldCharType="begin"/>
      </w:r>
      <w:r>
        <w:instrText xml:space="preserve"> PAGEREF _Toc185415193 \h </w:instrText>
      </w:r>
      <w:r>
        <w:fldChar w:fldCharType="separate"/>
      </w:r>
      <w:r>
        <w:t>5</w:t>
      </w:r>
      <w:r>
        <w:fldChar w:fldCharType="end"/>
      </w:r>
    </w:p>
    <w:p>
      <w:pPr>
        <w:pStyle w:val="TOC8"/>
        <w:rPr>
          <w:rFonts w:asciiTheme="minorHAnsi" w:eastAsiaTheme="minorEastAsia" w:hAnsiTheme="minorHAnsi" w:cstheme="minorBidi"/>
          <w:szCs w:val="22"/>
        </w:rPr>
      </w:pPr>
      <w:r>
        <w:t>15.</w:t>
      </w:r>
      <w:r>
        <w:tab/>
        <w:t>Schedule 2 amended</w:t>
      </w:r>
      <w:r>
        <w:tab/>
      </w:r>
      <w:r>
        <w:fldChar w:fldCharType="begin"/>
      </w:r>
      <w:r>
        <w:instrText xml:space="preserve"> PAGEREF _Toc185415194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Weapons Regulations 1999</w:t>
      </w:r>
      <w:r>
        <w:t xml:space="preserve"> amended</w:t>
      </w:r>
    </w:p>
    <w:p>
      <w:pPr>
        <w:pStyle w:val="TOC8"/>
        <w:rPr>
          <w:rFonts w:asciiTheme="minorHAnsi" w:eastAsiaTheme="minorEastAsia" w:hAnsiTheme="minorHAnsi" w:cstheme="minorBidi"/>
          <w:szCs w:val="22"/>
        </w:rPr>
      </w:pPr>
      <w:r>
        <w:t>16</w:t>
      </w:r>
      <w:r>
        <w:rPr>
          <w:snapToGrid w:val="0"/>
        </w:rPr>
        <w:t>.</w:t>
      </w:r>
      <w:r>
        <w:rPr>
          <w:snapToGrid w:val="0"/>
        </w:rPr>
        <w:tab/>
        <w:t>Regulations amended</w:t>
      </w:r>
      <w:r>
        <w:tab/>
      </w:r>
      <w:r>
        <w:fldChar w:fldCharType="begin"/>
      </w:r>
      <w:r>
        <w:instrText xml:space="preserve"> PAGEREF _Toc185415196 \h </w:instrText>
      </w:r>
      <w:r>
        <w:fldChar w:fldCharType="separate"/>
      </w:r>
      <w:r>
        <w:t>6</w:t>
      </w:r>
      <w:r>
        <w:fldChar w:fldCharType="end"/>
      </w:r>
    </w:p>
    <w:p>
      <w:pPr>
        <w:pStyle w:val="TOC8"/>
        <w:rPr>
          <w:rFonts w:asciiTheme="minorHAnsi" w:eastAsiaTheme="minorEastAsia" w:hAnsiTheme="minorHAnsi" w:cstheme="minorBidi"/>
          <w:szCs w:val="22"/>
        </w:rPr>
      </w:pPr>
      <w:r>
        <w:t>17.</w:t>
      </w:r>
      <w:r>
        <w:tab/>
        <w:t>Schedule 1 amended</w:t>
      </w:r>
      <w:r>
        <w:tab/>
      </w:r>
      <w:r>
        <w:fldChar w:fldCharType="begin"/>
      </w:r>
      <w:r>
        <w:instrText xml:space="preserve"> PAGEREF _Toc185415197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Security and Related Activities (Control) Act 1996</w:t>
      </w:r>
      <w:r>
        <w:br/>
        <w:t>Weapons Act 1999</w:t>
      </w:r>
    </w:p>
    <w:p>
      <w:pPr>
        <w:pStyle w:val="NameofActReg"/>
      </w:pPr>
      <w:r>
        <w:t>Police Regulations Amendment (Firearms) Regulations 2024</w:t>
      </w:r>
    </w:p>
    <w:p>
      <w:pPr>
        <w:pStyle w:val="MadeBy"/>
      </w:pPr>
      <w:r>
        <w:t>Made by the Governor in Executive Council.</w:t>
      </w:r>
    </w:p>
    <w:p>
      <w:pPr>
        <w:pStyle w:val="Heading2"/>
        <w:pageBreakBefore w:val="0"/>
        <w:spacing w:before="240"/>
        <w:rPr>
          <w:rStyle w:val="CharPartText"/>
        </w:rPr>
      </w:pPr>
      <w:bookmarkStart w:id="2" w:name="_Toc185414760"/>
      <w:bookmarkStart w:id="3" w:name="_Toc185414850"/>
      <w:bookmarkStart w:id="4" w:name="_Toc185415063"/>
      <w:bookmarkStart w:id="5" w:name="_Toc1854151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5414761"/>
      <w:bookmarkStart w:id="7" w:name="_Toc185415179"/>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Police Regulations Amendment (Firearms) Regulations 2024</w:t>
      </w:r>
      <w:r>
        <w:t>.</w:t>
      </w:r>
    </w:p>
    <w:p>
      <w:pPr>
        <w:pStyle w:val="Heading5"/>
      </w:pPr>
      <w:bookmarkStart w:id="9" w:name="_Toc185414762"/>
      <w:bookmarkStart w:id="10" w:name="_Toc185415180"/>
      <w:r>
        <w:rPr>
          <w:rStyle w:val="CharSectno"/>
        </w:rPr>
        <w:t>2</w:t>
      </w:r>
      <w:r>
        <w:t>.</w:t>
      </w:r>
      <w: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Part</w:t>
      </w:r>
      <w:r>
        <w:rPr>
          <w:spacing w:val="-2"/>
        </w:rPr>
        <w: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xml:space="preserve"> — on the day on which the </w:t>
      </w:r>
      <w:r>
        <w:rPr>
          <w:i/>
        </w:rPr>
        <w:t>Firearms Act 2024</w:t>
      </w:r>
      <w:r>
        <w:t xml:space="preserve"> section 440 comes into operation.</w:t>
      </w:r>
    </w:p>
    <w:p>
      <w:pPr>
        <w:pStyle w:val="Heading2"/>
      </w:pPr>
      <w:bookmarkStart w:id="11" w:name="_Toc185414763"/>
      <w:bookmarkStart w:id="12" w:name="_Toc185414853"/>
      <w:bookmarkStart w:id="13" w:name="_Toc185415066"/>
      <w:bookmarkStart w:id="14" w:name="_Toc185415181"/>
      <w:r>
        <w:rPr>
          <w:rStyle w:val="CharPartNo"/>
        </w:rPr>
        <w:lastRenderedPageBreak/>
        <w:t>Part 2 </w:t>
      </w:r>
      <w:r>
        <w:t>—</w:t>
      </w:r>
      <w:r>
        <w:rPr>
          <w:rStyle w:val="CharPartText"/>
        </w:rPr>
        <w:t> </w:t>
      </w:r>
      <w:r>
        <w:rPr>
          <w:rStyle w:val="CharPartText"/>
          <w:i/>
          <w:iCs/>
        </w:rPr>
        <w:t>Security and Related Activities (Control) Regulations 1997</w:t>
      </w:r>
      <w:r>
        <w:rPr>
          <w:rStyle w:val="CharPartText"/>
        </w:rPr>
        <w:t xml:space="preserve"> amended</w:t>
      </w:r>
      <w:bookmarkEnd w:id="11"/>
      <w:bookmarkEnd w:id="12"/>
      <w:bookmarkEnd w:id="13"/>
      <w:bookmarkEnd w:id="14"/>
    </w:p>
    <w:p>
      <w:pPr>
        <w:pStyle w:val="Heading5"/>
        <w:rPr>
          <w:snapToGrid w:val="0"/>
        </w:rPr>
      </w:pPr>
      <w:bookmarkStart w:id="15" w:name="_Toc185414764"/>
      <w:bookmarkStart w:id="16" w:name="_Toc185415182"/>
      <w:r>
        <w:rPr>
          <w:rStyle w:val="CharSectno"/>
        </w:rPr>
        <w:t>3</w:t>
      </w:r>
      <w:r>
        <w:rPr>
          <w:snapToGrid w:val="0"/>
        </w:rPr>
        <w:t>.</w:t>
      </w:r>
      <w:r>
        <w:rPr>
          <w:snapToGrid w:val="0"/>
        </w:rPr>
        <w:tab/>
        <w:t>Regulations amended</w:t>
      </w:r>
      <w:bookmarkEnd w:id="15"/>
      <w:bookmarkEnd w:id="16"/>
    </w:p>
    <w:p>
      <w:pPr>
        <w:pStyle w:val="Subsection"/>
      </w:pPr>
      <w:r>
        <w:tab/>
      </w:r>
      <w:r>
        <w:tab/>
        <w:t>This Part amends the</w:t>
      </w:r>
      <w:r>
        <w:rPr>
          <w:i/>
        </w:rPr>
        <w:t xml:space="preserve"> Security and Related Activities (Control) Regulations 1997</w:t>
      </w:r>
      <w:r>
        <w:t>.</w:t>
      </w:r>
    </w:p>
    <w:p>
      <w:pPr>
        <w:pStyle w:val="Heading5"/>
      </w:pPr>
      <w:bookmarkStart w:id="17" w:name="_Toc185414765"/>
      <w:bookmarkStart w:id="18" w:name="_Toc185415183"/>
      <w:r>
        <w:rPr>
          <w:rStyle w:val="CharSectno"/>
        </w:rPr>
        <w:t>4</w:t>
      </w:r>
      <w:r>
        <w:t>.</w:t>
      </w:r>
      <w:r>
        <w:tab/>
        <w:t>Regulation 3 amended</w:t>
      </w:r>
      <w:bookmarkEnd w:id="17"/>
      <w:bookmarkEnd w:id="18"/>
    </w:p>
    <w:p>
      <w:pPr>
        <w:pStyle w:val="Subsection"/>
        <w:rPr>
          <w:bCs/>
          <w:iCs/>
        </w:rPr>
      </w:pPr>
      <w:r>
        <w:tab/>
        <w:t>(1)</w:t>
      </w:r>
      <w:r>
        <w:tab/>
        <w:t xml:space="preserve">In regulation 3(1) delete the definition of </w:t>
      </w:r>
      <w:r>
        <w:rPr>
          <w:b/>
          <w:i/>
        </w:rPr>
        <w:t>training course in firearms discharge</w:t>
      </w:r>
      <w:r>
        <w:rPr>
          <w:bCs/>
          <w:iCs/>
        </w:rPr>
        <w:t>.</w:t>
      </w:r>
    </w:p>
    <w:p>
      <w:pPr>
        <w:pStyle w:val="Subsection"/>
      </w:pPr>
      <w:r>
        <w:tab/>
        <w:t>(2)</w:t>
      </w:r>
      <w:r>
        <w:tab/>
        <w:t xml:space="preserve">In regulation 3(1) in the definition of </w:t>
      </w:r>
      <w:r>
        <w:rPr>
          <w:b/>
          <w:bCs/>
          <w:i/>
          <w:iCs/>
        </w:rPr>
        <w:t>Superintendent</w:t>
      </w:r>
      <w:r>
        <w:t xml:space="preserve"> delete “division;” and insert:</w:t>
      </w:r>
    </w:p>
    <w:p>
      <w:pPr>
        <w:pStyle w:val="BlankOpen"/>
        <w:rPr>
          <w:highlight w:val="yellow"/>
        </w:rPr>
      </w:pPr>
    </w:p>
    <w:p>
      <w:pPr>
        <w:pStyle w:val="Subsection"/>
      </w:pPr>
      <w:r>
        <w:tab/>
      </w:r>
      <w:r>
        <w:tab/>
        <w:t>division.</w:t>
      </w:r>
    </w:p>
    <w:p>
      <w:pPr>
        <w:pStyle w:val="BlankClose"/>
      </w:pPr>
    </w:p>
    <w:p>
      <w:pPr>
        <w:pStyle w:val="Subsection"/>
      </w:pPr>
      <w:r>
        <w:tab/>
        <w:t>(3)</w:t>
      </w:r>
      <w:r>
        <w:tab/>
        <w:t>Delete regulation 3(3).</w:t>
      </w:r>
    </w:p>
    <w:p>
      <w:pPr>
        <w:pStyle w:val="Heading5"/>
      </w:pPr>
      <w:bookmarkStart w:id="19" w:name="_Toc185414766"/>
      <w:bookmarkStart w:id="20" w:name="_Toc185415184"/>
      <w:r>
        <w:rPr>
          <w:rStyle w:val="CharSectno"/>
        </w:rPr>
        <w:t>5</w:t>
      </w:r>
      <w:r>
        <w:t>.</w:t>
      </w:r>
      <w:r>
        <w:tab/>
        <w:t>Regulation 10 amended</w:t>
      </w:r>
      <w:bookmarkEnd w:id="19"/>
      <w:bookmarkEnd w:id="20"/>
    </w:p>
    <w:p>
      <w:pPr>
        <w:pStyle w:val="Subsection"/>
      </w:pPr>
      <w:r>
        <w:tab/>
        <w:t>(1)</w:t>
      </w:r>
      <w:r>
        <w:tab/>
        <w:t>At the beginning of regulation 10 insert:</w:t>
      </w:r>
    </w:p>
    <w:p>
      <w:pPr>
        <w:pStyle w:val="BlankOpen"/>
      </w:pPr>
    </w:p>
    <w:p>
      <w:pPr>
        <w:pStyle w:val="zSubsection"/>
      </w:pPr>
      <w:r>
        <w:tab/>
        <w:t>(1)</w:t>
      </w:r>
      <w:r>
        <w:tab/>
        <w:t xml:space="preserve">In this regulation — </w:t>
      </w:r>
    </w:p>
    <w:p>
      <w:pPr>
        <w:pStyle w:val="zDefstart"/>
      </w:pPr>
      <w:r>
        <w:tab/>
      </w:r>
      <w:r>
        <w:rPr>
          <w:rStyle w:val="CharDefText"/>
        </w:rPr>
        <w:t>relevant training course</w:t>
      </w:r>
      <w:r>
        <w:t xml:space="preserve"> means a firearm safety training course, as defined in the </w:t>
      </w:r>
      <w:r>
        <w:rPr>
          <w:i/>
          <w:iCs/>
        </w:rPr>
        <w:t>Firearms Act 2024</w:t>
      </w:r>
      <w:r>
        <w:t xml:space="preserve"> section 166(1), that — </w:t>
      </w:r>
    </w:p>
    <w:p>
      <w:pPr>
        <w:pStyle w:val="zDefpara"/>
      </w:pPr>
      <w:r>
        <w:tab/>
        <w:t>(a)</w:t>
      </w:r>
      <w:r>
        <w:tab/>
        <w:t xml:space="preserve">under the regulations referred to in that section, is the course that an applicant for approval as an authorised person for a Security Agent Business Licence under the </w:t>
      </w:r>
      <w:r>
        <w:rPr>
          <w:i/>
          <w:iCs/>
        </w:rPr>
        <w:t>Firearms Act 2024</w:t>
      </w:r>
      <w:r>
        <w:t xml:space="preserve"> is required to complete; and</w:t>
      </w:r>
    </w:p>
    <w:p>
      <w:pPr>
        <w:pStyle w:val="zDefpara"/>
        <w:keepNext/>
      </w:pPr>
      <w:r>
        <w:lastRenderedPageBreak/>
        <w:tab/>
        <w:t>(b)</w:t>
      </w:r>
      <w:r>
        <w:tab/>
        <w:t>if applicable — is taught by a person by whom  the approval of the course requires it to be taught.</w:t>
      </w:r>
    </w:p>
    <w:p>
      <w:pPr>
        <w:pStyle w:val="BlankClose"/>
      </w:pPr>
    </w:p>
    <w:p>
      <w:pPr>
        <w:pStyle w:val="Subsection"/>
      </w:pPr>
      <w:r>
        <w:tab/>
        <w:t>(2)</w:t>
      </w:r>
      <w:r>
        <w:tab/>
        <w:t>In regulation 10:</w:t>
      </w:r>
    </w:p>
    <w:p>
      <w:pPr>
        <w:pStyle w:val="Indenta"/>
      </w:pPr>
      <w:r>
        <w:tab/>
        <w:t>(a)</w:t>
      </w:r>
      <w:r>
        <w:tab/>
        <w:t>delete “An application” and insert:</w:t>
      </w:r>
    </w:p>
    <w:p>
      <w:pPr>
        <w:pStyle w:val="BlankOpen"/>
      </w:pPr>
    </w:p>
    <w:p>
      <w:pPr>
        <w:pStyle w:val="zSubsection"/>
      </w:pPr>
      <w:r>
        <w:tab/>
        <w:t>(2)</w:t>
      </w:r>
      <w:r>
        <w:tab/>
        <w:t>An application</w:t>
      </w:r>
    </w:p>
    <w:p>
      <w:pPr>
        <w:pStyle w:val="BlankClose"/>
      </w:pPr>
    </w:p>
    <w:p>
      <w:pPr>
        <w:pStyle w:val="Indenta"/>
      </w:pPr>
      <w:r>
        <w:tab/>
        <w:t>(b)</w:t>
      </w:r>
      <w:r>
        <w:tab/>
        <w:t>delete paragraphs (aa) and (ab) and insert:</w:t>
      </w:r>
    </w:p>
    <w:p>
      <w:pPr>
        <w:pStyle w:val="BlankOpen"/>
      </w:pPr>
    </w:p>
    <w:p>
      <w:pPr>
        <w:pStyle w:val="zIndenta"/>
      </w:pPr>
      <w:r>
        <w:tab/>
        <w:t>(aa)</w:t>
      </w:r>
      <w:r>
        <w:tab/>
        <w:t xml:space="preserve">evidence that within the previous 6 months the applicant has successfully completed the relevant training course; and </w:t>
      </w:r>
    </w:p>
    <w:p>
      <w:pPr>
        <w:pStyle w:val="BlankClose"/>
      </w:pPr>
    </w:p>
    <w:p>
      <w:pPr>
        <w:pStyle w:val="Heading5"/>
      </w:pPr>
      <w:bookmarkStart w:id="21" w:name="_Toc185414767"/>
      <w:bookmarkStart w:id="22" w:name="_Toc185415185"/>
      <w:r>
        <w:rPr>
          <w:rStyle w:val="CharSectno"/>
        </w:rPr>
        <w:t>6</w:t>
      </w:r>
      <w:r>
        <w:t>.</w:t>
      </w:r>
      <w:r>
        <w:tab/>
        <w:t>Regulation 14A deleted</w:t>
      </w:r>
      <w:bookmarkEnd w:id="21"/>
      <w:bookmarkEnd w:id="22"/>
    </w:p>
    <w:p>
      <w:pPr>
        <w:pStyle w:val="Subsection"/>
      </w:pPr>
      <w:r>
        <w:tab/>
      </w:r>
      <w:r>
        <w:tab/>
        <w:t>Delete regulation 14A.</w:t>
      </w:r>
    </w:p>
    <w:p>
      <w:pPr>
        <w:pStyle w:val="Heading5"/>
      </w:pPr>
      <w:bookmarkStart w:id="23" w:name="_Toc185414768"/>
      <w:bookmarkStart w:id="24" w:name="_Toc185415186"/>
      <w:r>
        <w:rPr>
          <w:rStyle w:val="CharSectno"/>
        </w:rPr>
        <w:t>7</w:t>
      </w:r>
      <w:r>
        <w:t>.</w:t>
      </w:r>
      <w:r>
        <w:tab/>
        <w:t>Regulation 38 amended</w:t>
      </w:r>
      <w:bookmarkEnd w:id="23"/>
      <w:bookmarkEnd w:id="24"/>
    </w:p>
    <w:p>
      <w:pPr>
        <w:pStyle w:val="Subsection"/>
      </w:pPr>
      <w:r>
        <w:tab/>
      </w:r>
      <w:r>
        <w:tab/>
        <w:t>Delete regulation 38(2) and insert:</w:t>
      </w:r>
    </w:p>
    <w:p>
      <w:pPr>
        <w:pStyle w:val="BlankOpen"/>
      </w:pPr>
    </w:p>
    <w:p>
      <w:pPr>
        <w:pStyle w:val="zSubsection"/>
      </w:pPr>
      <w:r>
        <w:tab/>
        <w:t>(2)</w:t>
      </w:r>
      <w:r>
        <w:tab/>
        <w:t>A security agent’s general records must include any records received from an approved training provider under regulation 16A in relation to an approved training course conducted by the provider that includes the use of a baton if the records relate to a security officer whose licence is endorsed under section 26 and who has performed licensed activities for the business within the last 3 years.</w:t>
      </w:r>
    </w:p>
    <w:p>
      <w:pPr>
        <w:pStyle w:val="BlankClose"/>
      </w:pPr>
    </w:p>
    <w:p>
      <w:pPr>
        <w:pStyle w:val="Heading5"/>
      </w:pPr>
      <w:bookmarkStart w:id="25" w:name="_Toc185414769"/>
      <w:bookmarkStart w:id="26" w:name="_Toc185415187"/>
      <w:r>
        <w:rPr>
          <w:rStyle w:val="CharSectno"/>
        </w:rPr>
        <w:lastRenderedPageBreak/>
        <w:t>8</w:t>
      </w:r>
      <w:r>
        <w:t>.</w:t>
      </w:r>
      <w:r>
        <w:tab/>
        <w:t>Schedule 1 clause 4 amended</w:t>
      </w:r>
      <w:bookmarkEnd w:id="25"/>
      <w:bookmarkEnd w:id="26"/>
    </w:p>
    <w:p>
      <w:pPr>
        <w:pStyle w:val="Subsection"/>
      </w:pPr>
      <w:r>
        <w:tab/>
      </w:r>
      <w:r>
        <w:tab/>
        <w:t>In Schedule 1 clause 4(1):</w:t>
      </w:r>
    </w:p>
    <w:p>
      <w:pPr>
        <w:pStyle w:val="Indenta"/>
      </w:pPr>
      <w:r>
        <w:tab/>
        <w:t>(a)</w:t>
      </w:r>
      <w:r>
        <w:tab/>
        <w:t>delete paragraph (b) and insert:</w:t>
      </w:r>
    </w:p>
    <w:p>
      <w:pPr>
        <w:pStyle w:val="BlankOpen"/>
      </w:pPr>
    </w:p>
    <w:p>
      <w:pPr>
        <w:pStyle w:val="zyIndenta"/>
      </w:pPr>
      <w:r>
        <w:tab/>
        <w:t>(b)</w:t>
      </w:r>
      <w:r>
        <w:tab/>
        <w:t xml:space="preserve">a Security Agent Business Licence under the </w:t>
      </w:r>
      <w:r>
        <w:rPr>
          <w:i/>
          <w:iCs/>
        </w:rPr>
        <w:t>Firearms Act 2024</w:t>
      </w:r>
      <w:r>
        <w:t xml:space="preserve"> is in force in respect of the agent’s business; and</w:t>
      </w:r>
    </w:p>
    <w:p>
      <w:pPr>
        <w:pStyle w:val="zyIndenta"/>
      </w:pPr>
      <w:r>
        <w:tab/>
        <w:t>(ba)</w:t>
      </w:r>
      <w:r>
        <w:tab/>
        <w:t xml:space="preserve">the security officer is an authorised person under the </w:t>
      </w:r>
      <w:r>
        <w:rPr>
          <w:i/>
          <w:iCs/>
        </w:rPr>
        <w:t>Firearms Act 2024</w:t>
      </w:r>
      <w:r>
        <w:t xml:space="preserve"> for the licence referred to in paragraph (b); and</w:t>
      </w:r>
    </w:p>
    <w:p>
      <w:pPr>
        <w:pStyle w:val="BlankClose"/>
      </w:pPr>
    </w:p>
    <w:p>
      <w:pPr>
        <w:pStyle w:val="Indenta"/>
      </w:pPr>
      <w:r>
        <w:tab/>
        <w:t>(b)</w:t>
      </w:r>
      <w:r>
        <w:tab/>
        <w:t>in paragraph (c) delete the passage that begins with “</w:t>
      </w:r>
      <w:r>
        <w:rPr>
          <w:sz w:val="22"/>
        </w:rPr>
        <w:t>applies;” and</w:t>
      </w:r>
      <w:r>
        <w:t xml:space="preserve"> ends with “</w:t>
      </w:r>
      <w:r>
        <w:rPr>
          <w:sz w:val="22"/>
          <w:szCs w:val="18"/>
        </w:rPr>
        <w:t>and</w:t>
      </w:r>
      <w:r>
        <w:t>” and insert:</w:t>
      </w:r>
    </w:p>
    <w:p>
      <w:pPr>
        <w:pStyle w:val="BlankOpen"/>
      </w:pPr>
    </w:p>
    <w:p>
      <w:pPr>
        <w:pStyle w:val="Indenta"/>
        <w:rPr>
          <w:sz w:val="22"/>
        </w:rPr>
      </w:pPr>
      <w:r>
        <w:tab/>
      </w:r>
      <w:r>
        <w:tab/>
      </w:r>
      <w:r>
        <w:rPr>
          <w:sz w:val="22"/>
        </w:rPr>
        <w:t>applies.</w:t>
      </w:r>
    </w:p>
    <w:p>
      <w:pPr>
        <w:pStyle w:val="BlankClose"/>
      </w:pPr>
    </w:p>
    <w:p>
      <w:pPr>
        <w:pStyle w:val="Indenta"/>
      </w:pPr>
      <w:r>
        <w:tab/>
        <w:t>(c)</w:t>
      </w:r>
      <w:r>
        <w:tab/>
        <w:t>delete paragraph (d).</w:t>
      </w:r>
    </w:p>
    <w:p>
      <w:pPr>
        <w:pStyle w:val="Heading5"/>
      </w:pPr>
      <w:bookmarkStart w:id="27" w:name="_Toc185414770"/>
      <w:bookmarkStart w:id="28" w:name="_Toc185415188"/>
      <w:r>
        <w:rPr>
          <w:rStyle w:val="CharSectno"/>
        </w:rPr>
        <w:t>9</w:t>
      </w:r>
      <w:r>
        <w:t>.</w:t>
      </w:r>
      <w:r>
        <w:tab/>
        <w:t>Schedule 1 clause 5 deleted</w:t>
      </w:r>
      <w:bookmarkEnd w:id="27"/>
      <w:bookmarkEnd w:id="28"/>
    </w:p>
    <w:p>
      <w:pPr>
        <w:pStyle w:val="Subsection"/>
      </w:pPr>
      <w:r>
        <w:tab/>
      </w:r>
      <w:r>
        <w:tab/>
        <w:t>Delete Schedule 1 clause 5.</w:t>
      </w:r>
    </w:p>
    <w:p>
      <w:pPr>
        <w:pStyle w:val="Heading5"/>
      </w:pPr>
      <w:bookmarkStart w:id="29" w:name="_Toc185414771"/>
      <w:bookmarkStart w:id="30" w:name="_Toc185415189"/>
      <w:r>
        <w:rPr>
          <w:rStyle w:val="CharSectno"/>
        </w:rPr>
        <w:t>10</w:t>
      </w:r>
      <w:r>
        <w:t>.</w:t>
      </w:r>
      <w:r>
        <w:tab/>
        <w:t>Schedule 1 clause 10 deleted</w:t>
      </w:r>
      <w:bookmarkEnd w:id="29"/>
      <w:bookmarkEnd w:id="30"/>
    </w:p>
    <w:p>
      <w:pPr>
        <w:pStyle w:val="Subsection"/>
      </w:pPr>
      <w:r>
        <w:tab/>
      </w:r>
      <w:r>
        <w:tab/>
        <w:t>Delete Schedule 1 clause 10.</w:t>
      </w:r>
    </w:p>
    <w:p>
      <w:pPr>
        <w:pStyle w:val="Heading5"/>
      </w:pPr>
      <w:bookmarkStart w:id="31" w:name="_Toc185414772"/>
      <w:bookmarkStart w:id="32" w:name="_Toc185415190"/>
      <w:r>
        <w:rPr>
          <w:rStyle w:val="CharSectno"/>
        </w:rPr>
        <w:t>11</w:t>
      </w:r>
      <w:r>
        <w:t>.</w:t>
      </w:r>
      <w:r>
        <w:tab/>
        <w:t>Schedule 1 clause 11 amended</w:t>
      </w:r>
      <w:bookmarkEnd w:id="31"/>
      <w:bookmarkEnd w:id="32"/>
    </w:p>
    <w:p>
      <w:pPr>
        <w:pStyle w:val="Subsection"/>
      </w:pPr>
      <w:r>
        <w:tab/>
      </w:r>
      <w:r>
        <w:tab/>
        <w:t>Delete Schedule 1 clause 11(1).</w:t>
      </w:r>
    </w:p>
    <w:p>
      <w:pPr>
        <w:pStyle w:val="Heading5"/>
      </w:pPr>
      <w:bookmarkStart w:id="33" w:name="_Toc185414773"/>
      <w:bookmarkStart w:id="34" w:name="_Toc185415191"/>
      <w:r>
        <w:rPr>
          <w:rStyle w:val="CharSectno"/>
        </w:rPr>
        <w:t>12</w:t>
      </w:r>
      <w:r>
        <w:t>.</w:t>
      </w:r>
      <w:r>
        <w:tab/>
        <w:t>Schedule 1 clause 12A amended</w:t>
      </w:r>
      <w:bookmarkEnd w:id="33"/>
      <w:bookmarkEnd w:id="34"/>
    </w:p>
    <w:p>
      <w:pPr>
        <w:pStyle w:val="Subsection"/>
      </w:pPr>
      <w:r>
        <w:tab/>
      </w:r>
      <w:r>
        <w:tab/>
        <w:t>In Schedule 1 clause 12A(2)(a) delete “</w:t>
      </w:r>
      <w:r>
        <w:rPr>
          <w:i/>
          <w:iCs/>
          <w:sz w:val="22"/>
        </w:rPr>
        <w:t>Firearms Act 1973</w:t>
      </w:r>
      <w:r>
        <w:t>” and insert:</w:t>
      </w:r>
    </w:p>
    <w:p>
      <w:pPr>
        <w:pStyle w:val="BlankOpen"/>
      </w:pPr>
    </w:p>
    <w:p>
      <w:pPr>
        <w:pStyle w:val="Subsection"/>
        <w:rPr>
          <w:i/>
          <w:iCs/>
          <w:sz w:val="22"/>
        </w:rPr>
      </w:pPr>
      <w:r>
        <w:tab/>
      </w:r>
      <w:r>
        <w:tab/>
      </w:r>
      <w:r>
        <w:rPr>
          <w:i/>
          <w:iCs/>
          <w:sz w:val="22"/>
        </w:rPr>
        <w:t>Firearms Act 2024</w:t>
      </w:r>
    </w:p>
    <w:p>
      <w:pPr>
        <w:pStyle w:val="BlankClose"/>
      </w:pPr>
    </w:p>
    <w:p>
      <w:pPr>
        <w:pStyle w:val="Heading5"/>
      </w:pPr>
      <w:bookmarkStart w:id="35" w:name="_Toc185414774"/>
      <w:bookmarkStart w:id="36" w:name="_Toc185415192"/>
      <w:r>
        <w:rPr>
          <w:rStyle w:val="CharSectno"/>
        </w:rPr>
        <w:lastRenderedPageBreak/>
        <w:t>13</w:t>
      </w:r>
      <w:r>
        <w:t>.</w:t>
      </w:r>
      <w:r>
        <w:tab/>
        <w:t>Schedule 1 clause 16 amended</w:t>
      </w:r>
      <w:bookmarkEnd w:id="35"/>
      <w:bookmarkEnd w:id="36"/>
    </w:p>
    <w:p>
      <w:pPr>
        <w:pStyle w:val="Subsection"/>
      </w:pPr>
      <w:r>
        <w:tab/>
      </w:r>
      <w:r>
        <w:tab/>
        <w:t>In Schedule 1 clause 16(2)(a) delete “</w:t>
      </w:r>
      <w:r>
        <w:rPr>
          <w:i/>
          <w:iCs/>
          <w:sz w:val="22"/>
        </w:rPr>
        <w:t>Firearms Act 1973</w:t>
      </w:r>
      <w:r>
        <w:t>” and insert:</w:t>
      </w:r>
    </w:p>
    <w:p>
      <w:pPr>
        <w:pStyle w:val="BlankOpen"/>
      </w:pPr>
    </w:p>
    <w:p>
      <w:pPr>
        <w:pStyle w:val="Subsection"/>
        <w:rPr>
          <w:i/>
          <w:iCs/>
          <w:sz w:val="22"/>
        </w:rPr>
      </w:pPr>
      <w:r>
        <w:tab/>
      </w:r>
      <w:r>
        <w:tab/>
      </w:r>
      <w:r>
        <w:rPr>
          <w:i/>
          <w:iCs/>
          <w:sz w:val="22"/>
        </w:rPr>
        <w:t>Firearms Act 2024</w:t>
      </w:r>
    </w:p>
    <w:p>
      <w:pPr>
        <w:pStyle w:val="BlankClose"/>
      </w:pPr>
    </w:p>
    <w:p>
      <w:pPr>
        <w:pStyle w:val="Heading5"/>
      </w:pPr>
      <w:bookmarkStart w:id="37" w:name="_Toc185414775"/>
      <w:bookmarkStart w:id="38" w:name="_Toc185415193"/>
      <w:r>
        <w:rPr>
          <w:rStyle w:val="CharSectno"/>
        </w:rPr>
        <w:t>14</w:t>
      </w:r>
      <w:r>
        <w:t>.</w:t>
      </w:r>
      <w:r>
        <w:tab/>
        <w:t>Schedule 1 clause 18 amended</w:t>
      </w:r>
      <w:bookmarkEnd w:id="37"/>
      <w:bookmarkEnd w:id="38"/>
    </w:p>
    <w:p>
      <w:pPr>
        <w:pStyle w:val="Subsection"/>
      </w:pPr>
      <w:r>
        <w:tab/>
      </w:r>
      <w:r>
        <w:tab/>
        <w:t>In Schedule 1 clause 18(2)(a) delete “</w:t>
      </w:r>
      <w:r>
        <w:rPr>
          <w:i/>
          <w:iCs/>
          <w:sz w:val="22"/>
        </w:rPr>
        <w:t>Firearms Act 1973</w:t>
      </w:r>
      <w:r>
        <w:t>” and insert:</w:t>
      </w:r>
    </w:p>
    <w:p>
      <w:pPr>
        <w:pStyle w:val="BlankOpen"/>
      </w:pPr>
    </w:p>
    <w:p>
      <w:pPr>
        <w:pStyle w:val="Subsection"/>
        <w:rPr>
          <w:i/>
          <w:iCs/>
          <w:sz w:val="22"/>
        </w:rPr>
      </w:pPr>
      <w:r>
        <w:tab/>
      </w:r>
      <w:r>
        <w:tab/>
      </w:r>
      <w:r>
        <w:rPr>
          <w:i/>
          <w:iCs/>
          <w:sz w:val="22"/>
        </w:rPr>
        <w:t>Firearms Act 2024</w:t>
      </w:r>
    </w:p>
    <w:p>
      <w:pPr>
        <w:pStyle w:val="BlankClose"/>
      </w:pPr>
    </w:p>
    <w:p>
      <w:pPr>
        <w:pStyle w:val="Heading5"/>
      </w:pPr>
      <w:bookmarkStart w:id="39" w:name="_Toc185414776"/>
      <w:bookmarkStart w:id="40" w:name="_Toc185415194"/>
      <w:r>
        <w:rPr>
          <w:rStyle w:val="CharSectno"/>
        </w:rPr>
        <w:t>15</w:t>
      </w:r>
      <w:r>
        <w:t>.</w:t>
      </w:r>
      <w:r>
        <w:tab/>
        <w:t>Schedule 2 amended</w:t>
      </w:r>
      <w:bookmarkEnd w:id="39"/>
      <w:bookmarkEnd w:id="40"/>
    </w:p>
    <w:p>
      <w:pPr>
        <w:pStyle w:val="Subsection"/>
      </w:pPr>
      <w:r>
        <w:tab/>
      </w:r>
      <w:r>
        <w:tab/>
        <w:t xml:space="preserve">In Schedule 2 Division 1 delete the item relating to the </w:t>
      </w:r>
      <w:r>
        <w:rPr>
          <w:i/>
          <w:iCs/>
        </w:rPr>
        <w:t>Firearms Act 1973</w:t>
      </w:r>
      <w:r>
        <w:t xml:space="preserve"> and insert:</w:t>
      </w:r>
    </w:p>
    <w:p>
      <w:pPr>
        <w:pStyle w:val="BlankOpen"/>
      </w:pPr>
    </w:p>
    <w:tbl>
      <w:tblPr>
        <w:tblW w:w="0" w:type="auto"/>
        <w:tblInd w:w="250" w:type="dxa"/>
        <w:tblLayout w:type="fixed"/>
        <w:tblCellMar>
          <w:bottom w:w="113" w:type="dxa"/>
        </w:tblCellMar>
        <w:tblLook w:val="0000" w:firstRow="0" w:lastRow="0" w:firstColumn="0" w:lastColumn="0" w:noHBand="0" w:noVBand="0"/>
      </w:tblPr>
      <w:tblGrid>
        <w:gridCol w:w="2580"/>
        <w:gridCol w:w="4224"/>
      </w:tblGrid>
      <w:tr>
        <w:tc>
          <w:tcPr>
            <w:tcW w:w="2580" w:type="dxa"/>
          </w:tcPr>
          <w:p>
            <w:pPr>
              <w:pStyle w:val="zyTableNAm"/>
            </w:pPr>
            <w:r>
              <w:rPr>
                <w:i/>
                <w:iCs/>
              </w:rPr>
              <w:t>Firearms Act 1973</w:t>
            </w:r>
            <w:r>
              <w:t xml:space="preserve">, as in force immediately before the </w:t>
            </w:r>
            <w:r>
              <w:rPr>
                <w:i/>
                <w:iCs/>
              </w:rPr>
              <w:t>Firearms Act 2024</w:t>
            </w:r>
            <w:r>
              <w:t xml:space="preserve"> section 440 comes into operation</w:t>
            </w:r>
          </w:p>
        </w:tc>
        <w:tc>
          <w:tcPr>
            <w:tcW w:w="4224" w:type="dxa"/>
          </w:tcPr>
          <w:p>
            <w:pPr>
              <w:pStyle w:val="zyTableNAm"/>
            </w:pPr>
            <w:r>
              <w:t>All indictable offences</w:t>
            </w:r>
          </w:p>
        </w:tc>
      </w:tr>
      <w:tr>
        <w:tc>
          <w:tcPr>
            <w:tcW w:w="2580" w:type="dxa"/>
          </w:tcPr>
          <w:p>
            <w:pPr>
              <w:pStyle w:val="zyTableNAm"/>
              <w:rPr>
                <w:i/>
                <w:iCs/>
              </w:rPr>
            </w:pPr>
            <w:r>
              <w:rPr>
                <w:i/>
                <w:iCs/>
              </w:rPr>
              <w:t>Firearms Act 2024</w:t>
            </w:r>
          </w:p>
        </w:tc>
        <w:tc>
          <w:tcPr>
            <w:tcW w:w="4224" w:type="dxa"/>
          </w:tcPr>
          <w:p>
            <w:pPr>
              <w:pStyle w:val="zyTableNAm"/>
            </w:pPr>
            <w:r>
              <w:t>All indictable offences</w:t>
            </w:r>
          </w:p>
        </w:tc>
      </w:tr>
    </w:tbl>
    <w:p>
      <w:pPr>
        <w:pStyle w:val="BlankClose"/>
      </w:pPr>
    </w:p>
    <w:p>
      <w:pPr>
        <w:pStyle w:val="Heading2"/>
      </w:pPr>
      <w:bookmarkStart w:id="41" w:name="_Toc185414777"/>
      <w:bookmarkStart w:id="42" w:name="_Toc185414867"/>
      <w:bookmarkStart w:id="43" w:name="_Toc185415080"/>
      <w:bookmarkStart w:id="44" w:name="_Toc185415195"/>
      <w:r>
        <w:rPr>
          <w:rStyle w:val="CharPartNo"/>
        </w:rPr>
        <w:lastRenderedPageBreak/>
        <w:t>Part 3 </w:t>
      </w:r>
      <w:r>
        <w:t>—</w:t>
      </w:r>
      <w:r>
        <w:rPr>
          <w:rStyle w:val="CharPartText"/>
        </w:rPr>
        <w:t> </w:t>
      </w:r>
      <w:r>
        <w:rPr>
          <w:rStyle w:val="CharPartText"/>
          <w:i/>
          <w:iCs/>
        </w:rPr>
        <w:t>Weapons Regulations 1999</w:t>
      </w:r>
      <w:r>
        <w:rPr>
          <w:rStyle w:val="CharPartText"/>
        </w:rPr>
        <w:t xml:space="preserve"> amended</w:t>
      </w:r>
      <w:bookmarkEnd w:id="41"/>
      <w:bookmarkEnd w:id="42"/>
      <w:bookmarkEnd w:id="43"/>
      <w:bookmarkEnd w:id="44"/>
    </w:p>
    <w:p>
      <w:pPr>
        <w:pStyle w:val="Heading5"/>
        <w:rPr>
          <w:snapToGrid w:val="0"/>
        </w:rPr>
      </w:pPr>
      <w:bookmarkStart w:id="45" w:name="_Toc185414778"/>
      <w:bookmarkStart w:id="46" w:name="_Toc185415196"/>
      <w:r>
        <w:rPr>
          <w:rStyle w:val="CharSectno"/>
        </w:rPr>
        <w:t>16</w:t>
      </w:r>
      <w:r>
        <w:rPr>
          <w:snapToGrid w:val="0"/>
        </w:rPr>
        <w:t>.</w:t>
      </w:r>
      <w:r>
        <w:rPr>
          <w:snapToGrid w:val="0"/>
        </w:rPr>
        <w:tab/>
        <w:t>Regulations amended</w:t>
      </w:r>
      <w:bookmarkEnd w:id="45"/>
      <w:bookmarkEnd w:id="46"/>
    </w:p>
    <w:p>
      <w:pPr>
        <w:pStyle w:val="Subsection"/>
      </w:pPr>
      <w:r>
        <w:tab/>
      </w:r>
      <w:r>
        <w:tab/>
        <w:t>This Part amends the</w:t>
      </w:r>
      <w:r>
        <w:rPr>
          <w:i/>
        </w:rPr>
        <w:t xml:space="preserve"> Weapons Regulations 1999</w:t>
      </w:r>
      <w:r>
        <w:t>.</w:t>
      </w:r>
    </w:p>
    <w:p>
      <w:pPr>
        <w:pStyle w:val="Heading5"/>
      </w:pPr>
      <w:bookmarkStart w:id="47" w:name="_Toc185414779"/>
      <w:bookmarkStart w:id="48" w:name="_Toc185415197"/>
      <w:r>
        <w:rPr>
          <w:rStyle w:val="CharSectno"/>
        </w:rPr>
        <w:t>17</w:t>
      </w:r>
      <w:r>
        <w:t>.</w:t>
      </w:r>
      <w:r>
        <w:tab/>
        <w:t>Schedule 1 amended</w:t>
      </w:r>
      <w:bookmarkEnd w:id="47"/>
      <w:bookmarkEnd w:id="48"/>
    </w:p>
    <w:p>
      <w:pPr>
        <w:pStyle w:val="Subsection"/>
      </w:pPr>
      <w:r>
        <w:tab/>
      </w:r>
      <w:r>
        <w:tab/>
        <w:t>In Schedule 1:</w:t>
      </w:r>
    </w:p>
    <w:p>
      <w:pPr>
        <w:pStyle w:val="Indenta"/>
      </w:pPr>
      <w:r>
        <w:tab/>
        <w:t>(a)</w:t>
      </w:r>
      <w:r>
        <w:tab/>
        <w:t>after item 1 insert:</w:t>
      </w:r>
    </w:p>
    <w:p>
      <w:pPr>
        <w:pStyle w:val="BlankOpen"/>
      </w:pPr>
    </w:p>
    <w:tbl>
      <w:tblPr>
        <w:tblW w:w="7258" w:type="dxa"/>
        <w:tblInd w:w="250" w:type="dxa"/>
        <w:tblLayout w:type="fixed"/>
        <w:tblCellMar>
          <w:bottom w:w="113" w:type="dxa"/>
        </w:tblCellMar>
        <w:tblLook w:val="0000" w:firstRow="0" w:lastRow="0" w:firstColumn="0" w:lastColumn="0" w:noHBand="0" w:noVBand="0"/>
      </w:tblPr>
      <w:tblGrid>
        <w:gridCol w:w="738"/>
        <w:gridCol w:w="1984"/>
        <w:gridCol w:w="4536"/>
      </w:tblGrid>
      <w:tr>
        <w:tc>
          <w:tcPr>
            <w:tcW w:w="738" w:type="dxa"/>
          </w:tcPr>
          <w:p>
            <w:pPr>
              <w:pStyle w:val="zyTableNAm"/>
            </w:pPr>
            <w:r>
              <w:t>1A.</w:t>
            </w:r>
          </w:p>
        </w:tc>
        <w:tc>
          <w:tcPr>
            <w:tcW w:w="1984" w:type="dxa"/>
          </w:tcPr>
          <w:p>
            <w:pPr>
              <w:pStyle w:val="zyTableNAm"/>
            </w:pPr>
            <w:r>
              <w:t>Airsoft gun</w:t>
            </w:r>
          </w:p>
        </w:tc>
        <w:tc>
          <w:tcPr>
            <w:tcW w:w="4536" w:type="dxa"/>
          </w:tcPr>
          <w:p>
            <w:pPr>
              <w:pStyle w:val="zyTableNAm"/>
              <w:spacing w:after="120"/>
            </w:pPr>
            <w:r>
              <w:t xml:space="preserve">An article that — </w:t>
            </w:r>
          </w:p>
          <w:p>
            <w:pPr>
              <w:pStyle w:val="zyTableNAm"/>
              <w:spacing w:after="120"/>
              <w:ind w:left="1140" w:hanging="1140"/>
            </w:pPr>
            <w:r>
              <w:t>(a)</w:t>
            </w:r>
            <w:r>
              <w:tab/>
              <w:t xml:space="preserve">has the appearance of being a firearm; and </w:t>
            </w:r>
          </w:p>
          <w:p>
            <w:pPr>
              <w:pStyle w:val="zyTableNAm"/>
              <w:ind w:left="602" w:hanging="602"/>
              <w:rPr>
                <w:rStyle w:val="DraftersNotes"/>
                <w:b w:val="0"/>
                <w:i w:val="0"/>
                <w:sz w:val="22"/>
              </w:rPr>
            </w:pPr>
            <w:r>
              <w:t>(b)</w:t>
            </w:r>
            <w:r>
              <w:tab/>
              <w:t>is made or modified to be used to discharge a spherical projectile made of ceramic, metal, plastic or biodegradable material (commonly known as a BB pellet) using a pneumatic, gas, electric or spring-loaded mechanism or a combination of those mechanisms.</w:t>
            </w:r>
            <w:r>
              <w:rPr>
                <w:rStyle w:val="DraftersNotes"/>
              </w:rPr>
              <w:t xml:space="preserve"> </w:t>
            </w:r>
          </w:p>
        </w:tc>
      </w:tr>
    </w:tbl>
    <w:p>
      <w:pPr>
        <w:pStyle w:val="BlankClose"/>
      </w:pPr>
    </w:p>
    <w:p>
      <w:pPr>
        <w:pStyle w:val="Indenta"/>
      </w:pPr>
      <w:r>
        <w:tab/>
        <w:t>(b)</w:t>
      </w:r>
      <w:r>
        <w:tab/>
        <w:t>after item 10 insert:</w:t>
      </w:r>
    </w:p>
    <w:p>
      <w:pPr>
        <w:pStyle w:val="BlankOpen"/>
      </w:pPr>
    </w:p>
    <w:tbl>
      <w:tblPr>
        <w:tblW w:w="7258" w:type="dxa"/>
        <w:tblInd w:w="250" w:type="dxa"/>
        <w:tblLayout w:type="fixed"/>
        <w:tblCellMar>
          <w:bottom w:w="113" w:type="dxa"/>
        </w:tblCellMar>
        <w:tblLook w:val="0000" w:firstRow="0" w:lastRow="0" w:firstColumn="0" w:lastColumn="0" w:noHBand="0" w:noVBand="0"/>
      </w:tblPr>
      <w:tblGrid>
        <w:gridCol w:w="738"/>
        <w:gridCol w:w="1984"/>
        <w:gridCol w:w="4536"/>
      </w:tblGrid>
      <w:tr>
        <w:tc>
          <w:tcPr>
            <w:tcW w:w="738" w:type="dxa"/>
          </w:tcPr>
          <w:p>
            <w:pPr>
              <w:pStyle w:val="zyTableNAm"/>
            </w:pPr>
            <w:r>
              <w:t>10A.</w:t>
            </w:r>
          </w:p>
        </w:tc>
        <w:tc>
          <w:tcPr>
            <w:tcW w:w="1984" w:type="dxa"/>
          </w:tcPr>
          <w:p>
            <w:pPr>
              <w:pStyle w:val="zyTableNAm"/>
            </w:pPr>
            <w:r>
              <w:t>Flamethrower</w:t>
            </w:r>
          </w:p>
        </w:tc>
        <w:tc>
          <w:tcPr>
            <w:tcW w:w="4536" w:type="dxa"/>
          </w:tcPr>
          <w:p>
            <w:pPr>
              <w:pStyle w:val="zyTableNAm"/>
              <w:rPr>
                <w:rStyle w:val="DraftersNotes"/>
                <w:b w:val="0"/>
                <w:i w:val="0"/>
                <w:sz w:val="22"/>
              </w:rPr>
            </w:pPr>
            <w:r>
              <w:t>An article made or modified to be used to spray ignited incendiary fuel over a distance.</w:t>
            </w:r>
          </w:p>
        </w:tc>
      </w:tr>
    </w:tbl>
    <w:p>
      <w:pPr>
        <w:pStyle w:val="BlankClose"/>
      </w:pPr>
    </w:p>
    <w:p>
      <w:pPr>
        <w:pStyle w:val="Indenta"/>
        <w:keepNext/>
      </w:pPr>
      <w:r>
        <w:tab/>
        <w:t>(c)</w:t>
      </w:r>
      <w:r>
        <w:tab/>
        <w:t>after item 15 insert:</w:t>
      </w:r>
    </w:p>
    <w:p>
      <w:pPr>
        <w:pStyle w:val="BlankOpen"/>
      </w:pPr>
    </w:p>
    <w:tbl>
      <w:tblPr>
        <w:tblW w:w="7258" w:type="dxa"/>
        <w:tblInd w:w="250" w:type="dxa"/>
        <w:tblLayout w:type="fixed"/>
        <w:tblCellMar>
          <w:bottom w:w="113" w:type="dxa"/>
        </w:tblCellMar>
        <w:tblLook w:val="0000" w:firstRow="0" w:lastRow="0" w:firstColumn="0" w:lastColumn="0" w:noHBand="0" w:noVBand="0"/>
      </w:tblPr>
      <w:tblGrid>
        <w:gridCol w:w="738"/>
        <w:gridCol w:w="1984"/>
        <w:gridCol w:w="4536"/>
      </w:tblGrid>
      <w:tr>
        <w:tc>
          <w:tcPr>
            <w:tcW w:w="738" w:type="dxa"/>
          </w:tcPr>
          <w:p>
            <w:pPr>
              <w:pStyle w:val="zyTableNAm"/>
              <w:keepNext/>
            </w:pPr>
            <w:r>
              <w:t>16.</w:t>
            </w:r>
          </w:p>
        </w:tc>
        <w:tc>
          <w:tcPr>
            <w:tcW w:w="1984" w:type="dxa"/>
          </w:tcPr>
          <w:p>
            <w:pPr>
              <w:pStyle w:val="zyTableNAm"/>
              <w:keepNext/>
            </w:pPr>
            <w:r>
              <w:t>Spud gun</w:t>
            </w:r>
          </w:p>
        </w:tc>
        <w:tc>
          <w:tcPr>
            <w:tcW w:w="4536" w:type="dxa"/>
          </w:tcPr>
          <w:p>
            <w:pPr>
              <w:pStyle w:val="zyTableNAm"/>
              <w:keepNext/>
              <w:rPr>
                <w:rStyle w:val="DraftersNotes"/>
                <w:b w:val="0"/>
                <w:i w:val="0"/>
                <w:sz w:val="22"/>
              </w:rPr>
            </w:pPr>
            <w:r>
              <w:t>An article (commonly constructed of PVC or other type of piping) made or modified to be used to discharge organic material (for example, potato) using a pneumatic, gas or spring-loaded mechanism.</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lastRenderedPageBreak/>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8A628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5023BA4" w14:textId="1037DBBF" w:rsidR="00C910AB" w:rsidRDefault="00C910A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2D4B">
                        <w:rPr>
                          <w:sz w:val="16"/>
                        </w:rPr>
                        <w:t>2024</w:t>
                      </w:r>
                      <w:r>
                        <w:rPr>
                          <w:sz w:val="16"/>
                        </w:rPr>
                        <w:fldChar w:fldCharType="end"/>
                      </w:r>
                      <w:r>
                        <w:rPr>
                          <w:sz w:val="16"/>
                        </w:rPr>
                        <w:t>.</w:t>
                      </w:r>
                    </w:p>
                    <w:p w14:paraId="51B6DA78" w14:textId="77777777" w:rsidR="00C910AB" w:rsidRDefault="00C910A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E809E7" w14:textId="6379AC05" w:rsidR="00C910AB" w:rsidRDefault="00C910A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2D4B">
                        <w:rPr>
                          <w:sz w:val="16"/>
                        </w:rPr>
                        <w:t>2024</w:t>
                      </w:r>
                      <w:r>
                        <w:rPr>
                          <w:sz w:val="16"/>
                        </w:rPr>
                        <w:fldChar w:fldCharType="end"/>
                      </w:r>
                      <w:r>
                        <w:rPr>
                          <w:sz w:val="16"/>
                        </w:rPr>
                        <w:t>.</w:t>
                      </w:r>
                    </w:p>
                    <w:p w14:paraId="56D0DABA" w14:textId="77777777" w:rsidR="00C910AB" w:rsidRDefault="00C910A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2024/296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2024/296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2024/296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2024/296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2024/296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2024/296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Regulations Amendment (Firearms)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Regulations Amendment (Firearms)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Regulations Amendment (Firearms)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Regulations Amendment (Firearms)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25C081B"/>
    <w:multiLevelType w:val="hybridMultilevel"/>
    <w:tmpl w:val="6B8E83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3"/>
  </w:num>
  <w:num w:numId="3">
    <w:abstractNumId w:val="11"/>
  </w:num>
  <w:num w:numId="4">
    <w:abstractNumId w:val="19"/>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811451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04121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04121422_GUID" w:val="c78f8472-6aa1-4772-818b-31889339c17e"/>
    <w:docVar w:name="WAFER_202411131141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4137_GUID" w:val="10faeefd-0c20-4368-9c63-2a9151817bc2"/>
    <w:docVar w:name="WAFER_20241218114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8114440_GUID" w:val="b32ecb98-5d91-422b-826b-f5341d43c0b1"/>
    <w:docVar w:name="WAFER_2024121811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8114515_GUID" w:val="9485a5d5-d45d-4eb4-a327-9999636e5f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935B57A1-D712-480C-B9EC-A299D539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1041</Words>
  <Characters>5363</Characters>
  <Application>Microsoft Office Word</Application>
  <DocSecurity>0</DocSecurity>
  <Lines>243</Lines>
  <Paragraphs>152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Regulations Amendment (Firearms) Regulations 2024 - 00-00-00</dc:title>
  <dc:subject/>
  <dc:creator/>
  <cp:keywords/>
  <dc:description/>
  <cp:lastModifiedBy>Master Repository Process</cp:lastModifiedBy>
  <cp:revision>4</cp:revision>
  <cp:lastPrinted>2021-03-14T07:59:00Z</cp:lastPrinted>
  <dcterms:created xsi:type="dcterms:W3CDTF">2025-07-04T06:40:00Z</dcterms:created>
  <dcterms:modified xsi:type="dcterms:W3CDTF">2025-07-04T06:40:00Z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54946</vt:lpwstr>
  </property>
  <property fmtid="{D5CDD505-2E9C-101B-9397-08002B2CF9AE}" pid="3" name="DocumentType">
    <vt:lpwstr>Reg</vt:lpwstr>
  </property>
  <property fmtid="{D5CDD505-2E9C-101B-9397-08002B2CF9AE}" pid="4" name="AsAtDate">
    <vt:lpwstr>21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2024/296</vt:lpwstr>
  </property>
  <property fmtid="{D5CDD505-2E9C-101B-9397-08002B2CF9AE}" pid="8" name="PublishDate">
    <vt:lpwstr>21 Dec 2024</vt:lpwstr>
  </property>
  <property fmtid="{D5CDD505-2E9C-101B-9397-08002B2CF9AE}" pid="9" name="CommencementDate">
    <vt:lpwstr>20241221</vt:lpwstr>
  </property>
  <property fmtid="{D5CDD505-2E9C-101B-9397-08002B2CF9AE}" pid="10" name="CommencementAsAt">
    <vt:filetime>2024-12-20T16:00:00Z</vt:filetime>
  </property>
  <property fmtid="{D5CDD505-2E9C-101B-9397-08002B2CF9AE}" pid="11" name="CommencementYear">
    <vt:lpwstr>2024</vt:lpwstr>
  </property>
</Properties>
</file>