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Prohibited Behaviour Orders Act 2010</w:t>
      </w:r>
      <w:r>
        <w:rPr>
          <w:noProof/>
        </w:rPr>
        <w:br/>
        <w:t>Restraining Orders Act 1997</w:t>
      </w:r>
      <w:r>
        <w:rPr>
          <w:noProof/>
        </w:rPr>
        <w:br/>
        <w:t>Spent Convictions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(Firearms)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(Firearms)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_Toc185409268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_Toc185409269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Prohibited Behaviour Orders Regulations 2011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_Toc185409271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_Toc185409272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_Toc185409273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Restraining Orders Regulations 1997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_Toc185409275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_Toc185409276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5A replaced</w:t>
      </w:r>
      <w:r>
        <w:tab/>
      </w:r>
      <w:r>
        <w:fldChar w:fldCharType="begin"/>
      </w:r>
      <w:r>
        <w:instrText xml:space="preserve"> PAGEREF _Toc185409277 \h </w:instrText>
      </w:r>
      <w:r>
        <w:fldChar w:fldCharType="separate"/>
      </w:r>
      <w:r>
        <w:t>4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5A.</w:t>
      </w:r>
      <w:r>
        <w:rPr>
          <w:noProof/>
        </w:rPr>
        <w:tab/>
        <w:t>Dealing with firearm items seized (Act s. 62B(2)(c) and (4))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_Toc185409278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Spent Convictions Regulations 1992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_Toc185409280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_Toc185409281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Prohibited Behaviour Orders Act 2010</w:t>
      </w:r>
      <w:r>
        <w:br/>
        <w:t>Restraining Orders Act 1997</w:t>
      </w:r>
      <w:r>
        <w:br/>
        <w:t>Spent Convictions Act 1988</w:t>
      </w:r>
    </w:p>
    <w:p>
      <w:pPr>
        <w:pStyle w:val="NameofActReg"/>
      </w:pPr>
      <w:r>
        <w:t>Attorney General Regulations Amendment (Firearms)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85409222"/>
      <w:bookmarkStart w:id="3" w:name="_Toc185409237"/>
      <w:bookmarkStart w:id="4" w:name="_Toc185409252"/>
      <w:bookmarkStart w:id="5" w:name="_Toc18540926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85409223"/>
      <w:bookmarkStart w:id="7" w:name="_Toc185409268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Attorney General Regulations Amendment (Firearms)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85409224"/>
      <w:bookmarkStart w:id="10" w:name="_Toc18540926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Firearms Act 2024</w:t>
      </w:r>
      <w:r>
        <w:t xml:space="preserve"> section 440 comes into operation.</w:t>
      </w:r>
    </w:p>
    <w:p>
      <w:pPr>
        <w:pStyle w:val="Heading2"/>
      </w:pPr>
      <w:bookmarkStart w:id="11" w:name="_Toc185409225"/>
      <w:bookmarkStart w:id="12" w:name="_Toc185409240"/>
      <w:bookmarkStart w:id="13" w:name="_Toc185409255"/>
      <w:bookmarkStart w:id="14" w:name="_Toc185409270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Prohibited Behaviour Orders Regulations 2011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85409226"/>
      <w:bookmarkStart w:id="16" w:name="_Toc18540927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Prohibited Behaviour Orders Regulations 2011</w:t>
      </w:r>
      <w:r>
        <w:t>.</w:t>
      </w:r>
    </w:p>
    <w:p>
      <w:pPr>
        <w:pStyle w:val="Heading5"/>
      </w:pPr>
      <w:bookmarkStart w:id="17" w:name="_Toc185409227"/>
      <w:bookmarkStart w:id="18" w:name="_Toc185409272"/>
      <w:r>
        <w:rPr>
          <w:rStyle w:val="CharSectno"/>
        </w:rPr>
        <w:t>4</w:t>
      </w:r>
      <w:r>
        <w:t>.</w:t>
      </w:r>
      <w:r>
        <w:tab/>
        <w:t>Regulation 6 amended</w:t>
      </w:r>
      <w:bookmarkEnd w:id="17"/>
      <w:bookmarkEnd w:id="18"/>
    </w:p>
    <w:p>
      <w:pPr>
        <w:pStyle w:val="Subsection"/>
      </w:pPr>
      <w:r>
        <w:tab/>
        <w:t>(1)</w:t>
      </w:r>
      <w:r>
        <w:tab/>
        <w:t>In regulation 6(2)(b)(ii) delete “</w:t>
      </w:r>
      <w:r>
        <w:rPr>
          <w:i/>
          <w:iCs/>
        </w:rPr>
        <w:t>Firearms Act 1973</w:t>
      </w:r>
      <w:r>
        <w:t>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i/>
          <w:iCs/>
        </w:rPr>
        <w:t>Firearms Act 2024</w:t>
      </w:r>
      <w:r>
        <w:t>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Delete regulation 6(3).</w:t>
      </w:r>
    </w:p>
    <w:p>
      <w:pPr>
        <w:pStyle w:val="Heading5"/>
      </w:pPr>
      <w:bookmarkStart w:id="19" w:name="_Toc185409228"/>
      <w:bookmarkStart w:id="20" w:name="_Toc185409273"/>
      <w:r>
        <w:rPr>
          <w:rStyle w:val="CharSectno"/>
        </w:rPr>
        <w:t>5</w:t>
      </w:r>
      <w:r>
        <w:t>.</w:t>
      </w:r>
      <w:r>
        <w:tab/>
        <w:t>Regulation 7 amended</w:t>
      </w:r>
      <w:bookmarkEnd w:id="19"/>
      <w:bookmarkEnd w:id="20"/>
    </w:p>
    <w:p>
      <w:pPr>
        <w:pStyle w:val="Subsection"/>
      </w:pPr>
      <w:r>
        <w:tab/>
      </w:r>
      <w:r>
        <w:tab/>
        <w:t>Delete regulation 7(5) and insert:</w:t>
      </w:r>
    </w:p>
    <w:p>
      <w:pPr>
        <w:pStyle w:val="BlankOpen"/>
      </w:pPr>
    </w:p>
    <w:p>
      <w:pPr>
        <w:pStyle w:val="zSubsection"/>
      </w:pPr>
      <w:r>
        <w:tab/>
        <w:t>(5)</w:t>
      </w:r>
      <w:r>
        <w:tab/>
        <w:t xml:space="preserve">This regulation — </w:t>
      </w:r>
    </w:p>
    <w:p>
      <w:pPr>
        <w:pStyle w:val="zIndenta"/>
      </w:pPr>
      <w:r>
        <w:tab/>
        <w:t>(a)</w:t>
      </w:r>
      <w:r>
        <w:tab/>
        <w:t xml:space="preserve">is subject to the exercise by the Commissioner of functions under the </w:t>
      </w:r>
      <w:r>
        <w:rPr>
          <w:i/>
          <w:iCs/>
        </w:rPr>
        <w:t>Firearms Act 2024</w:t>
      </w:r>
      <w:r>
        <w:t xml:space="preserve"> Part 4 Division 8 or 9, Part 8 or any other provision of that Act; and</w:t>
      </w:r>
    </w:p>
    <w:p>
      <w:pPr>
        <w:pStyle w:val="zIndenta"/>
      </w:pPr>
      <w:r>
        <w:tab/>
        <w:t>(b)</w:t>
      </w:r>
      <w:r>
        <w:tab/>
        <w:t xml:space="preserve">does not require the Commissioner to return a firearm item or firearms authorisation to a person if the Commissioner is not satisfied the person is entitled to its lawful possession under the </w:t>
      </w:r>
      <w:r>
        <w:rPr>
          <w:i/>
          <w:iCs/>
        </w:rPr>
        <w:t>Firearms Act 2024</w:t>
      </w:r>
      <w:r>
        <w:t>.</w:t>
      </w:r>
    </w:p>
    <w:p>
      <w:pPr>
        <w:pStyle w:val="BlankClose"/>
      </w:pPr>
    </w:p>
    <w:p>
      <w:pPr>
        <w:pStyle w:val="Heading2"/>
      </w:pPr>
      <w:bookmarkStart w:id="21" w:name="_Toc185409229"/>
      <w:bookmarkStart w:id="22" w:name="_Toc185409244"/>
      <w:bookmarkStart w:id="23" w:name="_Toc185409259"/>
      <w:bookmarkStart w:id="24" w:name="_Toc185409274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Restraining Orders Regulations 1997</w:t>
      </w:r>
      <w:r>
        <w:rPr>
          <w:rStyle w:val="CharPartText"/>
        </w:rPr>
        <w:t xml:space="preserve"> amended</w:t>
      </w:r>
      <w:bookmarkEnd w:id="21"/>
      <w:bookmarkEnd w:id="22"/>
      <w:bookmarkEnd w:id="23"/>
      <w:bookmarkEnd w:id="24"/>
    </w:p>
    <w:p>
      <w:pPr>
        <w:pStyle w:val="Heading5"/>
      </w:pPr>
      <w:bookmarkStart w:id="25" w:name="_Toc185409230"/>
      <w:bookmarkStart w:id="26" w:name="_Toc185409275"/>
      <w:r>
        <w:rPr>
          <w:rStyle w:val="CharSectno"/>
        </w:rPr>
        <w:t>6</w:t>
      </w:r>
      <w:r>
        <w:t>.</w:t>
      </w:r>
      <w:r>
        <w:tab/>
        <w:t>Regulations amended</w:t>
      </w:r>
      <w:bookmarkEnd w:id="25"/>
      <w:bookmarkEnd w:id="26"/>
    </w:p>
    <w:p>
      <w:pPr>
        <w:pStyle w:val="Subsection"/>
        <w:rPr>
          <w:i/>
        </w:rPr>
      </w:pPr>
      <w:r>
        <w:tab/>
      </w:r>
      <w:r>
        <w:tab/>
        <w:t xml:space="preserve">This Part amends the </w:t>
      </w:r>
      <w:r>
        <w:rPr>
          <w:i/>
        </w:rPr>
        <w:t>Restraining Orders Regulations 1997.</w:t>
      </w:r>
    </w:p>
    <w:p>
      <w:pPr>
        <w:pStyle w:val="Heading5"/>
      </w:pPr>
      <w:bookmarkStart w:id="27" w:name="_Toc185409231"/>
      <w:bookmarkStart w:id="28" w:name="_Toc185409276"/>
      <w:r>
        <w:rPr>
          <w:rStyle w:val="CharSectno"/>
        </w:rPr>
        <w:t>7</w:t>
      </w:r>
      <w:r>
        <w:t>.</w:t>
      </w:r>
      <w:r>
        <w:tab/>
        <w:t>Regulation 5 amended</w:t>
      </w:r>
      <w:bookmarkEnd w:id="27"/>
      <w:bookmarkEnd w:id="28"/>
    </w:p>
    <w:p>
      <w:pPr>
        <w:pStyle w:val="Subsection"/>
      </w:pPr>
      <w:r>
        <w:tab/>
      </w:r>
      <w:r>
        <w:tab/>
        <w:t>Delete regulation 5(2) to (5)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 xml:space="preserve">Subregulation (1) — </w:t>
      </w:r>
    </w:p>
    <w:p>
      <w:pPr>
        <w:pStyle w:val="zIndenta"/>
      </w:pPr>
      <w:r>
        <w:tab/>
        <w:t>(a)</w:t>
      </w:r>
      <w:r>
        <w:tab/>
        <w:t xml:space="preserve">is subject to the exercise by the Commissioner of functions under the </w:t>
      </w:r>
      <w:r>
        <w:rPr>
          <w:i/>
          <w:iCs/>
        </w:rPr>
        <w:t>Firearms Act 2024</w:t>
      </w:r>
      <w:r>
        <w:t xml:space="preserve"> Part 4 Division 8 or 9, Part 8 or any other provision of that Act; and</w:t>
      </w:r>
    </w:p>
    <w:p>
      <w:pPr>
        <w:pStyle w:val="zIndenta"/>
      </w:pPr>
      <w:r>
        <w:tab/>
        <w:t>(b)</w:t>
      </w:r>
      <w:r>
        <w:tab/>
        <w:t>does not require the Commissioner to return a firearm item or firearms authorisation to the restrained person or a co</w:t>
      </w:r>
      <w:r>
        <w:noBreakHyphen/>
        <w:t xml:space="preserve">licensee of the firearm item if the Commissioner is not satisfied the person is entitled to its lawful possession under the </w:t>
      </w:r>
      <w:r>
        <w:rPr>
          <w:i/>
          <w:iCs/>
        </w:rPr>
        <w:t>Firearms Act 2024</w:t>
      </w:r>
      <w:r>
        <w:t>.</w:t>
      </w:r>
    </w:p>
    <w:p>
      <w:pPr>
        <w:pStyle w:val="zSubsection"/>
      </w:pPr>
      <w:r>
        <w:tab/>
        <w:t>(3)</w:t>
      </w:r>
      <w:r>
        <w:tab/>
        <w:t xml:space="preserve">Subregulation (4) applies to a firearm item held by the Commissioner under subregulation (1) if — </w:t>
      </w:r>
    </w:p>
    <w:p>
      <w:pPr>
        <w:pStyle w:val="zIndenta"/>
      </w:pPr>
      <w:r>
        <w:tab/>
        <w:t>(a)</w:t>
      </w:r>
      <w:r>
        <w:tab/>
        <w:t>after the restraining order ceases to be in force, the Commissioner is satisfied that neither the restrained person nor any co</w:t>
      </w:r>
      <w:r>
        <w:noBreakHyphen/>
        <w:t xml:space="preserve">licensee of the firearm item is entitled to lawful possession of the firearm item under the </w:t>
      </w:r>
      <w:r>
        <w:rPr>
          <w:i/>
          <w:iCs/>
        </w:rPr>
        <w:t>Firearms Act 2024</w:t>
      </w:r>
      <w:r>
        <w:t>; or</w:t>
      </w:r>
    </w:p>
    <w:p>
      <w:pPr>
        <w:pStyle w:val="zIndenta"/>
      </w:pPr>
      <w:r>
        <w:tab/>
        <w:t>(b)</w:t>
      </w:r>
      <w:r>
        <w:tab/>
        <w:t>if paragraph (a) does not apply — the firearm item has not been reclaimed by a person entitled to its lawful possession within 1 month after the restraining order ceases to be in force.</w:t>
      </w:r>
    </w:p>
    <w:p>
      <w:pPr>
        <w:pStyle w:val="zSubsection"/>
      </w:pPr>
      <w:r>
        <w:lastRenderedPageBreak/>
        <w:tab/>
        <w:t>(4)</w:t>
      </w:r>
      <w:r>
        <w:tab/>
        <w:t xml:space="preserve">The Commissioner may deal with the firearm item under the </w:t>
      </w:r>
      <w:r>
        <w:rPr>
          <w:i/>
          <w:iCs/>
        </w:rPr>
        <w:t>Firearms Act 2024</w:t>
      </w:r>
      <w:r>
        <w:t xml:space="preserve"> section 368(3) and (4) as if a person entitled to its lawful possession cannot be identified or cannot be found.</w:t>
      </w:r>
    </w:p>
    <w:p>
      <w:pPr>
        <w:pStyle w:val="BlankClose"/>
      </w:pPr>
    </w:p>
    <w:p>
      <w:pPr>
        <w:pStyle w:val="Heading5"/>
      </w:pPr>
      <w:bookmarkStart w:id="29" w:name="_Toc185409232"/>
      <w:bookmarkStart w:id="30" w:name="_Toc185409277"/>
      <w:r>
        <w:rPr>
          <w:rStyle w:val="CharSectno"/>
        </w:rPr>
        <w:t>8</w:t>
      </w:r>
      <w:r>
        <w:t>.</w:t>
      </w:r>
      <w:r>
        <w:tab/>
        <w:t>Regulation 5A replaced</w:t>
      </w:r>
      <w:bookmarkEnd w:id="29"/>
      <w:bookmarkEnd w:id="30"/>
    </w:p>
    <w:p>
      <w:pPr>
        <w:pStyle w:val="Subsection"/>
      </w:pPr>
      <w:r>
        <w:tab/>
      </w:r>
      <w:r>
        <w:tab/>
        <w:t>Delete regulation 5A and insert:</w:t>
      </w:r>
    </w:p>
    <w:p>
      <w:pPr>
        <w:pStyle w:val="BlankOpen"/>
      </w:pPr>
    </w:p>
    <w:p>
      <w:pPr>
        <w:pStyle w:val="zHeading5"/>
      </w:pPr>
      <w:bookmarkStart w:id="31" w:name="_Toc185409233"/>
      <w:bookmarkStart w:id="32" w:name="_Toc185409278"/>
      <w:r>
        <w:t>5A.</w:t>
      </w:r>
      <w:r>
        <w:tab/>
        <w:t>Dealing with firearm items seized (Act s. 62B(2)(c) and (4))</w:t>
      </w:r>
      <w:bookmarkEnd w:id="31"/>
      <w:bookmarkEnd w:id="32"/>
    </w:p>
    <w:p>
      <w:pPr>
        <w:pStyle w:val="zSubsection"/>
      </w:pPr>
      <w:r>
        <w:tab/>
      </w:r>
      <w:r>
        <w:tab/>
        <w:t xml:space="preserve">The </w:t>
      </w:r>
      <w:r>
        <w:rPr>
          <w:i/>
          <w:iCs/>
        </w:rPr>
        <w:t>Criminal and Found Property Disposal Act 2006</w:t>
      </w:r>
      <w:r>
        <w:t xml:space="preserve"> applies to a firearm item seized under section 62B(2)(c) of the Act as if the firearm item were seized in the course of a criminal investigation by the Police Force of Western Australia, and the firearm item is to be dealt with by the Commissioner of Police accordingly.</w:t>
      </w:r>
    </w:p>
    <w:p>
      <w:pPr>
        <w:pStyle w:val="BlankClose"/>
      </w:pPr>
    </w:p>
    <w:p>
      <w:pPr>
        <w:pStyle w:val="Heading2"/>
      </w:pPr>
      <w:bookmarkStart w:id="33" w:name="_Toc185409234"/>
      <w:bookmarkStart w:id="34" w:name="_Toc185409249"/>
      <w:bookmarkStart w:id="35" w:name="_Toc185409264"/>
      <w:bookmarkStart w:id="36" w:name="_Toc185409279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Spent Convictions Regulations 1992</w:t>
      </w:r>
      <w:r>
        <w:rPr>
          <w:rStyle w:val="CharPartText"/>
        </w:rPr>
        <w:t xml:space="preserve"> amended</w:t>
      </w:r>
      <w:bookmarkEnd w:id="33"/>
      <w:bookmarkEnd w:id="34"/>
      <w:bookmarkEnd w:id="35"/>
      <w:bookmarkEnd w:id="36"/>
    </w:p>
    <w:p>
      <w:pPr>
        <w:pStyle w:val="Heading5"/>
      </w:pPr>
      <w:bookmarkStart w:id="37" w:name="_Toc185409235"/>
      <w:bookmarkStart w:id="38" w:name="_Toc185409280"/>
      <w:r>
        <w:rPr>
          <w:rStyle w:val="CharSectno"/>
        </w:rPr>
        <w:t>9</w:t>
      </w:r>
      <w:r>
        <w:t>.</w:t>
      </w:r>
      <w:r>
        <w:tab/>
        <w:t>Regulations amended</w:t>
      </w:r>
      <w:bookmarkEnd w:id="37"/>
      <w:bookmarkEnd w:id="3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Spent Convictions Regulations 1992.</w:t>
      </w:r>
    </w:p>
    <w:p>
      <w:pPr>
        <w:pStyle w:val="Heading5"/>
      </w:pPr>
      <w:bookmarkStart w:id="39" w:name="_Toc185409236"/>
      <w:bookmarkStart w:id="40" w:name="_Toc185409281"/>
      <w:r>
        <w:rPr>
          <w:rStyle w:val="CharSectno"/>
        </w:rPr>
        <w:t>10</w:t>
      </w:r>
      <w:r>
        <w:t>.</w:t>
      </w:r>
      <w:r>
        <w:tab/>
        <w:t>Schedule 1 amended</w:t>
      </w:r>
      <w:bookmarkEnd w:id="39"/>
      <w:bookmarkEnd w:id="40"/>
    </w:p>
    <w:p>
      <w:pPr>
        <w:pStyle w:val="Subsection"/>
      </w:pPr>
      <w:r>
        <w:tab/>
      </w:r>
      <w:r>
        <w:tab/>
        <w:t>In Schedule 1 item 4 delete “</w:t>
      </w:r>
      <w:r>
        <w:rPr>
          <w:i/>
          <w:iCs/>
          <w:sz w:val="22"/>
        </w:rPr>
        <w:t>Firearms Act 1973,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  <w:iCs/>
          <w:sz w:val="22"/>
        </w:rPr>
      </w:pPr>
      <w:r>
        <w:tab/>
      </w:r>
      <w:r>
        <w:tab/>
      </w:r>
      <w:r>
        <w:rPr>
          <w:i/>
          <w:iCs/>
          <w:sz w:val="22"/>
        </w:rPr>
        <w:t>Firearms Act 2024,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D4714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3CF77CE" w14:textId="1A8C4D7C" w:rsidR="00D05999" w:rsidRDefault="00D0599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642E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933FF98" w14:textId="77777777" w:rsidR="00D05999" w:rsidRDefault="00D0599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AE110F5" w14:textId="794F4D70" w:rsidR="00D05999" w:rsidRDefault="00D0599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642E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7545D53" w14:textId="77777777" w:rsidR="00D05999" w:rsidRDefault="00D0599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(Firearms)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(Firearms)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(Firearms)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(Firearms)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1" w:name="Coversheet"/>
    <w:bookmarkEnd w:id="4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0D8420C1"/>
    <w:multiLevelType w:val="hybridMultilevel"/>
    <w:tmpl w:val="A69C53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2"/>
  </w:num>
  <w:num w:numId="2">
    <w:abstractNumId w:val="13"/>
  </w:num>
  <w:num w:numId="3">
    <w:abstractNumId w:val="11"/>
  </w:num>
  <w:num w:numId="4">
    <w:abstractNumId w:val="19"/>
  </w:num>
  <w:num w:numId="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809580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171021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17102134_GUID" w:val="b7d8cdc0-222e-4f42-a7e7-fa9cea0ad4ee"/>
    <w:docVar w:name="WAFER_202410301349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30134947_GUID" w:val="24fbef26-59b7-45ed-bb0f-90fde7e9a274"/>
    <w:docVar w:name="WAFER_202412180958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8095807_GUID" w:val="8a3d0603-352c-4495-b77f-58d215cafb0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5:docId w15:val="{1FC28BA0-3311-452E-BF9F-F2FC2FCC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806</Words>
  <Characters>4224</Characters>
  <Application>Microsoft Office Word</Application>
  <DocSecurity>0</DocSecurity>
  <Lines>162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General Regulations Amendment (Firearms)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2025-06-20T05:23:00Z</dcterms:created>
  <dcterms:modified xsi:type="dcterms:W3CDTF">2025-06-20T05:23:00Z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54942</vt:lpwstr>
  </property>
  <property fmtid="{D5CDD505-2E9C-101B-9397-08002B2CF9AE}" pid="3" name="DocumentType">
    <vt:lpwstr>Reg</vt:lpwstr>
  </property>
  <property fmtid="{D5CDD505-2E9C-101B-9397-08002B2CF9AE}" pid="4" name="AsAtDate">
    <vt:lpwstr>21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2024/300</vt:lpwstr>
  </property>
  <property fmtid="{D5CDD505-2E9C-101B-9397-08002B2CF9AE}" pid="8" name="PublishDate">
    <vt:lpwstr>21 Dec 2024</vt:lpwstr>
  </property>
  <property fmtid="{D5CDD505-2E9C-101B-9397-08002B2CF9AE}" pid="9" name="CommencementDate">
    <vt:lpwstr>20241221</vt:lpwstr>
  </property>
  <property fmtid="{D5CDD505-2E9C-101B-9397-08002B2CF9AE}" pid="10" name="CommencementAsAt">
    <vt:filetime>2024-12-20T16:00:00Z</vt:filetime>
  </property>
  <property fmtid="{D5CDD505-2E9C-101B-9397-08002B2CF9AE}" pid="11" name="CommencementYear">
    <vt:lpwstr>2024</vt:lpwstr>
  </property>
</Properties>
</file>