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National Regulations (Drug and Alcohol Testing)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National Regulations (Drug and Alcohol Testing) Amendment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_Toc185580464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_Toc185580465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Amendment provisions</w:t>
      </w:r>
      <w:r>
        <w:tab/>
      </w:r>
      <w:r>
        <w:fldChar w:fldCharType="begin"/>
      </w:r>
      <w:r>
        <w:instrText xml:space="preserve"> PAGEREF _Toc185580466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Amendment of </w:t>
      </w:r>
      <w:r>
        <w:rPr>
          <w:i/>
          <w:iCs/>
        </w:rPr>
        <w:t>Rail Safety National Law National Regulations 2012</w:t>
      </w:r>
    </w:p>
    <w:p>
      <w:pPr>
        <w:pStyle w:val="TOC8"/>
        <w:rPr>
          <w:rFonts w:asciiTheme="minorHAnsi" w:eastAsiaTheme="minorEastAsia" w:hAnsiTheme="minorHAnsi" w:cstheme="minorBidi"/>
          <w:szCs w:val="22"/>
        </w:rPr>
      </w:pPr>
      <w:r>
        <w:t>4</w:t>
      </w:r>
      <w:r>
        <w:rPr>
          <w:snapToGrid w:val="0"/>
        </w:rPr>
        <w:t>.</w:t>
      </w:r>
      <w:r>
        <w:rPr>
          <w:snapToGrid w:val="0"/>
        </w:rPr>
        <w:tab/>
        <w:t>Amendment of regulation 28 — Drug and alcohol management program</w:t>
      </w:r>
      <w:r>
        <w:tab/>
      </w:r>
      <w:r>
        <w:fldChar w:fldCharType="begin"/>
      </w:r>
      <w:r>
        <w:instrText xml:space="preserve"> PAGEREF _Toc185580468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Law National Regulations (Drug and Alcohol Testing) Amendment Regulations 2024</w:t>
      </w:r>
    </w:p>
    <w:p>
      <w:pPr>
        <w:pStyle w:val="MadeBy"/>
        <w:rPr>
          <w:strike/>
        </w:rPr>
      </w:pPr>
      <w:r>
        <w:t>Made by the Governor of South Australia on the unanimous recommendation of the responsible Ministers and with the advice and consent of the Executive Council of that State on 5 December 2024.</w:t>
      </w:r>
    </w:p>
    <w:p>
      <w:pPr>
        <w:pStyle w:val="PermNoteHeading"/>
      </w:pPr>
      <w:r>
        <w:t xml:space="preserve">[Editorial note: </w:t>
      </w:r>
    </w:p>
    <w:p>
      <w:pPr>
        <w:pStyle w:val="PermNoteText"/>
        <w:tabs>
          <w:tab w:val="clear" w:pos="879"/>
          <w:tab w:val="left" w:pos="567"/>
        </w:tabs>
        <w:ind w:left="567" w:hanging="567"/>
      </w:pPr>
      <w:r>
        <w:tab/>
        <w:t xml:space="preserve">Regulations made under the </w:t>
      </w:r>
      <w:r>
        <w:rPr>
          <w:i/>
          <w:iCs/>
        </w:rPr>
        <w:t>Rail Safety National Law (WA)</w:t>
      </w:r>
      <w:r>
        <w:t xml:space="preserve"> s. 264 are made by the Governor of South Australia (see SL 2024/111 published in SA </w:t>
      </w:r>
      <w:r>
        <w:rPr>
          <w:i/>
          <w:iCs/>
        </w:rPr>
        <w:t>Gazette</w:t>
      </w:r>
      <w:r>
        <w:t xml:space="preserve"> 5 December 2024 p. 4549).]</w:t>
      </w:r>
    </w:p>
    <w:p>
      <w:pPr>
        <w:pStyle w:val="Heading2"/>
        <w:pageBreakBefore w:val="0"/>
        <w:spacing w:before="360"/>
      </w:pPr>
      <w:bookmarkStart w:id="2" w:name="_Toc185580202"/>
      <w:bookmarkStart w:id="3" w:name="_Toc185580263"/>
      <w:bookmarkStart w:id="4" w:name="_Toc185580374"/>
      <w:bookmarkStart w:id="5" w:name="_Toc1855804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5580203"/>
      <w:bookmarkStart w:id="7" w:name="_Toc185580464"/>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Rail Safety National Law National Regulations (Drug and Alcohol Testing) Amendment Regulations 2024</w:t>
      </w:r>
      <w:r>
        <w:t>.</w:t>
      </w:r>
    </w:p>
    <w:p>
      <w:pPr>
        <w:pStyle w:val="Heading5"/>
        <w:rPr>
          <w:spacing w:val="-2"/>
        </w:rPr>
      </w:pPr>
      <w:bookmarkStart w:id="9" w:name="_Toc185580204"/>
      <w:bookmarkStart w:id="10" w:name="_Toc185580465"/>
      <w:r>
        <w:rPr>
          <w:rStyle w:val="CharSectno"/>
        </w:rPr>
        <w:t>2</w:t>
      </w:r>
      <w:r>
        <w:rPr>
          <w:spacing w:val="-2"/>
        </w:rPr>
        <w:t>.</w:t>
      </w:r>
      <w:r>
        <w:rPr>
          <w:spacing w:val="-2"/>
        </w:rPr>
        <w:tab/>
        <w:t>Commencement</w:t>
      </w:r>
      <w:bookmarkEnd w:id="9"/>
      <w:bookmarkEnd w:id="10"/>
    </w:p>
    <w:p>
      <w:pPr>
        <w:pStyle w:val="Subsection"/>
        <w:keepNext/>
        <w:rPr>
          <w:spacing w:val="-2"/>
        </w:rPr>
      </w:pPr>
      <w:r>
        <w:rPr>
          <w:spacing w:val="-2"/>
        </w:rPr>
        <w:tab/>
      </w:r>
      <w:r>
        <w:rPr>
          <w:spacing w:val="-2"/>
        </w:rPr>
        <w:tab/>
      </w:r>
      <w:r>
        <w:t xml:space="preserve">These </w:t>
      </w:r>
      <w:r>
        <w:rPr>
          <w:spacing w:val="-2"/>
        </w:rPr>
        <w:t>regulations come into operation 28 days after the day on which they are made.</w:t>
      </w:r>
    </w:p>
    <w:p>
      <w:pPr>
        <w:pStyle w:val="PermNoteHeading"/>
      </w:pPr>
      <w:r>
        <w:tab/>
        <w:t xml:space="preserve">[Editorial note: </w:t>
      </w:r>
    </w:p>
    <w:p>
      <w:pPr>
        <w:pStyle w:val="PermNoteText"/>
      </w:pPr>
      <w:r>
        <w:tab/>
      </w:r>
      <w:r>
        <w:tab/>
        <w:t xml:space="preserve">These regulations will come into operation on 2 January 2025, 28 days after their making on 5 December 2024 by the Governor of South Australia.  See the </w:t>
      </w:r>
      <w:r>
        <w:rPr>
          <w:i/>
          <w:iCs/>
        </w:rPr>
        <w:t>Rail Safety National Law (WA)</w:t>
      </w:r>
      <w:r>
        <w:t xml:space="preserve"> s. 264 and 265.]</w:t>
      </w:r>
    </w:p>
    <w:p>
      <w:pPr>
        <w:pStyle w:val="Heading5"/>
        <w:rPr>
          <w:snapToGrid w:val="0"/>
        </w:rPr>
      </w:pPr>
      <w:bookmarkStart w:id="11" w:name="_Toc185580205"/>
      <w:bookmarkStart w:id="12" w:name="_Toc185580466"/>
      <w:r>
        <w:rPr>
          <w:rStyle w:val="CharSectno"/>
        </w:rPr>
        <w:lastRenderedPageBreak/>
        <w:t>3</w:t>
      </w:r>
      <w:r>
        <w:rPr>
          <w:snapToGrid w:val="0"/>
        </w:rPr>
        <w:t>.</w:t>
      </w:r>
      <w:r>
        <w:rPr>
          <w:snapToGrid w:val="0"/>
        </w:rPr>
        <w:tab/>
        <w:t>Amendment provisions</w:t>
      </w:r>
      <w:bookmarkEnd w:id="11"/>
      <w:bookmarkEnd w:id="12"/>
    </w:p>
    <w:p>
      <w:pPr>
        <w:pStyle w:val="Subsection"/>
      </w:pPr>
      <w:r>
        <w:tab/>
      </w:r>
      <w:r>
        <w:tab/>
        <w:t>In these regulations, a provision under a heading referring to the amendment of specified regulations amends the regulations so specified.</w:t>
      </w:r>
    </w:p>
    <w:p>
      <w:pPr>
        <w:pStyle w:val="Heading2"/>
        <w:pageBreakBefore w:val="0"/>
        <w:spacing w:before="360"/>
      </w:pPr>
      <w:bookmarkStart w:id="13" w:name="_Toc185580206"/>
      <w:bookmarkStart w:id="14" w:name="_Toc185580267"/>
      <w:bookmarkStart w:id="15" w:name="_Toc185580378"/>
      <w:bookmarkStart w:id="16" w:name="_Toc185580467"/>
      <w:r>
        <w:rPr>
          <w:rStyle w:val="CharPartNo"/>
        </w:rPr>
        <w:t>Part 2</w:t>
      </w:r>
      <w:r>
        <w:rPr>
          <w:rStyle w:val="CharDivNo"/>
        </w:rPr>
        <w:t> </w:t>
      </w:r>
      <w:r>
        <w:t>—</w:t>
      </w:r>
      <w:r>
        <w:rPr>
          <w:rStyle w:val="CharDivText"/>
        </w:rPr>
        <w:t> </w:t>
      </w:r>
      <w:r>
        <w:rPr>
          <w:rStyle w:val="CharPartText"/>
        </w:rPr>
        <w:t xml:space="preserve">Amendment of </w:t>
      </w:r>
      <w:r>
        <w:rPr>
          <w:rStyle w:val="CharPartText"/>
          <w:i/>
          <w:iCs/>
        </w:rPr>
        <w:t>Rail Safety National Law National Regulations 2012</w:t>
      </w:r>
      <w:bookmarkEnd w:id="13"/>
      <w:bookmarkEnd w:id="14"/>
      <w:bookmarkEnd w:id="15"/>
      <w:bookmarkEnd w:id="16"/>
    </w:p>
    <w:p>
      <w:pPr>
        <w:pStyle w:val="Heading5"/>
        <w:rPr>
          <w:snapToGrid w:val="0"/>
        </w:rPr>
      </w:pPr>
      <w:bookmarkStart w:id="17" w:name="_Toc185580207"/>
      <w:bookmarkStart w:id="18" w:name="_Toc185580468"/>
      <w:r>
        <w:rPr>
          <w:rStyle w:val="CharSectno"/>
        </w:rPr>
        <w:t>4</w:t>
      </w:r>
      <w:r>
        <w:rPr>
          <w:snapToGrid w:val="0"/>
        </w:rPr>
        <w:t>.</w:t>
      </w:r>
      <w:r>
        <w:rPr>
          <w:snapToGrid w:val="0"/>
        </w:rPr>
        <w:tab/>
        <w:t>Amendment of regulation 28 — Drug and alcohol management program</w:t>
      </w:r>
      <w:bookmarkEnd w:id="17"/>
      <w:bookmarkEnd w:id="18"/>
    </w:p>
    <w:p>
      <w:pPr>
        <w:pStyle w:val="Subsection"/>
        <w:rPr>
          <w:color w:val="000000"/>
          <w:sz w:val="23"/>
          <w:szCs w:val="23"/>
        </w:rPr>
      </w:pPr>
      <w:r>
        <w:tab/>
        <w:t>(1)</w:t>
      </w:r>
      <w:r>
        <w:tab/>
      </w:r>
      <w:r>
        <w:rPr>
          <w:color w:val="000000"/>
          <w:sz w:val="23"/>
          <w:szCs w:val="23"/>
        </w:rPr>
        <w:t>Regulation 28(2)(a)(i) — delete subparagraph (i) and substitute:</w:t>
      </w:r>
    </w:p>
    <w:p>
      <w:pPr>
        <w:pStyle w:val="BlankOpen"/>
      </w:pPr>
    </w:p>
    <w:p>
      <w:pPr>
        <w:pStyle w:val="zIndenti"/>
      </w:pPr>
      <w:r>
        <w:tab/>
        <w:t>(i)</w:t>
      </w:r>
      <w: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a breath analysis or a test for the presence of a drug; and</w:t>
      </w:r>
    </w:p>
    <w:p>
      <w:pPr>
        <w:pStyle w:val="BlankClose"/>
      </w:pPr>
    </w:p>
    <w:p>
      <w:pPr>
        <w:pStyle w:val="Subsection"/>
        <w:keepNext/>
        <w:rPr>
          <w:color w:val="000000"/>
          <w:sz w:val="23"/>
          <w:szCs w:val="23"/>
        </w:rPr>
      </w:pPr>
      <w:r>
        <w:tab/>
        <w:t>(2)</w:t>
      </w:r>
      <w:r>
        <w:tab/>
      </w:r>
      <w:r>
        <w:rPr>
          <w:color w:val="000000"/>
          <w:sz w:val="23"/>
          <w:szCs w:val="23"/>
        </w:rPr>
        <w:t>Regulation 28(2)(b) — after subparagraph (iii) insert:</w:t>
      </w:r>
    </w:p>
    <w:p>
      <w:pPr>
        <w:pStyle w:val="BlankOpen"/>
      </w:pPr>
    </w:p>
    <w:p>
      <w:pPr>
        <w:pStyle w:val="zIndenti"/>
      </w:pPr>
      <w:r>
        <w:tab/>
        <w:t>(iiia)</w:t>
      </w:r>
      <w:r>
        <w:tab/>
        <w:t>an oral fluid analysis confirming the presence of a drug in the oral fluid of a rail safety worker; and</w:t>
      </w:r>
    </w:p>
    <w:p>
      <w:pPr>
        <w:pStyle w:val="BlankClose"/>
      </w:pPr>
    </w:p>
    <w:p>
      <w:pPr>
        <w:pStyle w:val="Subsection"/>
        <w:keepNext/>
        <w:keepLines/>
        <w:rPr>
          <w:color w:val="000000"/>
          <w:sz w:val="23"/>
          <w:szCs w:val="23"/>
        </w:rPr>
      </w:pPr>
      <w:r>
        <w:lastRenderedPageBreak/>
        <w:tab/>
        <w:t>(3)</w:t>
      </w:r>
      <w:r>
        <w:tab/>
      </w:r>
      <w:r>
        <w:rPr>
          <w:color w:val="000000"/>
          <w:sz w:val="23"/>
          <w:szCs w:val="23"/>
        </w:rPr>
        <w:t>Regulation 28(2)(b)(vi) — delete subparagraph (vi) and substitute:</w:t>
      </w:r>
    </w:p>
    <w:p>
      <w:pPr>
        <w:pStyle w:val="BlankOpen"/>
      </w:pPr>
    </w:p>
    <w:p>
      <w:pPr>
        <w:pStyle w:val="zIndenti"/>
      </w:pPr>
      <w:r>
        <w:tab/>
        <w:t>(vi)</w:t>
      </w:r>
      <w:r>
        <w:tab/>
        <w:t>any rail safety worker who, when required to do so under the drug and alcohol management program of the operator, fails to undergo a breath test, undergo a breath analysis, or provide a sample of blood, urine or oral fluid; and</w:t>
      </w:r>
    </w:p>
    <w:p>
      <w:pPr>
        <w:pStyle w:val="BlankClose"/>
      </w:pPr>
    </w:p>
    <w:p>
      <w:pPr>
        <w:pStyle w:val="Subsection"/>
        <w:keepNext/>
        <w:keepLines/>
        <w:rPr>
          <w:color w:val="000000"/>
          <w:sz w:val="23"/>
          <w:szCs w:val="23"/>
        </w:rPr>
      </w:pPr>
      <w:r>
        <w:tab/>
        <w:t>(4)</w:t>
      </w:r>
      <w:r>
        <w:tab/>
      </w:r>
      <w:r>
        <w:rPr>
          <w:color w:val="000000"/>
          <w:sz w:val="23"/>
          <w:szCs w:val="23"/>
        </w:rPr>
        <w:t>Regulation 28(2)(b)(vii) — delete subparagraph (vii) and substitute:</w:t>
      </w:r>
    </w:p>
    <w:p>
      <w:pPr>
        <w:pStyle w:val="BlankOpen"/>
      </w:pPr>
    </w:p>
    <w:p>
      <w:pPr>
        <w:pStyle w:val="zIndenti"/>
      </w:pPr>
      <w:r>
        <w:tab/>
        <w:t>(vii)</w:t>
      </w:r>
      <w:r>
        <w:tab/>
        <w:t>any incident or suspected incident involving the interference or tampering with, or the destruction of, a sample of a person’s blood, urine or oral fluid provided or taken under the drug and alcohol management program of the operator in contravention of that program; and</w:t>
      </w:r>
    </w:p>
    <w:p>
      <w:pPr>
        <w:pStyle w:val="BlankClose"/>
      </w:pPr>
    </w:p>
    <w:p>
      <w:pPr>
        <w:pStyle w:val="Subsection"/>
        <w:keepNext/>
        <w:keepLines/>
        <w:rPr>
          <w:color w:val="000000"/>
          <w:sz w:val="23"/>
          <w:szCs w:val="23"/>
        </w:rPr>
      </w:pPr>
      <w:r>
        <w:tab/>
        <w:t>(5)</w:t>
      </w:r>
      <w:r>
        <w:tab/>
      </w:r>
      <w:r>
        <w:rPr>
          <w:color w:val="000000"/>
          <w:sz w:val="23"/>
          <w:szCs w:val="23"/>
        </w:rPr>
        <w:t>Regulation 28(2)(b)(viii) — delete subparagraph (viii) and substitute:</w:t>
      </w:r>
    </w:p>
    <w:p>
      <w:pPr>
        <w:pStyle w:val="BlankOpen"/>
      </w:pPr>
    </w:p>
    <w:p>
      <w:pPr>
        <w:pStyle w:val="zIndenti"/>
      </w:pPr>
      <w:r>
        <w:tab/>
        <w:t>(viii)</w:t>
      </w:r>
      <w:r>
        <w:tab/>
        <w:t xml:space="preserve">any incident or suspected incident involving something being done in contravention of the drug and alcohol management program of the operator to introduce, or alter the concentration of, alcohol or any other drug in a rail safety worker’s breath, blood, urine or oral fluid before the worker submitted to a breath analysis or oral fluid analysis or </w:t>
      </w:r>
      <w:r>
        <w:lastRenderedPageBreak/>
        <w:t>provided a sample of blood or urine under that program.</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2024/303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2024/303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2024/303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(Drug and Alcohol Testing)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National Regulations (Drug and Alcohol Testing)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cantSplit/>
        <w:jc w:val="center"/>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Rail Safety National Law National Regulations (Drug and Alcohol Testing) Amendment Regulations 2024</w:t>
          </w:r>
          <w:r>
            <w:rPr>
              <w:b/>
              <w:i/>
            </w:rPr>
            <w:fldChar w:fldCharType="end"/>
          </w:r>
        </w:p>
      </w:tc>
    </w:tr>
    <w:tr>
      <w:trPr>
        <w:gridAfter w:val="1"/>
        <w:wAfter w:w="175" w:type="dxa"/>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540" w:type="dxa"/>
          <w:vAlign w:val="bottom"/>
        </w:tcPr>
        <w:p>
          <w:pPr>
            <w:pStyle w:val="Header"/>
            <w:spacing w:before="40"/>
          </w:pPr>
          <w:r>
            <w:fldChar w:fldCharType="begin"/>
          </w:r>
          <w:r>
            <w:instrText xml:space="preserve"> styleref CharPartText </w:instrText>
          </w:r>
          <w:r>
            <w:fldChar w:fldCharType="end"/>
          </w:r>
        </w:p>
      </w:tc>
    </w:tr>
    <w:tr>
      <w:trPr>
        <w:gridAfter w:val="1"/>
        <w:wAfter w:w="175" w:type="dxa"/>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540"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cantSplit/>
        <w:jc w:val="center"/>
      </w:trPr>
      <w:tc>
        <w:tcPr>
          <w:tcW w:w="7263" w:type="dxa"/>
          <w:gridSpan w:val="3"/>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National Regulations (Drug and Alcohol Testing) Amendment Regulations 2024</w:t>
          </w:r>
          <w:r>
            <w:rPr>
              <w:b/>
              <w:i/>
            </w:rPr>
            <w:fldChar w:fldCharType="end"/>
          </w:r>
        </w:p>
      </w:tc>
    </w:tr>
    <w:tr>
      <w:trPr>
        <w:gridBefore w:val="1"/>
        <w:wBefore w:w="142" w:type="dxa"/>
        <w:jc w:val="center"/>
      </w:trPr>
      <w:tc>
        <w:tcPr>
          <w:tcW w:w="5573"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009424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22009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0092822_GUID" w:val="a695df89-0a2f-4df8-8419-770c01fc4228"/>
    <w:docVar w:name="WAFER_20241220094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20094244_GUID" w:val="c181b096-b4c7-4479-8787-b7cec64316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1F89A4C5-CC1E-476B-97F6-F777B433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3570</Characters>
  <Application>Microsoft Office Word</Application>
  <DocSecurity>0</DocSecurity>
  <Lines>137</Lines>
  <Paragraphs>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National Regulations (Drug and Alcohol Testing) Amendment Regulations 2024 - 00-00-00</dc:title>
  <dc:subject/>
  <dc:creator/>
  <cp:keywords/>
  <dc:description/>
  <cp:lastModifiedBy>Master Repository Process</cp:lastModifiedBy>
  <cp:revision>4</cp:revision>
  <cp:lastPrinted>2021-03-14T07:59:00Z</cp:lastPrinted>
  <dcterms:created xsi:type="dcterms:W3CDTF">2025-06-26T02:59:00Z</dcterms:created>
  <dcterms:modified xsi:type="dcterms:W3CDTF">2025-06-26T02:59:00Z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55271</vt:lpwstr>
  </property>
  <property fmtid="{D5CDD505-2E9C-101B-9397-08002B2CF9AE}" pid="3" name="DocumentType">
    <vt:lpwstr>Reg</vt:lpwstr>
  </property>
  <property fmtid="{D5CDD505-2E9C-101B-9397-08002B2CF9AE}" pid="4" name="AsAtDate">
    <vt:lpwstr>23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2024/303</vt:lpwstr>
  </property>
  <property fmtid="{D5CDD505-2E9C-101B-9397-08002B2CF9AE}" pid="8" name="PublishDate">
    <vt:lpwstr>23 Dec 2024</vt:lpwstr>
  </property>
  <property fmtid="{D5CDD505-2E9C-101B-9397-08002B2CF9AE}" pid="9" name="CommencementDate">
    <vt:lpwstr>20241223</vt:lpwstr>
  </property>
  <property fmtid="{D5CDD505-2E9C-101B-9397-08002B2CF9AE}" pid="10" name="CommencementAsAt">
    <vt:filetime>2024-12-22T16:00:00Z</vt:filetime>
  </property>
  <property fmtid="{D5CDD505-2E9C-101B-9397-08002B2CF9AE}" pid="11" name="CommencementYear">
    <vt:lpwstr>2024</vt:lpwstr>
  </property>
</Properties>
</file>