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Prohibited Behaviour Orders Act 2010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Prohibited Behaviour Orders Regulations 2011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Prohibited Behaviour Orders Regulations 2011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_Toc185429643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_Toc185429644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_Toc185429645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Offences to be taken to involve anti</w:t>
      </w:r>
      <w:r>
        <w:rPr>
          <w:snapToGrid w:val="0"/>
        </w:rPr>
        <w:noBreakHyphen/>
        <w:t>social behaviour (Act s. 3(2))</w:t>
      </w:r>
      <w:r>
        <w:tab/>
      </w:r>
      <w:r>
        <w:fldChar w:fldCharType="begin"/>
      </w:r>
      <w:r>
        <w:instrText xml:space="preserve"> PAGEREF _Toc185429646 \h </w:instrText>
      </w:r>
      <w:r>
        <w:fldChar w:fldCharType="separate"/>
      </w:r>
      <w:r>
        <w:t>2</w:t>
      </w:r>
      <w:r>
        <w:fldChar w:fldCharType="end"/>
      </w:r>
    </w:p>
    <w:p>
      <w:pPr>
        <w:pStyle w:val="TOC8"/>
        <w:rPr>
          <w:rFonts w:asciiTheme="minorHAnsi" w:eastAsiaTheme="minorEastAsia" w:hAnsiTheme="minorHAnsi" w:cstheme="minorBidi"/>
          <w:szCs w:val="22"/>
        </w:rPr>
      </w:pPr>
      <w:r>
        <w:t>5.</w:t>
      </w:r>
      <w:r>
        <w:tab/>
        <w:t>Firearm items and firearms authorisations given up (Act s. 30(1))</w:t>
      </w:r>
      <w:r>
        <w:tab/>
      </w:r>
      <w:r>
        <w:fldChar w:fldCharType="begin"/>
      </w:r>
      <w:r>
        <w:instrText xml:space="preserve"> PAGEREF _Toc185429647 \h </w:instrText>
      </w:r>
      <w:r>
        <w:fldChar w:fldCharType="separate"/>
      </w:r>
      <w:r>
        <w:t>2</w:t>
      </w:r>
      <w:r>
        <w:fldChar w:fldCharType="end"/>
      </w:r>
    </w:p>
    <w:p>
      <w:pPr>
        <w:pStyle w:val="TOC8"/>
        <w:rPr>
          <w:rFonts w:asciiTheme="minorHAnsi" w:eastAsiaTheme="minorEastAsia" w:hAnsiTheme="minorHAnsi" w:cstheme="minorBidi"/>
          <w:szCs w:val="22"/>
        </w:rPr>
      </w:pPr>
      <w:r>
        <w:t>6.</w:t>
      </w:r>
      <w:r>
        <w:tab/>
        <w:t>Dealing with firearm items or firearms authorisations given up or seized (Act s. 30(2) and 31)</w:t>
      </w:r>
      <w:r>
        <w:tab/>
      </w:r>
      <w:r>
        <w:fldChar w:fldCharType="begin"/>
      </w:r>
      <w:r>
        <w:instrText xml:space="preserve"> PAGEREF _Toc185429648 \h </w:instrText>
      </w:r>
      <w:r>
        <w:fldChar w:fldCharType="separate"/>
      </w:r>
      <w:r>
        <w:t>3</w:t>
      </w:r>
      <w:r>
        <w:fldChar w:fldCharType="end"/>
      </w:r>
    </w:p>
    <w:p>
      <w:pPr>
        <w:pStyle w:val="TOC8"/>
        <w:rPr>
          <w:rFonts w:asciiTheme="minorHAnsi" w:eastAsiaTheme="minorEastAsia" w:hAnsiTheme="minorHAnsi" w:cstheme="minorBidi"/>
          <w:szCs w:val="22"/>
        </w:rPr>
      </w:pPr>
      <w:r>
        <w:t>7.</w:t>
      </w:r>
      <w:r>
        <w:tab/>
        <w:t>Claims for firearm items and firearms authorisations</w:t>
      </w:r>
      <w:r>
        <w:tab/>
      </w:r>
      <w:r>
        <w:fldChar w:fldCharType="begin"/>
      </w:r>
      <w:r>
        <w:instrText xml:space="preserve"> PAGEREF _Toc185429649 \h </w:instrText>
      </w:r>
      <w:r>
        <w:fldChar w:fldCharType="separate"/>
      </w:r>
      <w:r>
        <w:t>3</w:t>
      </w:r>
      <w:r>
        <w:fldChar w:fldCharType="end"/>
      </w:r>
    </w:p>
    <w:p>
      <w:pPr>
        <w:pStyle w:val="TOC8"/>
        <w:rPr>
          <w:rFonts w:asciiTheme="minorHAnsi" w:eastAsiaTheme="minorEastAsia" w:hAnsiTheme="minorHAnsi" w:cstheme="minorBidi"/>
          <w:szCs w:val="22"/>
        </w:rPr>
      </w:pPr>
      <w:r>
        <w:t>8.</w:t>
      </w:r>
      <w:r>
        <w:tab/>
        <w:t>Registrar to provide publication information to CEO</w:t>
      </w:r>
      <w:r>
        <w:tab/>
      </w:r>
      <w:r>
        <w:fldChar w:fldCharType="begin"/>
      </w:r>
      <w:r>
        <w:instrText xml:space="preserve"> PAGEREF _Toc185429650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Offences to be taken to involve anti</w:t>
      </w:r>
      <w:r>
        <w:noBreakHyphen/>
        <w:t>social behaviour</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_Toc185429653 \h </w:instrText>
      </w:r>
      <w:r>
        <w:fldChar w:fldCharType="separate"/>
      </w:r>
      <w:r>
        <w:t>12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_Toc185429654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Prohibited Behaviour Orders Act 2010</w:t>
      </w:r>
    </w:p>
    <w:p>
      <w:pPr>
        <w:pStyle w:val="NameofActReg"/>
      </w:pPr>
      <w:r>
        <w:t>Prohibited Behaviour Orders Regulations 2011</w:t>
      </w:r>
    </w:p>
    <w:p>
      <w:pPr>
        <w:pStyle w:val="Heading5"/>
      </w:pPr>
      <w:bookmarkStart w:id="2" w:name="_Toc185429643"/>
      <w:r>
        <w:rPr>
          <w:rStyle w:val="CharSectno"/>
        </w:rPr>
        <w:t>1</w:t>
      </w:r>
      <w:r>
        <w:t>.</w:t>
      </w:r>
      <w:r>
        <w:tab/>
        <w:t>Citation</w:t>
      </w:r>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Prohibited Behaviour Orders Regulations 2011</w:t>
      </w:r>
      <w:r>
        <w:t>.</w:t>
      </w:r>
    </w:p>
    <w:p>
      <w:pPr>
        <w:pStyle w:val="Heading5"/>
        <w:rPr>
          <w:spacing w:val="-2"/>
        </w:rPr>
      </w:pPr>
      <w:bookmarkStart w:id="4" w:name="_Toc185429644"/>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Prohibited Behaviour Orders Act 2010</w:t>
      </w:r>
      <w:r>
        <w:t>, other than sections 1 and 2, comes into operation.</w:t>
      </w:r>
    </w:p>
    <w:p>
      <w:pPr>
        <w:pStyle w:val="Heading5"/>
      </w:pPr>
      <w:bookmarkStart w:id="5" w:name="_Toc185429645"/>
      <w:r>
        <w:rPr>
          <w:rStyle w:val="CharSectno"/>
        </w:rPr>
        <w:t>3</w:t>
      </w:r>
      <w:r>
        <w:t>.</w:t>
      </w:r>
      <w:r>
        <w:tab/>
        <w:t>Terms used</w:t>
      </w:r>
      <w:bookmarkEnd w:id="5"/>
    </w:p>
    <w:p>
      <w:pPr>
        <w:pStyle w:val="Subsection"/>
      </w:pPr>
      <w:r>
        <w:tab/>
      </w:r>
      <w:r>
        <w:tab/>
        <w:t>In these regulations, unless the contrary intention appears —</w:t>
      </w:r>
    </w:p>
    <w:p>
      <w:pPr>
        <w:pStyle w:val="Defstart"/>
        <w:rPr>
          <w:i/>
          <w:iCs/>
        </w:rPr>
      </w:pPr>
      <w:r>
        <w:tab/>
      </w:r>
      <w:r>
        <w:rPr>
          <w:rStyle w:val="CharDefText"/>
        </w:rPr>
        <w:t>Act</w:t>
      </w:r>
      <w:r>
        <w:t xml:space="preserve"> means the </w:t>
      </w:r>
      <w:r>
        <w:rPr>
          <w:i/>
          <w:iCs/>
        </w:rPr>
        <w:t>Prohibited Behaviour Orders Act 2010</w:t>
      </w:r>
      <w:r>
        <w:t>;</w:t>
      </w:r>
    </w:p>
    <w:p>
      <w:pPr>
        <w:pStyle w:val="Defstart"/>
      </w:pPr>
      <w:r>
        <w:tab/>
      </w:r>
      <w:r>
        <w:rPr>
          <w:rStyle w:val="CharDefText"/>
        </w:rPr>
        <w:t>co</w:t>
      </w:r>
      <w:r>
        <w:rPr>
          <w:rStyle w:val="CharDefText"/>
        </w:rPr>
        <w:noBreakHyphen/>
        <w:t>licensee</w:t>
      </w:r>
      <w:r>
        <w:t>, of a firearm item in respect of which the constrained person holds a firearms authorisation, means another person who holds a firearms authorisation for that firearm item;</w:t>
      </w:r>
    </w:p>
    <w:p>
      <w:pPr>
        <w:pStyle w:val="Defstart"/>
      </w:pPr>
      <w:r>
        <w:tab/>
      </w:r>
      <w:r>
        <w:rPr>
          <w:rStyle w:val="CharDefText"/>
        </w:rPr>
        <w:t>Commissioner</w:t>
      </w:r>
      <w:r>
        <w:t xml:space="preserve"> means the Commissioner of Police;</w:t>
      </w:r>
    </w:p>
    <w:p>
      <w:pPr>
        <w:pStyle w:val="Defstart"/>
      </w:pPr>
      <w:r>
        <w:tab/>
      </w:r>
      <w:r>
        <w:rPr>
          <w:rStyle w:val="CharDefText"/>
        </w:rPr>
        <w:t>section</w:t>
      </w:r>
      <w:r>
        <w:t xml:space="preserve"> means a section of the Act.</w:t>
      </w:r>
    </w:p>
    <w:p>
      <w:pPr>
        <w:pStyle w:val="Footnotesection"/>
      </w:pPr>
      <w:r>
        <w:tab/>
        <w:t>[Regulation 3 amended: SL 2022/189 r. 6.]</w:t>
      </w:r>
    </w:p>
    <w:p>
      <w:pPr>
        <w:pStyle w:val="Heading5"/>
        <w:rPr>
          <w:snapToGrid w:val="0"/>
        </w:rPr>
      </w:pPr>
      <w:bookmarkStart w:id="6" w:name="_Toc185429646"/>
      <w:r>
        <w:rPr>
          <w:rStyle w:val="CharSectno"/>
        </w:rPr>
        <w:lastRenderedPageBreak/>
        <w:t>4</w:t>
      </w:r>
      <w:r>
        <w:rPr>
          <w:snapToGrid w:val="0"/>
        </w:rPr>
        <w:t>.</w:t>
      </w:r>
      <w:r>
        <w:rPr>
          <w:snapToGrid w:val="0"/>
        </w:rPr>
        <w:tab/>
        <w:t>Offences to be taken to involve anti</w:t>
      </w:r>
      <w:r>
        <w:rPr>
          <w:snapToGrid w:val="0"/>
        </w:rPr>
        <w:noBreakHyphen/>
        <w:t>social behaviour (Act s. 3(2))</w:t>
      </w:r>
      <w:bookmarkEnd w:id="6"/>
    </w:p>
    <w:p>
      <w:pPr>
        <w:pStyle w:val="Subsection"/>
        <w:keepNext/>
      </w:pPr>
      <w:r>
        <w:tab/>
      </w:r>
      <w:r>
        <w:tab/>
      </w:r>
      <w:r>
        <w:rPr>
          <w:spacing w:val="-2"/>
        </w:rPr>
        <w:t>Each</w:t>
      </w:r>
      <w:r>
        <w:t xml:space="preserve"> offence —</w:t>
      </w:r>
    </w:p>
    <w:p>
      <w:pPr>
        <w:pStyle w:val="Indenta"/>
      </w:pPr>
      <w:r>
        <w:tab/>
        <w:t>(a)</w:t>
      </w:r>
      <w:r>
        <w:tab/>
        <w:t>under a provision listed in Schedule 1 column 1; and</w:t>
      </w:r>
    </w:p>
    <w:p>
      <w:pPr>
        <w:pStyle w:val="Indenta"/>
      </w:pPr>
      <w:r>
        <w:tab/>
        <w:t>(b)</w:t>
      </w:r>
      <w:r>
        <w:tab/>
        <w:t>committed in the circumstances, if any, specified in Schedule 1 column 2,</w:t>
      </w:r>
    </w:p>
    <w:p>
      <w:pPr>
        <w:pStyle w:val="Subsection"/>
      </w:pPr>
      <w:r>
        <w:tab/>
      </w:r>
      <w:r>
        <w:tab/>
        <w:t>is a prescribed offence for the purposes of section 3(2).</w:t>
      </w:r>
    </w:p>
    <w:p>
      <w:pPr>
        <w:pStyle w:val="Heading5"/>
      </w:pPr>
      <w:bookmarkStart w:id="7" w:name="_Toc185429647"/>
      <w:r>
        <w:rPr>
          <w:rStyle w:val="CharSectno"/>
        </w:rPr>
        <w:t>5</w:t>
      </w:r>
      <w:r>
        <w:t>.</w:t>
      </w:r>
      <w:r>
        <w:tab/>
        <w:t>Firearm items and firearms authorisations given up (Act s. 30(1))</w:t>
      </w:r>
      <w:bookmarkEnd w:id="7"/>
    </w:p>
    <w:p>
      <w:pPr>
        <w:pStyle w:val="Subsection"/>
      </w:pPr>
      <w:r>
        <w:tab/>
        <w:t>(1)</w:t>
      </w:r>
      <w:r>
        <w:tab/>
        <w:t xml:space="preserve">In this regulation — </w:t>
      </w:r>
    </w:p>
    <w:p>
      <w:pPr>
        <w:pStyle w:val="Defstart"/>
      </w:pPr>
      <w:r>
        <w:tab/>
      </w:r>
      <w:r>
        <w:rPr>
          <w:rStyle w:val="CharDefText"/>
        </w:rPr>
        <w:t>prescribed period</w:t>
      </w:r>
      <w:r>
        <w:t xml:space="preserve"> means — </w:t>
      </w:r>
    </w:p>
    <w:p>
      <w:pPr>
        <w:pStyle w:val="Defpara"/>
      </w:pPr>
      <w:r>
        <w:tab/>
        <w:t>(a)</w:t>
      </w:r>
      <w:r>
        <w:tab/>
        <w:t>24 hours; or</w:t>
      </w:r>
    </w:p>
    <w:p>
      <w:pPr>
        <w:pStyle w:val="Defpara"/>
      </w:pPr>
      <w:r>
        <w:tab/>
        <w:t>(b)</w:t>
      </w:r>
      <w:r>
        <w:tab/>
        <w:t>a shorter period, if any, ordered by the court under section 30(4).</w:t>
      </w:r>
    </w:p>
    <w:p>
      <w:pPr>
        <w:pStyle w:val="Subsection"/>
        <w:rPr>
          <w:snapToGrid w:val="0"/>
        </w:rPr>
      </w:pPr>
      <w:r>
        <w:rPr>
          <w:snapToGrid w:val="0"/>
        </w:rPr>
        <w:tab/>
        <w:t>(2)</w:t>
      </w:r>
      <w:r>
        <w:rPr>
          <w:snapToGrid w:val="0"/>
        </w:rPr>
        <w:tab/>
        <w:t>This regulation applies for the purposes of section 30(1).</w:t>
      </w:r>
    </w:p>
    <w:p>
      <w:pPr>
        <w:pStyle w:val="Subsection"/>
      </w:pPr>
      <w:r>
        <w:tab/>
        <w:t>(3)</w:t>
      </w:r>
      <w:r>
        <w:tab/>
        <w:t>Within the prescribed period after he or she is given a PBO described in section 29, or an order varying a PBO so that it becomes a PBO described in section 29, the constrained person must —</w:t>
      </w:r>
    </w:p>
    <w:p>
      <w:pPr>
        <w:pStyle w:val="Indenta"/>
      </w:pPr>
      <w:r>
        <w:tab/>
        <w:t>(a)</w:t>
      </w:r>
      <w:r>
        <w:tab/>
        <w:t>if the constrained person holds a firearms authorisation, give it to a police officer at a police station; and</w:t>
      </w:r>
    </w:p>
    <w:p>
      <w:pPr>
        <w:pStyle w:val="Indenta"/>
      </w:pPr>
      <w:r>
        <w:tab/>
        <w:t>(b)</w:t>
      </w:r>
      <w:r>
        <w:tab/>
        <w:t>if the constrained person is in physical possession of a firearm item, give it to —</w:t>
      </w:r>
    </w:p>
    <w:p>
      <w:pPr>
        <w:pStyle w:val="Indenti"/>
      </w:pPr>
      <w:r>
        <w:tab/>
        <w:t>(i)</w:t>
      </w:r>
      <w:r>
        <w:tab/>
        <w:t>a police officer at a police station; or</w:t>
      </w:r>
    </w:p>
    <w:p>
      <w:pPr>
        <w:pStyle w:val="Indenti"/>
      </w:pPr>
      <w:r>
        <w:tab/>
        <w:t>(ii)</w:t>
      </w:r>
      <w:r>
        <w:tab/>
        <w:t>a co</w:t>
      </w:r>
      <w:r>
        <w:noBreakHyphen/>
        <w:t>licensee of the firearm item, if there is one.</w:t>
      </w:r>
    </w:p>
    <w:p>
      <w:pPr>
        <w:pStyle w:val="Footnotesection"/>
      </w:pPr>
      <w:r>
        <w:tab/>
        <w:t>[Regulation 5 amended: SL 2022/189 r. 6.]</w:t>
      </w:r>
    </w:p>
    <w:p>
      <w:pPr>
        <w:pStyle w:val="Heading5"/>
      </w:pPr>
      <w:bookmarkStart w:id="8" w:name="_Toc185429648"/>
      <w:r>
        <w:rPr>
          <w:rStyle w:val="CharSectno"/>
        </w:rPr>
        <w:lastRenderedPageBreak/>
        <w:t>6</w:t>
      </w:r>
      <w:r>
        <w:t>.</w:t>
      </w:r>
      <w:r>
        <w:tab/>
        <w:t>Dealing with firearm items or firearms authorisations given up or seized (Act s. 30(2) and 31)</w:t>
      </w:r>
      <w:bookmarkEnd w:id="8"/>
    </w:p>
    <w:p>
      <w:pPr>
        <w:pStyle w:val="Subsection"/>
        <w:rPr>
          <w:snapToGrid w:val="0"/>
        </w:rPr>
      </w:pPr>
      <w:r>
        <w:rPr>
          <w:snapToGrid w:val="0"/>
        </w:rPr>
        <w:tab/>
        <w:t>(1)</w:t>
      </w:r>
      <w:r>
        <w:rPr>
          <w:snapToGrid w:val="0"/>
        </w:rPr>
        <w:tab/>
        <w:t>This regulation applies for the purposes of sections 30(2) and 31.</w:t>
      </w:r>
    </w:p>
    <w:p>
      <w:pPr>
        <w:pStyle w:val="Subsection"/>
      </w:pPr>
      <w:r>
        <w:tab/>
        <w:t>(2)</w:t>
      </w:r>
      <w:r>
        <w:tab/>
        <w:t>The firearm item or firearms authorisation must be held in safe custody by the Commissioner until —</w:t>
      </w:r>
    </w:p>
    <w:p>
      <w:pPr>
        <w:pStyle w:val="Indenta"/>
      </w:pPr>
      <w:r>
        <w:tab/>
        <w:t>(a)</w:t>
      </w:r>
      <w:r>
        <w:tab/>
        <w:t>in the case of the firearm item —</w:t>
      </w:r>
    </w:p>
    <w:p>
      <w:pPr>
        <w:pStyle w:val="Indenti"/>
      </w:pPr>
      <w:r>
        <w:tab/>
        <w:t>(i)</w:t>
      </w:r>
      <w:r>
        <w:tab/>
        <w:t>it is claimed under regulation 7(1) or (2); or</w:t>
      </w:r>
    </w:p>
    <w:p>
      <w:pPr>
        <w:pStyle w:val="Indenti"/>
      </w:pPr>
      <w:r>
        <w:tab/>
        <w:t>(ii)</w:t>
      </w:r>
      <w:r>
        <w:tab/>
        <w:t>it can be lawfully disposed of by the Commissioner;</w:t>
      </w:r>
    </w:p>
    <w:p>
      <w:pPr>
        <w:pStyle w:val="Indenta"/>
      </w:pPr>
      <w:r>
        <w:tab/>
      </w:r>
      <w:r>
        <w:tab/>
        <w:t>or</w:t>
      </w:r>
    </w:p>
    <w:p>
      <w:pPr>
        <w:pStyle w:val="Indenta"/>
      </w:pPr>
      <w:r>
        <w:tab/>
        <w:t>(b)</w:t>
      </w:r>
      <w:r>
        <w:tab/>
        <w:t>in the case of a firearms authorisation —</w:t>
      </w:r>
    </w:p>
    <w:p>
      <w:pPr>
        <w:pStyle w:val="Indenti"/>
      </w:pPr>
      <w:r>
        <w:tab/>
        <w:t>(i)</w:t>
      </w:r>
      <w:r>
        <w:tab/>
        <w:t>it is claimed under regulation 7(2); or</w:t>
      </w:r>
    </w:p>
    <w:p>
      <w:pPr>
        <w:pStyle w:val="Indenti"/>
      </w:pPr>
      <w:r>
        <w:tab/>
        <w:t>(ii)</w:t>
      </w:r>
      <w:r>
        <w:tab/>
        <w:t xml:space="preserve">it ceases to be in force under the </w:t>
      </w:r>
      <w:r>
        <w:rPr>
          <w:i/>
        </w:rPr>
        <w:t>Firearms Act 1973</w:t>
      </w:r>
      <w:r>
        <w:t>.</w:t>
      </w:r>
    </w:p>
    <w:p>
      <w:pPr>
        <w:pStyle w:val="Subsection"/>
      </w:pPr>
      <w:r>
        <w:tab/>
        <w:t>(3)</w:t>
      </w:r>
      <w:r>
        <w:tab/>
        <w:t xml:space="preserve">The </w:t>
      </w:r>
      <w:r>
        <w:rPr>
          <w:i/>
          <w:iCs/>
        </w:rPr>
        <w:t>Firearms Regulations 1974</w:t>
      </w:r>
      <w:r>
        <w:t xml:space="preserve"> regulation 11(2) and (3) apply when the Commissioner is holding a firearm item under subregulation (2).</w:t>
      </w:r>
    </w:p>
    <w:p>
      <w:pPr>
        <w:pStyle w:val="Footnotesection"/>
      </w:pPr>
      <w:r>
        <w:tab/>
        <w:t>[Regulation 6 amended: SL 2022/189 r. 4 and 6.]</w:t>
      </w:r>
    </w:p>
    <w:p>
      <w:pPr>
        <w:pStyle w:val="Heading5"/>
      </w:pPr>
      <w:bookmarkStart w:id="9" w:name="_Toc185429649"/>
      <w:r>
        <w:rPr>
          <w:rStyle w:val="CharSectno"/>
        </w:rPr>
        <w:t>7</w:t>
      </w:r>
      <w:r>
        <w:t>.</w:t>
      </w:r>
      <w:r>
        <w:tab/>
        <w:t>Claims for firearm items and firearms authorisations</w:t>
      </w:r>
      <w:bookmarkEnd w:id="9"/>
    </w:p>
    <w:p>
      <w:pPr>
        <w:pStyle w:val="Subsection"/>
      </w:pPr>
      <w:r>
        <w:tab/>
        <w:t>(1)</w:t>
      </w:r>
      <w:r>
        <w:tab/>
        <w:t>A co</w:t>
      </w:r>
      <w:r>
        <w:noBreakHyphen/>
        <w:t>licensee may claim a firearm item held by the Commissioner under regulation 6.</w:t>
      </w:r>
    </w:p>
    <w:p>
      <w:pPr>
        <w:pStyle w:val="Subsection"/>
      </w:pPr>
      <w:r>
        <w:tab/>
        <w:t>(2)</w:t>
      </w:r>
      <w:r>
        <w:tab/>
        <w:t>A constrained person may, after the PBO ceases to be in force, claim a firearm item or firearms authorisation held by the Commissioner under regulation 6.</w:t>
      </w:r>
    </w:p>
    <w:p>
      <w:pPr>
        <w:pStyle w:val="Subsection"/>
      </w:pPr>
      <w:r>
        <w:tab/>
        <w:t>(3)</w:t>
      </w:r>
      <w:r>
        <w:tab/>
        <w:t>A claim made under subregulation (1) or (2) must be made in a form approved by the Commissioner.</w:t>
      </w:r>
    </w:p>
    <w:p>
      <w:pPr>
        <w:pStyle w:val="Subsection"/>
      </w:pPr>
      <w:r>
        <w:tab/>
        <w:t>(4)</w:t>
      </w:r>
      <w:r>
        <w:tab/>
        <w:t>Subject to subregulation (5), the Commissioner must give the firearm item or firearms authorisation to the claimant.</w:t>
      </w:r>
    </w:p>
    <w:p>
      <w:pPr>
        <w:pStyle w:val="Subsection"/>
      </w:pPr>
      <w:r>
        <w:lastRenderedPageBreak/>
        <w:tab/>
        <w:t>(5)</w:t>
      </w:r>
      <w:r>
        <w:tab/>
        <w:t xml:space="preserve">This regulation does not prevent the Commissioner from exercising a power under the </w:t>
      </w:r>
      <w:r>
        <w:rPr>
          <w:i/>
          <w:iCs/>
        </w:rPr>
        <w:t>Firearms Act 1973</w:t>
      </w:r>
      <w:r>
        <w:t xml:space="preserve"> section 20.</w:t>
      </w:r>
    </w:p>
    <w:p>
      <w:pPr>
        <w:pStyle w:val="Footnotesection"/>
      </w:pPr>
      <w:r>
        <w:tab/>
        <w:t>[Regulation 7 amended: SL 2022/189 r. 5 and 6.]</w:t>
      </w:r>
    </w:p>
    <w:p>
      <w:pPr>
        <w:pStyle w:val="Heading5"/>
      </w:pPr>
      <w:bookmarkStart w:id="10" w:name="_Toc185429650"/>
      <w:r>
        <w:rPr>
          <w:rStyle w:val="CharSectno"/>
        </w:rPr>
        <w:t>8</w:t>
      </w:r>
      <w:r>
        <w:t>.</w:t>
      </w:r>
      <w:r>
        <w:tab/>
        <w:t>Registrar to provide publication information to CEO</w:t>
      </w:r>
      <w:bookmarkEnd w:id="10"/>
    </w:p>
    <w:p>
      <w:pPr>
        <w:pStyle w:val="Subsection"/>
      </w:pPr>
      <w:r>
        <w:tab/>
        <w:t>(1)</w:t>
      </w:r>
      <w:r>
        <w:tab/>
        <w:t xml:space="preserve">In this regulation — </w:t>
      </w:r>
    </w:p>
    <w:p>
      <w:pPr>
        <w:pStyle w:val="Defstart"/>
      </w:pPr>
      <w:r>
        <w:tab/>
      </w:r>
      <w:r>
        <w:rPr>
          <w:rStyle w:val="CharDefText"/>
        </w:rPr>
        <w:t>CEO</w:t>
      </w:r>
      <w:r>
        <w:t xml:space="preserve"> has the meaning given in section 34(1).</w:t>
      </w:r>
    </w:p>
    <w:p>
      <w:pPr>
        <w:pStyle w:val="Subsection"/>
      </w:pPr>
      <w:r>
        <w:tab/>
        <w:t>(2)</w:t>
      </w:r>
      <w:r>
        <w:tab/>
        <w:t xml:space="preserve">After a court makes a PBO under section 6(2) or 24(2)(b), a registrar must cause to be given to the CEO written notice of the following information relating to the PBO — </w:t>
      </w:r>
    </w:p>
    <w:p>
      <w:pPr>
        <w:pStyle w:val="Indenta"/>
      </w:pPr>
      <w:r>
        <w:tab/>
        <w:t>(a)</w:t>
      </w:r>
      <w:r>
        <w:tab/>
        <w:t>the name of the constrained person;</w:t>
      </w:r>
    </w:p>
    <w:p>
      <w:pPr>
        <w:pStyle w:val="Indenta"/>
      </w:pPr>
      <w:r>
        <w:tab/>
        <w:t>(b)</w:t>
      </w:r>
      <w:r>
        <w:tab/>
        <w:t>the town or suburb where the constrained person lives;</w:t>
      </w:r>
    </w:p>
    <w:p>
      <w:pPr>
        <w:pStyle w:val="Indenta"/>
      </w:pPr>
      <w:r>
        <w:tab/>
        <w:t>(c)</w:t>
      </w:r>
      <w:r>
        <w:tab/>
        <w:t>the constraints imposed by the PBO on the activities and behaviour of the constrained person.</w:t>
      </w:r>
    </w:p>
    <w:p>
      <w:pPr>
        <w:pStyle w:val="Subsection"/>
      </w:pPr>
      <w:r>
        <w:tab/>
        <w:t>(3)</w:t>
      </w:r>
      <w:r>
        <w:tab/>
        <w:t>After a court makes an order under section 24(2)(a) varying a PBO, a registrar must cause to be given to the CEO written notice of any changes to information referred to in subregulation (2) relating to the PBO.</w:t>
      </w:r>
    </w:p>
    <w:p>
      <w:pPr>
        <w:pStyle w:val="Subsection"/>
      </w:pPr>
      <w:r>
        <w:tab/>
        <w:t>(4)</w:t>
      </w:r>
      <w:r>
        <w:tab/>
        <w:t>After a court makes an order under section 24 cancelling a PBO, a registrar must cause to be given to the CEO written notice of that fact.</w:t>
      </w:r>
    </w:p>
    <w:p>
      <w:pPr>
        <w:pStyle w:val="Footnotesection"/>
      </w:pPr>
      <w:r>
        <w:tab/>
        <w:t>[Regulation 8 inserted: Gazette 1 Jul 2011 p. 2725</w:t>
      </w:r>
      <w:r>
        <w:noBreakHyphen/>
        <w:t>6.]</w:t>
      </w:r>
    </w:p>
    <w:p>
      <w:pPr>
        <w:pStyle w:val="ByCommand"/>
        <w:sectPr>
          <w:headerReference w:type="even" r:id="rId20"/>
          <w:headerReference w:type="default" r:id="rId21"/>
          <w:headerReference w:type="first" r:id="rId22"/>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outlineLvl w:val="0"/>
      </w:pPr>
      <w:bookmarkStart w:id="11" w:name="_Toc185426280"/>
      <w:bookmarkStart w:id="12" w:name="_Toc185426727"/>
      <w:bookmarkStart w:id="13" w:name="_Toc185429651"/>
      <w:r>
        <w:rPr>
          <w:rStyle w:val="CharSchNo"/>
        </w:rPr>
        <w:lastRenderedPageBreak/>
        <w:t>Schedule 1</w:t>
      </w:r>
      <w:r>
        <w:rPr>
          <w:rStyle w:val="CharSDivNo"/>
        </w:rPr>
        <w:t> </w:t>
      </w:r>
      <w:r>
        <w:t>—</w:t>
      </w:r>
      <w:r>
        <w:rPr>
          <w:rStyle w:val="CharSDivText"/>
        </w:rPr>
        <w:t> </w:t>
      </w:r>
      <w:r>
        <w:rPr>
          <w:rStyle w:val="CharSchText"/>
        </w:rPr>
        <w:t>Offences to be taken to involve anti</w:t>
      </w:r>
      <w:r>
        <w:rPr>
          <w:rStyle w:val="CharSchText"/>
        </w:rPr>
        <w:noBreakHyphen/>
        <w:t>social behaviour</w:t>
      </w:r>
      <w:bookmarkEnd w:id="11"/>
      <w:bookmarkEnd w:id="12"/>
      <w:bookmarkEnd w:id="13"/>
    </w:p>
    <w:p>
      <w:pPr>
        <w:pStyle w:val="yShoulderClause"/>
      </w:pPr>
      <w:r>
        <w:t>[r. 4]</w:t>
      </w:r>
    </w:p>
    <w:p>
      <w:pPr>
        <w:pStyle w:val="ySubsection"/>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5528"/>
      </w:tblGrid>
      <w:tr>
        <w:trPr>
          <w:cantSplit/>
          <w:tblHeader/>
        </w:trPr>
        <w:tc>
          <w:tcPr>
            <w:tcW w:w="6804" w:type="dxa"/>
            <w:gridSpan w:val="2"/>
          </w:tcPr>
          <w:p>
            <w:pPr>
              <w:pStyle w:val="yTableNAm"/>
              <w:jc w:val="center"/>
              <w:rPr>
                <w:b/>
                <w:bCs/>
                <w:iCs/>
              </w:rPr>
            </w:pPr>
            <w:r>
              <w:rPr>
                <w:b/>
                <w:bCs/>
                <w:i/>
                <w:iCs/>
              </w:rPr>
              <w:t>Bush Fires Act 1954</w:t>
            </w:r>
          </w:p>
        </w:tc>
      </w:tr>
      <w:tr>
        <w:trPr>
          <w:cantSplit/>
          <w:tblHeader/>
        </w:trPr>
        <w:tc>
          <w:tcPr>
            <w:tcW w:w="1276" w:type="dxa"/>
          </w:tcPr>
          <w:p>
            <w:pPr>
              <w:pStyle w:val="yTableNAm"/>
              <w:rPr>
                <w:b/>
                <w:bCs/>
              </w:rPr>
            </w:pPr>
            <w:r>
              <w:rPr>
                <w:b/>
                <w:bCs/>
              </w:rPr>
              <w:t>Provision</w:t>
            </w:r>
          </w:p>
        </w:tc>
        <w:tc>
          <w:tcPr>
            <w:tcW w:w="5528" w:type="dxa"/>
          </w:tcPr>
          <w:p>
            <w:pPr>
              <w:pStyle w:val="yTableNAm"/>
              <w:rPr>
                <w:b/>
                <w:bCs/>
              </w:rPr>
            </w:pPr>
            <w:r>
              <w:rPr>
                <w:b/>
                <w:bCs/>
              </w:rPr>
              <w:t>Description of offence</w:t>
            </w:r>
          </w:p>
        </w:tc>
      </w:tr>
      <w:tr>
        <w:trPr>
          <w:cantSplit/>
        </w:trPr>
        <w:tc>
          <w:tcPr>
            <w:tcW w:w="1276" w:type="dxa"/>
          </w:tcPr>
          <w:p>
            <w:pPr>
              <w:pStyle w:val="yTableNAm"/>
            </w:pPr>
            <w:r>
              <w:t>s. 32</w:t>
            </w:r>
          </w:p>
        </w:tc>
        <w:tc>
          <w:tcPr>
            <w:tcW w:w="5528" w:type="dxa"/>
          </w:tcPr>
          <w:p>
            <w:pPr>
              <w:pStyle w:val="yTableNAm"/>
            </w:pPr>
            <w:r>
              <w:t>Offences of lighting or attempting to light fire likely to injure</w:t>
            </w:r>
          </w:p>
        </w:tc>
      </w:tr>
    </w:tbl>
    <w:p>
      <w:pPr>
        <w:pStyle w:val="ySubsection"/>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5528"/>
      </w:tblGrid>
      <w:tr>
        <w:trPr>
          <w:cantSplit/>
          <w:tblHeader/>
        </w:trPr>
        <w:tc>
          <w:tcPr>
            <w:tcW w:w="6804" w:type="dxa"/>
            <w:gridSpan w:val="2"/>
          </w:tcPr>
          <w:p>
            <w:pPr>
              <w:pStyle w:val="yTableNAm"/>
              <w:jc w:val="center"/>
              <w:rPr>
                <w:b/>
                <w:bCs/>
                <w:i/>
                <w:iCs/>
              </w:rPr>
            </w:pPr>
            <w:r>
              <w:rPr>
                <w:b/>
                <w:bCs/>
                <w:i/>
                <w:iCs/>
              </w:rPr>
              <w:t>The Criminal Code</w:t>
            </w:r>
          </w:p>
        </w:tc>
      </w:tr>
      <w:tr>
        <w:trPr>
          <w:cantSplit/>
          <w:tblHeader/>
        </w:trPr>
        <w:tc>
          <w:tcPr>
            <w:tcW w:w="1276" w:type="dxa"/>
          </w:tcPr>
          <w:p>
            <w:pPr>
              <w:pStyle w:val="yTableNAm"/>
              <w:rPr>
                <w:b/>
                <w:bCs/>
              </w:rPr>
            </w:pPr>
            <w:r>
              <w:rPr>
                <w:b/>
                <w:bCs/>
              </w:rPr>
              <w:t>Provision</w:t>
            </w:r>
          </w:p>
        </w:tc>
        <w:tc>
          <w:tcPr>
            <w:tcW w:w="5528" w:type="dxa"/>
          </w:tcPr>
          <w:p>
            <w:pPr>
              <w:pStyle w:val="yTableNAm"/>
              <w:rPr>
                <w:b/>
                <w:bCs/>
              </w:rPr>
            </w:pPr>
            <w:r>
              <w:rPr>
                <w:b/>
                <w:bCs/>
              </w:rPr>
              <w:t>Description of offence</w:t>
            </w:r>
          </w:p>
        </w:tc>
      </w:tr>
      <w:tr>
        <w:trPr>
          <w:cantSplit/>
        </w:trPr>
        <w:tc>
          <w:tcPr>
            <w:tcW w:w="1276" w:type="dxa"/>
          </w:tcPr>
          <w:p>
            <w:pPr>
              <w:pStyle w:val="yTableNAm"/>
            </w:pPr>
            <w:r>
              <w:t>s. 68B</w:t>
            </w:r>
          </w:p>
        </w:tc>
        <w:tc>
          <w:tcPr>
            <w:tcW w:w="5528" w:type="dxa"/>
          </w:tcPr>
          <w:p>
            <w:pPr>
              <w:pStyle w:val="yTableNAm"/>
            </w:pPr>
            <w:r>
              <w:t>Being armed in or near place of public entertainment</w:t>
            </w:r>
          </w:p>
        </w:tc>
      </w:tr>
      <w:tr>
        <w:trPr>
          <w:cantSplit/>
        </w:trPr>
        <w:tc>
          <w:tcPr>
            <w:tcW w:w="1276" w:type="dxa"/>
          </w:tcPr>
          <w:p>
            <w:pPr>
              <w:pStyle w:val="yTableNAm"/>
            </w:pPr>
            <w:r>
              <w:t>s. 68C</w:t>
            </w:r>
          </w:p>
        </w:tc>
        <w:tc>
          <w:tcPr>
            <w:tcW w:w="5528" w:type="dxa"/>
          </w:tcPr>
          <w:p>
            <w:pPr>
              <w:pStyle w:val="yTableNAm"/>
            </w:pPr>
            <w:r>
              <w:t>Being armed in public in company</w:t>
            </w:r>
          </w:p>
        </w:tc>
      </w:tr>
      <w:tr>
        <w:trPr>
          <w:cantSplit/>
        </w:trPr>
        <w:tc>
          <w:tcPr>
            <w:tcW w:w="1276" w:type="dxa"/>
          </w:tcPr>
          <w:p>
            <w:pPr>
              <w:pStyle w:val="yTableNAm"/>
            </w:pPr>
            <w:r>
              <w:t>s. 68</w:t>
            </w:r>
          </w:p>
        </w:tc>
        <w:tc>
          <w:tcPr>
            <w:tcW w:w="5528" w:type="dxa"/>
          </w:tcPr>
          <w:p>
            <w:pPr>
              <w:pStyle w:val="yTableNAm"/>
            </w:pPr>
            <w:r>
              <w:t>Being armed in a way that may cause fear</w:t>
            </w:r>
          </w:p>
        </w:tc>
      </w:tr>
      <w:tr>
        <w:trPr>
          <w:cantSplit/>
        </w:trPr>
        <w:tc>
          <w:tcPr>
            <w:tcW w:w="1276" w:type="dxa"/>
          </w:tcPr>
          <w:p>
            <w:pPr>
              <w:pStyle w:val="yTableNAm"/>
            </w:pPr>
            <w:r>
              <w:t>s. 69</w:t>
            </w:r>
          </w:p>
        </w:tc>
        <w:tc>
          <w:tcPr>
            <w:tcW w:w="5528" w:type="dxa"/>
          </w:tcPr>
          <w:p>
            <w:pPr>
              <w:pStyle w:val="yTableNAm"/>
            </w:pPr>
            <w:r>
              <w:t>Forcibly entering land</w:t>
            </w:r>
          </w:p>
        </w:tc>
      </w:tr>
      <w:tr>
        <w:trPr>
          <w:cantSplit/>
        </w:trPr>
        <w:tc>
          <w:tcPr>
            <w:tcW w:w="1276" w:type="dxa"/>
          </w:tcPr>
          <w:p>
            <w:pPr>
              <w:pStyle w:val="yTableNAm"/>
            </w:pPr>
            <w:r>
              <w:t>s. 70A</w:t>
            </w:r>
          </w:p>
        </w:tc>
        <w:tc>
          <w:tcPr>
            <w:tcW w:w="5528" w:type="dxa"/>
          </w:tcPr>
          <w:p>
            <w:pPr>
              <w:pStyle w:val="yTableNAm"/>
            </w:pPr>
            <w:r>
              <w:t>Trespass</w:t>
            </w:r>
          </w:p>
        </w:tc>
      </w:tr>
      <w:tr>
        <w:trPr>
          <w:cantSplit/>
        </w:trPr>
        <w:tc>
          <w:tcPr>
            <w:tcW w:w="1276" w:type="dxa"/>
          </w:tcPr>
          <w:p>
            <w:pPr>
              <w:pStyle w:val="yTableNAm"/>
            </w:pPr>
            <w:r>
              <w:t>s. 71</w:t>
            </w:r>
          </w:p>
        </w:tc>
        <w:tc>
          <w:tcPr>
            <w:tcW w:w="5528" w:type="dxa"/>
          </w:tcPr>
          <w:p>
            <w:pPr>
              <w:pStyle w:val="yTableNAm"/>
            </w:pPr>
            <w:r>
              <w:t>Fighting in public causing fear</w:t>
            </w:r>
          </w:p>
        </w:tc>
      </w:tr>
      <w:tr>
        <w:trPr>
          <w:cantSplit/>
        </w:trPr>
        <w:tc>
          <w:tcPr>
            <w:tcW w:w="1276" w:type="dxa"/>
          </w:tcPr>
          <w:p>
            <w:pPr>
              <w:pStyle w:val="yTableNAm"/>
            </w:pPr>
            <w:r>
              <w:t>s. 74</w:t>
            </w:r>
          </w:p>
        </w:tc>
        <w:tc>
          <w:tcPr>
            <w:tcW w:w="5528" w:type="dxa"/>
          </w:tcPr>
          <w:p>
            <w:pPr>
              <w:pStyle w:val="yTableNAm"/>
            </w:pPr>
            <w:r>
              <w:t>Threatening violence</w:t>
            </w:r>
          </w:p>
        </w:tc>
      </w:tr>
      <w:tr>
        <w:trPr>
          <w:cantSplit/>
        </w:trPr>
        <w:tc>
          <w:tcPr>
            <w:tcW w:w="1276" w:type="dxa"/>
          </w:tcPr>
          <w:p>
            <w:pPr>
              <w:pStyle w:val="yTableNAm"/>
            </w:pPr>
            <w:r>
              <w:t>s. 74A</w:t>
            </w:r>
          </w:p>
        </w:tc>
        <w:tc>
          <w:tcPr>
            <w:tcW w:w="5528" w:type="dxa"/>
          </w:tcPr>
          <w:p>
            <w:pPr>
              <w:pStyle w:val="yTableNAm"/>
            </w:pPr>
            <w:r>
              <w:t>Disorderly behaviour in public</w:t>
            </w:r>
          </w:p>
        </w:tc>
      </w:tr>
      <w:tr>
        <w:trPr>
          <w:cantSplit/>
        </w:trPr>
        <w:tc>
          <w:tcPr>
            <w:tcW w:w="1276" w:type="dxa"/>
          </w:tcPr>
          <w:p>
            <w:pPr>
              <w:pStyle w:val="yTableNAm"/>
            </w:pPr>
            <w:r>
              <w:t>s. 74B</w:t>
            </w:r>
          </w:p>
        </w:tc>
        <w:tc>
          <w:tcPr>
            <w:tcW w:w="5528" w:type="dxa"/>
          </w:tcPr>
          <w:p>
            <w:pPr>
              <w:pStyle w:val="yTableNAm"/>
            </w:pPr>
            <w:r>
              <w:t>Causing fear or alarm to people in conveyances and others</w:t>
            </w:r>
          </w:p>
        </w:tc>
      </w:tr>
      <w:tr>
        <w:trPr>
          <w:cantSplit/>
        </w:trPr>
        <w:tc>
          <w:tcPr>
            <w:tcW w:w="1276" w:type="dxa"/>
          </w:tcPr>
          <w:p>
            <w:pPr>
              <w:pStyle w:val="yTableNAm"/>
            </w:pPr>
            <w:r>
              <w:t>s. 77</w:t>
            </w:r>
          </w:p>
        </w:tc>
        <w:tc>
          <w:tcPr>
            <w:tcW w:w="5528" w:type="dxa"/>
          </w:tcPr>
          <w:p>
            <w:pPr>
              <w:pStyle w:val="yTableNAm"/>
            </w:pPr>
            <w:r>
              <w:t>Conduct intended to incite racial animosity or racist harassment</w:t>
            </w:r>
          </w:p>
        </w:tc>
      </w:tr>
      <w:tr>
        <w:trPr>
          <w:cantSplit/>
        </w:trPr>
        <w:tc>
          <w:tcPr>
            <w:tcW w:w="1276" w:type="dxa"/>
          </w:tcPr>
          <w:p>
            <w:pPr>
              <w:pStyle w:val="yTableNAm"/>
            </w:pPr>
            <w:r>
              <w:lastRenderedPageBreak/>
              <w:t>s. 78</w:t>
            </w:r>
          </w:p>
        </w:tc>
        <w:tc>
          <w:tcPr>
            <w:tcW w:w="5528" w:type="dxa"/>
          </w:tcPr>
          <w:p>
            <w:pPr>
              <w:pStyle w:val="yTableNAm"/>
            </w:pPr>
            <w:r>
              <w:t>Conduct likely to incite racial animosity or racist harassment</w:t>
            </w:r>
          </w:p>
        </w:tc>
      </w:tr>
      <w:tr>
        <w:trPr>
          <w:cantSplit/>
        </w:trPr>
        <w:tc>
          <w:tcPr>
            <w:tcW w:w="1276" w:type="dxa"/>
          </w:tcPr>
          <w:p>
            <w:pPr>
              <w:pStyle w:val="yTableNAm"/>
            </w:pPr>
            <w:r>
              <w:t>s. 80A</w:t>
            </w:r>
          </w:p>
        </w:tc>
        <w:tc>
          <w:tcPr>
            <w:tcW w:w="5528" w:type="dxa"/>
          </w:tcPr>
          <w:p>
            <w:pPr>
              <w:pStyle w:val="yTableNAm"/>
            </w:pPr>
            <w:r>
              <w:t>Conduct intended to racially harass</w:t>
            </w:r>
          </w:p>
        </w:tc>
      </w:tr>
      <w:tr>
        <w:trPr>
          <w:cantSplit/>
        </w:trPr>
        <w:tc>
          <w:tcPr>
            <w:tcW w:w="1276" w:type="dxa"/>
          </w:tcPr>
          <w:p>
            <w:pPr>
              <w:pStyle w:val="yTableNAm"/>
            </w:pPr>
            <w:r>
              <w:t>s. 80B</w:t>
            </w:r>
          </w:p>
        </w:tc>
        <w:tc>
          <w:tcPr>
            <w:tcW w:w="5528" w:type="dxa"/>
          </w:tcPr>
          <w:p>
            <w:pPr>
              <w:pStyle w:val="yTableNAm"/>
            </w:pPr>
            <w:r>
              <w:t>Conduct likely to racially harass</w:t>
            </w:r>
          </w:p>
        </w:tc>
      </w:tr>
      <w:tr>
        <w:trPr>
          <w:cantSplit/>
        </w:trPr>
        <w:tc>
          <w:tcPr>
            <w:tcW w:w="1276" w:type="dxa"/>
          </w:tcPr>
          <w:p>
            <w:pPr>
              <w:pStyle w:val="yTableNAm"/>
            </w:pPr>
            <w:r>
              <w:t>s. 171</w:t>
            </w:r>
          </w:p>
        </w:tc>
        <w:tc>
          <w:tcPr>
            <w:tcW w:w="5528" w:type="dxa"/>
          </w:tcPr>
          <w:p>
            <w:pPr>
              <w:pStyle w:val="yTableNAm"/>
            </w:pPr>
            <w:r>
              <w:t>Creating false belief</w:t>
            </w:r>
          </w:p>
        </w:tc>
      </w:tr>
      <w:tr>
        <w:trPr>
          <w:cantSplit/>
        </w:trPr>
        <w:tc>
          <w:tcPr>
            <w:tcW w:w="1276" w:type="dxa"/>
          </w:tcPr>
          <w:p>
            <w:pPr>
              <w:pStyle w:val="yTableNAm"/>
            </w:pPr>
            <w:r>
              <w:t>s. 172</w:t>
            </w:r>
          </w:p>
        </w:tc>
        <w:tc>
          <w:tcPr>
            <w:tcW w:w="5528" w:type="dxa"/>
          </w:tcPr>
          <w:p>
            <w:pPr>
              <w:pStyle w:val="yTableNAm"/>
            </w:pPr>
            <w:r>
              <w:t>Obstructing public officers</w:t>
            </w:r>
          </w:p>
        </w:tc>
      </w:tr>
      <w:tr>
        <w:trPr>
          <w:cantSplit/>
        </w:trPr>
        <w:tc>
          <w:tcPr>
            <w:tcW w:w="1276" w:type="dxa"/>
          </w:tcPr>
          <w:p>
            <w:pPr>
              <w:pStyle w:val="yTableNAm"/>
            </w:pPr>
            <w:r>
              <w:t>s. 202</w:t>
            </w:r>
          </w:p>
        </w:tc>
        <w:tc>
          <w:tcPr>
            <w:tcW w:w="5528" w:type="dxa"/>
          </w:tcPr>
          <w:p>
            <w:pPr>
              <w:pStyle w:val="yTableNAm"/>
            </w:pPr>
            <w:r>
              <w:t>Obscene acts in public</w:t>
            </w:r>
          </w:p>
        </w:tc>
      </w:tr>
      <w:tr>
        <w:trPr>
          <w:cantSplit/>
        </w:trPr>
        <w:tc>
          <w:tcPr>
            <w:tcW w:w="1276" w:type="dxa"/>
          </w:tcPr>
          <w:p>
            <w:pPr>
              <w:pStyle w:val="yTableNAm"/>
            </w:pPr>
            <w:r>
              <w:t>s. 203</w:t>
            </w:r>
          </w:p>
        </w:tc>
        <w:tc>
          <w:tcPr>
            <w:tcW w:w="5528" w:type="dxa"/>
          </w:tcPr>
          <w:p>
            <w:pPr>
              <w:pStyle w:val="yTableNAm"/>
            </w:pPr>
            <w:r>
              <w:t>Indecent acts in public</w:t>
            </w:r>
          </w:p>
        </w:tc>
      </w:tr>
      <w:tr>
        <w:trPr>
          <w:cantSplit/>
        </w:trPr>
        <w:tc>
          <w:tcPr>
            <w:tcW w:w="1276" w:type="dxa"/>
          </w:tcPr>
          <w:p>
            <w:pPr>
              <w:pStyle w:val="yTableNAm"/>
            </w:pPr>
            <w:r>
              <w:t>s. 204</w:t>
            </w:r>
          </w:p>
        </w:tc>
        <w:tc>
          <w:tcPr>
            <w:tcW w:w="5528" w:type="dxa"/>
          </w:tcPr>
          <w:p>
            <w:pPr>
              <w:pStyle w:val="yTableNAm"/>
            </w:pPr>
            <w:r>
              <w:t>Indecent act with intent to offend</w:t>
            </w:r>
          </w:p>
        </w:tc>
      </w:tr>
      <w:tr>
        <w:trPr>
          <w:cantSplit/>
        </w:trPr>
        <w:tc>
          <w:tcPr>
            <w:tcW w:w="1276" w:type="dxa"/>
          </w:tcPr>
          <w:p>
            <w:pPr>
              <w:pStyle w:val="yTableNAm"/>
            </w:pPr>
            <w:r>
              <w:t>s. 204A</w:t>
            </w:r>
          </w:p>
        </w:tc>
        <w:tc>
          <w:tcPr>
            <w:tcW w:w="5528" w:type="dxa"/>
          </w:tcPr>
          <w:p>
            <w:pPr>
              <w:pStyle w:val="yTableNAm"/>
            </w:pPr>
            <w:r>
              <w:t>Showing offensive material to children under 16 years of age</w:t>
            </w:r>
          </w:p>
        </w:tc>
      </w:tr>
      <w:tr>
        <w:trPr>
          <w:cantSplit/>
        </w:trPr>
        <w:tc>
          <w:tcPr>
            <w:tcW w:w="1276" w:type="dxa"/>
          </w:tcPr>
          <w:p>
            <w:pPr>
              <w:pStyle w:val="yTableNAm"/>
            </w:pPr>
            <w:r>
              <w:t>s. 313</w:t>
            </w:r>
          </w:p>
        </w:tc>
        <w:tc>
          <w:tcPr>
            <w:tcW w:w="5528" w:type="dxa"/>
          </w:tcPr>
          <w:p>
            <w:pPr>
              <w:pStyle w:val="yTableNAm"/>
            </w:pPr>
            <w:r>
              <w:t>Common assaults</w:t>
            </w:r>
          </w:p>
        </w:tc>
      </w:tr>
      <w:tr>
        <w:trPr>
          <w:cantSplit/>
        </w:trPr>
        <w:tc>
          <w:tcPr>
            <w:tcW w:w="1276" w:type="dxa"/>
          </w:tcPr>
          <w:p>
            <w:pPr>
              <w:pStyle w:val="yTableNAm"/>
            </w:pPr>
            <w:r>
              <w:t>s. 317</w:t>
            </w:r>
          </w:p>
        </w:tc>
        <w:tc>
          <w:tcPr>
            <w:tcW w:w="5528" w:type="dxa"/>
          </w:tcPr>
          <w:p>
            <w:pPr>
              <w:pStyle w:val="yTableNAm"/>
            </w:pPr>
            <w:r>
              <w:t>Assaults occasioning bodily harm</w:t>
            </w:r>
          </w:p>
        </w:tc>
      </w:tr>
      <w:tr>
        <w:trPr>
          <w:cantSplit/>
        </w:trPr>
        <w:tc>
          <w:tcPr>
            <w:tcW w:w="1276" w:type="dxa"/>
          </w:tcPr>
          <w:p>
            <w:pPr>
              <w:pStyle w:val="yTableNAm"/>
            </w:pPr>
            <w:r>
              <w:t>s. 318</w:t>
            </w:r>
          </w:p>
        </w:tc>
        <w:tc>
          <w:tcPr>
            <w:tcW w:w="5528" w:type="dxa"/>
          </w:tcPr>
          <w:p>
            <w:pPr>
              <w:pStyle w:val="yTableNAm"/>
            </w:pPr>
            <w:r>
              <w:t>Serious assaults</w:t>
            </w:r>
          </w:p>
        </w:tc>
      </w:tr>
      <w:tr>
        <w:trPr>
          <w:cantSplit/>
        </w:trPr>
        <w:tc>
          <w:tcPr>
            <w:tcW w:w="1276" w:type="dxa"/>
          </w:tcPr>
          <w:p>
            <w:pPr>
              <w:pStyle w:val="yTableNAm"/>
            </w:pPr>
            <w:r>
              <w:t>s. 318B</w:t>
            </w:r>
          </w:p>
        </w:tc>
        <w:tc>
          <w:tcPr>
            <w:tcW w:w="5528" w:type="dxa"/>
          </w:tcPr>
          <w:p>
            <w:pPr>
              <w:pStyle w:val="yTableNAm"/>
            </w:pPr>
            <w:r>
              <w:t>Assault on retail workers</w:t>
            </w:r>
          </w:p>
        </w:tc>
      </w:tr>
      <w:tr>
        <w:trPr>
          <w:cantSplit/>
        </w:trPr>
        <w:tc>
          <w:tcPr>
            <w:tcW w:w="1276" w:type="dxa"/>
          </w:tcPr>
          <w:p>
            <w:pPr>
              <w:pStyle w:val="yTableNAm"/>
            </w:pPr>
            <w:r>
              <w:t>s. 338A</w:t>
            </w:r>
          </w:p>
        </w:tc>
        <w:tc>
          <w:tcPr>
            <w:tcW w:w="5528" w:type="dxa"/>
          </w:tcPr>
          <w:p>
            <w:pPr>
              <w:pStyle w:val="yTableNAm"/>
            </w:pPr>
            <w:r>
              <w:t>Threats with intent to influence</w:t>
            </w:r>
          </w:p>
        </w:tc>
      </w:tr>
      <w:tr>
        <w:trPr>
          <w:cantSplit/>
        </w:trPr>
        <w:tc>
          <w:tcPr>
            <w:tcW w:w="1276" w:type="dxa"/>
          </w:tcPr>
          <w:p>
            <w:pPr>
              <w:pStyle w:val="yTableNAm"/>
            </w:pPr>
            <w:r>
              <w:t>s. 338B</w:t>
            </w:r>
          </w:p>
        </w:tc>
        <w:tc>
          <w:tcPr>
            <w:tcW w:w="5528" w:type="dxa"/>
          </w:tcPr>
          <w:p>
            <w:pPr>
              <w:pStyle w:val="yTableNAm"/>
            </w:pPr>
            <w:r>
              <w:t>Threats</w:t>
            </w:r>
          </w:p>
        </w:tc>
      </w:tr>
      <w:tr>
        <w:trPr>
          <w:cantSplit/>
        </w:trPr>
        <w:tc>
          <w:tcPr>
            <w:tcW w:w="1276" w:type="dxa"/>
          </w:tcPr>
          <w:p>
            <w:pPr>
              <w:pStyle w:val="yTableNAm"/>
            </w:pPr>
            <w:r>
              <w:t>s. 338E</w:t>
            </w:r>
          </w:p>
        </w:tc>
        <w:tc>
          <w:tcPr>
            <w:tcW w:w="5528" w:type="dxa"/>
          </w:tcPr>
          <w:p>
            <w:pPr>
              <w:pStyle w:val="yTableNAm"/>
            </w:pPr>
            <w:r>
              <w:t>Stalking</w:t>
            </w:r>
          </w:p>
        </w:tc>
      </w:tr>
      <w:tr>
        <w:trPr>
          <w:cantSplit/>
        </w:trPr>
        <w:tc>
          <w:tcPr>
            <w:tcW w:w="1276" w:type="dxa"/>
          </w:tcPr>
          <w:p>
            <w:pPr>
              <w:pStyle w:val="yTableNAm"/>
            </w:pPr>
            <w:r>
              <w:lastRenderedPageBreak/>
              <w:t>s. 378</w:t>
            </w:r>
          </w:p>
        </w:tc>
        <w:tc>
          <w:tcPr>
            <w:tcW w:w="5528" w:type="dxa"/>
          </w:tcPr>
          <w:p>
            <w:pPr>
              <w:pStyle w:val="yTableNAm"/>
            </w:pPr>
            <w:r>
              <w:t xml:space="preserve">Stealing a motor vehicle on conviction for which a summary conviction penalty is imposed under </w:t>
            </w:r>
            <w:r>
              <w:rPr>
                <w:i/>
              </w:rPr>
              <w:t>The Criminal </w:t>
            </w:r>
            <w:r>
              <w:rPr>
                <w:i/>
                <w:iCs/>
              </w:rPr>
              <w:t>Code</w:t>
            </w:r>
            <w:r>
              <w:t xml:space="preserve"> section 426(3)</w:t>
            </w:r>
          </w:p>
        </w:tc>
      </w:tr>
      <w:tr>
        <w:trPr>
          <w:cantSplit/>
        </w:trPr>
        <w:tc>
          <w:tcPr>
            <w:tcW w:w="1276" w:type="dxa"/>
          </w:tcPr>
          <w:p>
            <w:pPr>
              <w:pStyle w:val="yTableNAm"/>
            </w:pPr>
            <w:r>
              <w:t>s. 378</w:t>
            </w:r>
          </w:p>
        </w:tc>
        <w:tc>
          <w:tcPr>
            <w:tcW w:w="5528" w:type="dxa"/>
          </w:tcPr>
          <w:p>
            <w:pPr>
              <w:pStyle w:val="yTableNAm"/>
            </w:pPr>
            <w:r>
              <w:t xml:space="preserve">Stealing a thing having a value that does not exceed $1 000 </w:t>
            </w:r>
          </w:p>
        </w:tc>
      </w:tr>
      <w:tr>
        <w:trPr>
          <w:cantSplit/>
        </w:trPr>
        <w:tc>
          <w:tcPr>
            <w:tcW w:w="1276" w:type="dxa"/>
          </w:tcPr>
          <w:p>
            <w:pPr>
              <w:pStyle w:val="yTableNAm"/>
            </w:pPr>
            <w:r>
              <w:t>s. 392</w:t>
            </w:r>
          </w:p>
        </w:tc>
        <w:tc>
          <w:tcPr>
            <w:tcW w:w="5528" w:type="dxa"/>
          </w:tcPr>
          <w:p>
            <w:pPr>
              <w:pStyle w:val="yTableNAm"/>
            </w:pPr>
            <w:r>
              <w:t>Robbery</w:t>
            </w:r>
          </w:p>
        </w:tc>
      </w:tr>
      <w:tr>
        <w:trPr>
          <w:cantSplit/>
        </w:trPr>
        <w:tc>
          <w:tcPr>
            <w:tcW w:w="1276" w:type="dxa"/>
          </w:tcPr>
          <w:p>
            <w:pPr>
              <w:pStyle w:val="yTableNAm"/>
            </w:pPr>
            <w:r>
              <w:t>s. 393</w:t>
            </w:r>
          </w:p>
        </w:tc>
        <w:tc>
          <w:tcPr>
            <w:tcW w:w="5528" w:type="dxa"/>
          </w:tcPr>
          <w:p>
            <w:pPr>
              <w:pStyle w:val="yTableNAm"/>
            </w:pPr>
            <w:r>
              <w:t>Assault with intent to rob</w:t>
            </w:r>
          </w:p>
        </w:tc>
      </w:tr>
      <w:tr>
        <w:trPr>
          <w:cantSplit/>
        </w:trPr>
        <w:tc>
          <w:tcPr>
            <w:tcW w:w="1276" w:type="dxa"/>
          </w:tcPr>
          <w:p>
            <w:pPr>
              <w:pStyle w:val="yTableNAm"/>
            </w:pPr>
            <w:r>
              <w:t>s. 401</w:t>
            </w:r>
          </w:p>
        </w:tc>
        <w:tc>
          <w:tcPr>
            <w:tcW w:w="5528" w:type="dxa"/>
          </w:tcPr>
          <w:p>
            <w:pPr>
              <w:pStyle w:val="yTableNAm"/>
              <w:rPr>
                <w:rStyle w:val="DraftersNotes"/>
              </w:rPr>
            </w:pPr>
            <w:r>
              <w:t xml:space="preserve">Burglary on conviction for which a summary conviction penalty is imposed under </w:t>
            </w:r>
            <w:r>
              <w:rPr>
                <w:i/>
              </w:rPr>
              <w:t>The Criminal </w:t>
            </w:r>
            <w:r>
              <w:rPr>
                <w:i/>
                <w:iCs/>
              </w:rPr>
              <w:t>Code</w:t>
            </w:r>
            <w:r>
              <w:t xml:space="preserve"> section 401</w:t>
            </w:r>
          </w:p>
        </w:tc>
      </w:tr>
      <w:tr>
        <w:trPr>
          <w:cantSplit/>
        </w:trPr>
        <w:tc>
          <w:tcPr>
            <w:tcW w:w="1276" w:type="dxa"/>
          </w:tcPr>
          <w:p>
            <w:pPr>
              <w:pStyle w:val="yTableNAm"/>
            </w:pPr>
            <w:r>
              <w:t>s. 444</w:t>
            </w:r>
          </w:p>
        </w:tc>
        <w:tc>
          <w:tcPr>
            <w:tcW w:w="5528" w:type="dxa"/>
          </w:tcPr>
          <w:p>
            <w:pPr>
              <w:pStyle w:val="yTableNAm"/>
            </w:pPr>
            <w:r>
              <w:t>Criminal damage</w:t>
            </w:r>
          </w:p>
        </w:tc>
      </w:tr>
      <w:tr>
        <w:trPr>
          <w:cantSplit/>
        </w:trPr>
        <w:tc>
          <w:tcPr>
            <w:tcW w:w="1276" w:type="dxa"/>
          </w:tcPr>
          <w:p>
            <w:pPr>
              <w:pStyle w:val="yTableNAm"/>
            </w:pPr>
            <w:r>
              <w:t>s. 445A</w:t>
            </w:r>
          </w:p>
        </w:tc>
        <w:tc>
          <w:tcPr>
            <w:tcW w:w="5528" w:type="dxa"/>
          </w:tcPr>
          <w:p>
            <w:pPr>
              <w:pStyle w:val="yTableNAm"/>
            </w:pPr>
            <w:r>
              <w:t>Breaching a duty under s. 444A</w:t>
            </w:r>
          </w:p>
        </w:tc>
      </w:tr>
      <w:tr>
        <w:trPr>
          <w:cantSplit/>
        </w:trPr>
        <w:tc>
          <w:tcPr>
            <w:tcW w:w="1276" w:type="dxa"/>
          </w:tcPr>
          <w:p>
            <w:pPr>
              <w:pStyle w:val="yTableNAm"/>
            </w:pPr>
            <w:r>
              <w:t>s. 445</w:t>
            </w:r>
          </w:p>
        </w:tc>
        <w:tc>
          <w:tcPr>
            <w:tcW w:w="5528" w:type="dxa"/>
          </w:tcPr>
          <w:p>
            <w:pPr>
              <w:pStyle w:val="yTableNAm"/>
            </w:pPr>
            <w:r>
              <w:t>Damaging property</w:t>
            </w:r>
          </w:p>
        </w:tc>
      </w:tr>
    </w:tbl>
    <w:p>
      <w:pPr>
        <w:pStyle w:val="ySubsection"/>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5528"/>
      </w:tblGrid>
      <w:tr>
        <w:trPr>
          <w:cantSplit/>
          <w:tblHeader/>
        </w:trPr>
        <w:tc>
          <w:tcPr>
            <w:tcW w:w="6804" w:type="dxa"/>
            <w:gridSpan w:val="2"/>
          </w:tcPr>
          <w:p>
            <w:pPr>
              <w:pStyle w:val="yTableNAm"/>
              <w:jc w:val="center"/>
              <w:rPr>
                <w:b/>
                <w:bCs/>
                <w:iCs/>
              </w:rPr>
            </w:pPr>
            <w:r>
              <w:rPr>
                <w:b/>
                <w:bCs/>
                <w:i/>
                <w:iCs/>
              </w:rPr>
              <w:t>Criminal Investigation Act 2006</w:t>
            </w:r>
          </w:p>
        </w:tc>
      </w:tr>
      <w:tr>
        <w:trPr>
          <w:cantSplit/>
          <w:tblHeader/>
        </w:trPr>
        <w:tc>
          <w:tcPr>
            <w:tcW w:w="1276" w:type="dxa"/>
          </w:tcPr>
          <w:p>
            <w:pPr>
              <w:pStyle w:val="yTableNAm"/>
              <w:rPr>
                <w:b/>
                <w:bCs/>
              </w:rPr>
            </w:pPr>
            <w:r>
              <w:rPr>
                <w:b/>
                <w:bCs/>
              </w:rPr>
              <w:t>Provision</w:t>
            </w:r>
          </w:p>
        </w:tc>
        <w:tc>
          <w:tcPr>
            <w:tcW w:w="5528" w:type="dxa"/>
          </w:tcPr>
          <w:p>
            <w:pPr>
              <w:pStyle w:val="yTableNAm"/>
              <w:rPr>
                <w:b/>
                <w:bCs/>
              </w:rPr>
            </w:pPr>
            <w:r>
              <w:rPr>
                <w:b/>
                <w:bCs/>
              </w:rPr>
              <w:t>Description of offence</w:t>
            </w:r>
          </w:p>
        </w:tc>
      </w:tr>
      <w:tr>
        <w:trPr>
          <w:cantSplit/>
        </w:trPr>
        <w:tc>
          <w:tcPr>
            <w:tcW w:w="1276" w:type="dxa"/>
          </w:tcPr>
          <w:p>
            <w:pPr>
              <w:pStyle w:val="yTableNAm"/>
            </w:pPr>
            <w:r>
              <w:t>s. 153</w:t>
            </w:r>
          </w:p>
        </w:tc>
        <w:tc>
          <w:tcPr>
            <w:tcW w:w="5528" w:type="dxa"/>
          </w:tcPr>
          <w:p>
            <w:pPr>
              <w:pStyle w:val="yTableNAm"/>
            </w:pPr>
            <w:r>
              <w:t xml:space="preserve">Failure to comply with an officer’s order under the </w:t>
            </w:r>
            <w:r>
              <w:rPr>
                <w:i/>
              </w:rPr>
              <w:t>Criminal Investigation Act 2006</w:t>
            </w:r>
          </w:p>
        </w:tc>
      </w:tr>
    </w:tbl>
    <w:p>
      <w:pPr>
        <w:pStyle w:val="ySubsection"/>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5528"/>
      </w:tblGrid>
      <w:tr>
        <w:trPr>
          <w:cantSplit/>
          <w:tblHeader/>
        </w:trPr>
        <w:tc>
          <w:tcPr>
            <w:tcW w:w="6804" w:type="dxa"/>
            <w:gridSpan w:val="2"/>
          </w:tcPr>
          <w:p>
            <w:pPr>
              <w:pStyle w:val="yTableNAm"/>
              <w:jc w:val="center"/>
              <w:rPr>
                <w:b/>
                <w:bCs/>
                <w:iCs/>
              </w:rPr>
            </w:pPr>
            <w:r>
              <w:rPr>
                <w:b/>
                <w:bCs/>
                <w:i/>
                <w:iCs/>
              </w:rPr>
              <w:lastRenderedPageBreak/>
              <w:t>Liquor Control Act 1988</w:t>
            </w:r>
          </w:p>
        </w:tc>
      </w:tr>
      <w:tr>
        <w:trPr>
          <w:cantSplit/>
          <w:tblHeader/>
        </w:trPr>
        <w:tc>
          <w:tcPr>
            <w:tcW w:w="1276" w:type="dxa"/>
          </w:tcPr>
          <w:p>
            <w:pPr>
              <w:pStyle w:val="yTableNAm"/>
              <w:rPr>
                <w:b/>
                <w:bCs/>
              </w:rPr>
            </w:pPr>
            <w:r>
              <w:rPr>
                <w:b/>
                <w:bCs/>
              </w:rPr>
              <w:t>Provision</w:t>
            </w:r>
          </w:p>
        </w:tc>
        <w:tc>
          <w:tcPr>
            <w:tcW w:w="5528" w:type="dxa"/>
          </w:tcPr>
          <w:p>
            <w:pPr>
              <w:pStyle w:val="yTableNAm"/>
              <w:rPr>
                <w:b/>
                <w:bCs/>
              </w:rPr>
            </w:pPr>
            <w:r>
              <w:rPr>
                <w:b/>
                <w:bCs/>
              </w:rPr>
              <w:t>Description of offence</w:t>
            </w:r>
          </w:p>
        </w:tc>
      </w:tr>
      <w:tr>
        <w:trPr>
          <w:cantSplit/>
        </w:trPr>
        <w:tc>
          <w:tcPr>
            <w:tcW w:w="1276" w:type="dxa"/>
          </w:tcPr>
          <w:p>
            <w:pPr>
              <w:pStyle w:val="yTableNAm"/>
            </w:pPr>
            <w:r>
              <w:t>s. 115(6)</w:t>
            </w:r>
          </w:p>
        </w:tc>
        <w:tc>
          <w:tcPr>
            <w:tcW w:w="5528" w:type="dxa"/>
          </w:tcPr>
          <w:p>
            <w:pPr>
              <w:pStyle w:val="yTableNAm"/>
            </w:pPr>
            <w:r>
              <w:t>Remaining in an area adjacent to licensed premises after having been refused entry to, or required to leave, the premises</w:t>
            </w:r>
          </w:p>
        </w:tc>
      </w:tr>
      <w:tr>
        <w:trPr>
          <w:cantSplit/>
        </w:trPr>
        <w:tc>
          <w:tcPr>
            <w:tcW w:w="1276" w:type="dxa"/>
          </w:tcPr>
          <w:p>
            <w:pPr>
              <w:pStyle w:val="yTableNAm"/>
            </w:pPr>
            <w:r>
              <w:t>s. 115(7)</w:t>
            </w:r>
          </w:p>
        </w:tc>
        <w:tc>
          <w:tcPr>
            <w:tcW w:w="5528" w:type="dxa"/>
          </w:tcPr>
          <w:p>
            <w:pPr>
              <w:pStyle w:val="yTableNAm"/>
            </w:pPr>
            <w:r>
              <w:t>Re</w:t>
            </w:r>
            <w:r>
              <w:noBreakHyphen/>
              <w:t>entering licensed premises within 24 hours of being refused entry to, or required to leave, the premises</w:t>
            </w:r>
          </w:p>
        </w:tc>
      </w:tr>
      <w:tr>
        <w:trPr>
          <w:cantSplit/>
        </w:trPr>
        <w:tc>
          <w:tcPr>
            <w:tcW w:w="1276" w:type="dxa"/>
          </w:tcPr>
          <w:p>
            <w:pPr>
              <w:pStyle w:val="yTableNAm"/>
            </w:pPr>
            <w:r>
              <w:t>s. 119(1)</w:t>
            </w:r>
          </w:p>
        </w:tc>
        <w:tc>
          <w:tcPr>
            <w:tcW w:w="5528" w:type="dxa"/>
          </w:tcPr>
          <w:p>
            <w:pPr>
              <w:pStyle w:val="yTableNAm"/>
            </w:pPr>
            <w:r>
              <w:t>Consuming liquor in a place or premises without the consent of the occupier or person having control of the place or premises</w:t>
            </w:r>
          </w:p>
        </w:tc>
      </w:tr>
      <w:tr>
        <w:trPr>
          <w:cantSplit/>
        </w:trPr>
        <w:tc>
          <w:tcPr>
            <w:tcW w:w="1276" w:type="dxa"/>
          </w:tcPr>
          <w:p>
            <w:pPr>
              <w:pStyle w:val="yTableNAm"/>
            </w:pPr>
            <w:r>
              <w:t>s. 119(2)</w:t>
            </w:r>
          </w:p>
        </w:tc>
        <w:tc>
          <w:tcPr>
            <w:tcW w:w="5528" w:type="dxa"/>
          </w:tcPr>
          <w:p>
            <w:pPr>
              <w:pStyle w:val="yTableNAm"/>
            </w:pPr>
            <w:r>
              <w:t>Bringing liquor into, or possessing or consuming liquor in, a sports ground or stadium</w:t>
            </w:r>
          </w:p>
        </w:tc>
      </w:tr>
      <w:tr>
        <w:trPr>
          <w:cantSplit/>
        </w:trPr>
        <w:tc>
          <w:tcPr>
            <w:tcW w:w="1276" w:type="dxa"/>
          </w:tcPr>
          <w:p>
            <w:pPr>
              <w:pStyle w:val="yTableNAm"/>
            </w:pPr>
            <w:r>
              <w:t>s. 119(4)</w:t>
            </w:r>
          </w:p>
        </w:tc>
        <w:tc>
          <w:tcPr>
            <w:tcW w:w="5528" w:type="dxa"/>
          </w:tcPr>
          <w:p>
            <w:pPr>
              <w:pStyle w:val="yTableNAm"/>
            </w:pPr>
            <w:r>
              <w:t>Consuming liquor in a public place except under an exemption, licence or permit</w:t>
            </w:r>
          </w:p>
        </w:tc>
      </w:tr>
      <w:tr>
        <w:trPr>
          <w:cantSplit/>
        </w:trPr>
        <w:tc>
          <w:tcPr>
            <w:tcW w:w="1276" w:type="dxa"/>
          </w:tcPr>
          <w:p>
            <w:pPr>
              <w:pStyle w:val="yTableNAm"/>
            </w:pPr>
            <w:r>
              <w:t>s. 121(3)</w:t>
            </w:r>
          </w:p>
        </w:tc>
        <w:tc>
          <w:tcPr>
            <w:tcW w:w="5528" w:type="dxa"/>
          </w:tcPr>
          <w:p>
            <w:pPr>
              <w:pStyle w:val="yTableNAm"/>
            </w:pPr>
            <w:r>
              <w:t xml:space="preserve">Purchasing or obtaining liquor on licensed premises on behalf of a juvenile </w:t>
            </w:r>
          </w:p>
        </w:tc>
      </w:tr>
      <w:tr>
        <w:trPr>
          <w:cantSplit/>
        </w:trPr>
        <w:tc>
          <w:tcPr>
            <w:tcW w:w="1276" w:type="dxa"/>
          </w:tcPr>
          <w:p>
            <w:pPr>
              <w:pStyle w:val="yTableNAm"/>
            </w:pPr>
            <w:r>
              <w:t>s. 123(1)</w:t>
            </w:r>
          </w:p>
        </w:tc>
        <w:tc>
          <w:tcPr>
            <w:tcW w:w="5528" w:type="dxa"/>
          </w:tcPr>
          <w:p>
            <w:pPr>
              <w:pStyle w:val="yTableNAm"/>
            </w:pPr>
            <w:r>
              <w:t>Juvenile purchasing, obtaining or consuming liquor on, or bringing liquor onto, licensed or regulated premises</w:t>
            </w:r>
          </w:p>
        </w:tc>
      </w:tr>
      <w:tr>
        <w:trPr>
          <w:cantSplit/>
        </w:trPr>
        <w:tc>
          <w:tcPr>
            <w:tcW w:w="1276" w:type="dxa"/>
          </w:tcPr>
          <w:p>
            <w:pPr>
              <w:pStyle w:val="yTableNAm"/>
            </w:pPr>
            <w:r>
              <w:t>s. 123(2)</w:t>
            </w:r>
          </w:p>
        </w:tc>
        <w:tc>
          <w:tcPr>
            <w:tcW w:w="5528" w:type="dxa"/>
          </w:tcPr>
          <w:p>
            <w:pPr>
              <w:pStyle w:val="yTableNAm"/>
            </w:pPr>
            <w:r>
              <w:t>Juvenile possessing liquor in a public place</w:t>
            </w:r>
          </w:p>
        </w:tc>
      </w:tr>
      <w:tr>
        <w:trPr>
          <w:cantSplit/>
        </w:trPr>
        <w:tc>
          <w:tcPr>
            <w:tcW w:w="1276" w:type="dxa"/>
          </w:tcPr>
          <w:p>
            <w:pPr>
              <w:pStyle w:val="yTableNAm"/>
            </w:pPr>
            <w:r>
              <w:t>s. 124</w:t>
            </w:r>
          </w:p>
        </w:tc>
        <w:tc>
          <w:tcPr>
            <w:tcW w:w="5528" w:type="dxa"/>
          </w:tcPr>
          <w:p>
            <w:pPr>
              <w:pStyle w:val="yTableNAm"/>
            </w:pPr>
            <w:r>
              <w:t>Sending a juvenile to licensed or regulated premises for the purpose of obtaining liquor</w:t>
            </w:r>
          </w:p>
        </w:tc>
      </w:tr>
      <w:tr>
        <w:trPr>
          <w:cantSplit/>
        </w:trPr>
        <w:tc>
          <w:tcPr>
            <w:tcW w:w="1276" w:type="dxa"/>
          </w:tcPr>
          <w:p>
            <w:pPr>
              <w:pStyle w:val="yTableNAm"/>
            </w:pPr>
            <w:r>
              <w:t>s. 126(4)</w:t>
            </w:r>
          </w:p>
        </w:tc>
        <w:tc>
          <w:tcPr>
            <w:tcW w:w="5528" w:type="dxa"/>
          </w:tcPr>
          <w:p>
            <w:pPr>
              <w:pStyle w:val="yTableNAm"/>
            </w:pPr>
            <w:r>
              <w:t>Re</w:t>
            </w:r>
            <w:r>
              <w:noBreakHyphen/>
              <w:t>entering licensed or regulated premises within 24 hours of being required to leave, or removed from, the premises under section 126</w:t>
            </w:r>
          </w:p>
        </w:tc>
      </w:tr>
      <w:tr>
        <w:trPr>
          <w:cantSplit/>
        </w:trPr>
        <w:tc>
          <w:tcPr>
            <w:tcW w:w="1276" w:type="dxa"/>
          </w:tcPr>
          <w:p>
            <w:pPr>
              <w:pStyle w:val="yTableNAm"/>
            </w:pPr>
            <w:r>
              <w:t>s. 126(5)</w:t>
            </w:r>
          </w:p>
        </w:tc>
        <w:tc>
          <w:tcPr>
            <w:tcW w:w="5528" w:type="dxa"/>
          </w:tcPr>
          <w:p>
            <w:pPr>
              <w:pStyle w:val="yTableNAm"/>
            </w:pPr>
            <w:r>
              <w:t>Remaining in an area adjacent to licensed premises after having been required to leave, or being removed from, the premises</w:t>
            </w:r>
          </w:p>
        </w:tc>
      </w:tr>
    </w:tbl>
    <w:p>
      <w:pPr>
        <w:pStyle w:val="ySubsection"/>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5528"/>
      </w:tblGrid>
      <w:tr>
        <w:trPr>
          <w:cantSplit/>
          <w:tblHeader/>
        </w:trPr>
        <w:tc>
          <w:tcPr>
            <w:tcW w:w="6804" w:type="dxa"/>
            <w:gridSpan w:val="2"/>
          </w:tcPr>
          <w:p>
            <w:pPr>
              <w:pStyle w:val="yTableNAm"/>
              <w:keepNext/>
              <w:jc w:val="center"/>
              <w:rPr>
                <w:b/>
                <w:bCs/>
                <w:iCs/>
              </w:rPr>
            </w:pPr>
            <w:r>
              <w:rPr>
                <w:b/>
                <w:bCs/>
                <w:i/>
                <w:iCs/>
              </w:rPr>
              <w:t>Misuse of Drugs Act 1981</w:t>
            </w:r>
          </w:p>
        </w:tc>
      </w:tr>
      <w:tr>
        <w:trPr>
          <w:cantSplit/>
          <w:tblHeader/>
        </w:trPr>
        <w:tc>
          <w:tcPr>
            <w:tcW w:w="1276" w:type="dxa"/>
          </w:tcPr>
          <w:p>
            <w:pPr>
              <w:pStyle w:val="yTableNAm"/>
              <w:keepNext/>
              <w:rPr>
                <w:b/>
                <w:bCs/>
              </w:rPr>
            </w:pPr>
            <w:r>
              <w:rPr>
                <w:b/>
                <w:bCs/>
              </w:rPr>
              <w:t>Provision</w:t>
            </w:r>
          </w:p>
        </w:tc>
        <w:tc>
          <w:tcPr>
            <w:tcW w:w="5528" w:type="dxa"/>
          </w:tcPr>
          <w:p>
            <w:pPr>
              <w:pStyle w:val="yTableNAm"/>
              <w:keepNext/>
              <w:rPr>
                <w:b/>
                <w:bCs/>
              </w:rPr>
            </w:pPr>
            <w:r>
              <w:rPr>
                <w:b/>
                <w:bCs/>
              </w:rPr>
              <w:t>Description of offence</w:t>
            </w:r>
          </w:p>
        </w:tc>
      </w:tr>
      <w:tr>
        <w:trPr>
          <w:cantSplit/>
        </w:trPr>
        <w:tc>
          <w:tcPr>
            <w:tcW w:w="1276" w:type="dxa"/>
          </w:tcPr>
          <w:p>
            <w:pPr>
              <w:pStyle w:val="yTableNAm"/>
              <w:keepNext/>
            </w:pPr>
            <w:r>
              <w:t>s. 5</w:t>
            </w:r>
          </w:p>
        </w:tc>
        <w:tc>
          <w:tcPr>
            <w:tcW w:w="5528" w:type="dxa"/>
          </w:tcPr>
          <w:p>
            <w:pPr>
              <w:pStyle w:val="yTableNAm"/>
              <w:keepNext/>
            </w:pPr>
            <w:r>
              <w:t>Offences concerned with prohibited drugs and prohibited plants in relation to premises and utensils</w:t>
            </w:r>
          </w:p>
        </w:tc>
      </w:tr>
      <w:tr>
        <w:trPr>
          <w:cantSplit/>
        </w:trPr>
        <w:tc>
          <w:tcPr>
            <w:tcW w:w="1276" w:type="dxa"/>
          </w:tcPr>
          <w:p>
            <w:pPr>
              <w:pStyle w:val="yTableNAm"/>
              <w:keepNext/>
            </w:pPr>
            <w:r>
              <w:t>s. 6</w:t>
            </w:r>
          </w:p>
        </w:tc>
        <w:tc>
          <w:tcPr>
            <w:tcW w:w="5528" w:type="dxa"/>
          </w:tcPr>
          <w:p>
            <w:pPr>
              <w:pStyle w:val="yTableNAm"/>
              <w:keepNext/>
            </w:pPr>
            <w:r>
              <w:t>Offences concerned with prohibited drugs generally</w:t>
            </w:r>
          </w:p>
        </w:tc>
      </w:tr>
      <w:tr>
        <w:trPr>
          <w:cantSplit/>
        </w:trPr>
        <w:tc>
          <w:tcPr>
            <w:tcW w:w="1276" w:type="dxa"/>
          </w:tcPr>
          <w:p>
            <w:pPr>
              <w:pStyle w:val="yTableNAm"/>
            </w:pPr>
            <w:r>
              <w:t>s. 7</w:t>
            </w:r>
          </w:p>
        </w:tc>
        <w:tc>
          <w:tcPr>
            <w:tcW w:w="5528" w:type="dxa"/>
          </w:tcPr>
          <w:p>
            <w:pPr>
              <w:pStyle w:val="yTableNAm"/>
            </w:pPr>
            <w:r>
              <w:t>Offences concerned with prohibited plants generally</w:t>
            </w:r>
          </w:p>
        </w:tc>
      </w:tr>
    </w:tbl>
    <w:p>
      <w:pPr>
        <w:pStyle w:val="ySubsection"/>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5528"/>
      </w:tblGrid>
      <w:tr>
        <w:trPr>
          <w:cantSplit/>
          <w:tblHeader/>
        </w:trPr>
        <w:tc>
          <w:tcPr>
            <w:tcW w:w="6804" w:type="dxa"/>
            <w:gridSpan w:val="2"/>
          </w:tcPr>
          <w:p>
            <w:pPr>
              <w:pStyle w:val="yTableNAm"/>
              <w:keepNext/>
              <w:keepLines/>
              <w:jc w:val="center"/>
              <w:rPr>
                <w:b/>
                <w:bCs/>
                <w:iCs/>
              </w:rPr>
            </w:pPr>
            <w:r>
              <w:rPr>
                <w:b/>
                <w:bCs/>
                <w:i/>
                <w:iCs/>
              </w:rPr>
              <w:t>Prostitution Act 2000</w:t>
            </w:r>
          </w:p>
        </w:tc>
      </w:tr>
      <w:tr>
        <w:trPr>
          <w:cantSplit/>
          <w:tblHeader/>
        </w:trPr>
        <w:tc>
          <w:tcPr>
            <w:tcW w:w="1276" w:type="dxa"/>
          </w:tcPr>
          <w:p>
            <w:pPr>
              <w:pStyle w:val="yTableNAm"/>
              <w:keepNext/>
              <w:keepLines/>
              <w:rPr>
                <w:b/>
                <w:bCs/>
              </w:rPr>
            </w:pPr>
            <w:r>
              <w:rPr>
                <w:b/>
                <w:bCs/>
              </w:rPr>
              <w:t>Provision</w:t>
            </w:r>
          </w:p>
        </w:tc>
        <w:tc>
          <w:tcPr>
            <w:tcW w:w="5528" w:type="dxa"/>
          </w:tcPr>
          <w:p>
            <w:pPr>
              <w:pStyle w:val="yTableNAm"/>
              <w:keepNext/>
              <w:keepLines/>
              <w:rPr>
                <w:b/>
                <w:bCs/>
              </w:rPr>
            </w:pPr>
            <w:r>
              <w:rPr>
                <w:b/>
                <w:bCs/>
              </w:rPr>
              <w:t>Description of offence</w:t>
            </w:r>
          </w:p>
        </w:tc>
      </w:tr>
      <w:tr>
        <w:trPr>
          <w:cantSplit/>
        </w:trPr>
        <w:tc>
          <w:tcPr>
            <w:tcW w:w="1276" w:type="dxa"/>
          </w:tcPr>
          <w:p>
            <w:pPr>
              <w:pStyle w:val="yTableNAm"/>
              <w:keepNext/>
              <w:keepLines/>
            </w:pPr>
            <w:r>
              <w:t>s. 5</w:t>
            </w:r>
          </w:p>
        </w:tc>
        <w:tc>
          <w:tcPr>
            <w:tcW w:w="5528" w:type="dxa"/>
          </w:tcPr>
          <w:p>
            <w:pPr>
              <w:pStyle w:val="yTableNAm"/>
              <w:keepNext/>
              <w:keepLines/>
            </w:pPr>
            <w:r>
              <w:t>Seeking prostitute in or in view or within hearing of public place</w:t>
            </w:r>
          </w:p>
        </w:tc>
      </w:tr>
      <w:tr>
        <w:trPr>
          <w:cantSplit/>
        </w:trPr>
        <w:tc>
          <w:tcPr>
            <w:tcW w:w="1276" w:type="dxa"/>
          </w:tcPr>
          <w:p>
            <w:pPr>
              <w:pStyle w:val="yTableNAm"/>
              <w:keepNext/>
              <w:keepLines/>
            </w:pPr>
            <w:r>
              <w:t>s. 6</w:t>
            </w:r>
          </w:p>
        </w:tc>
        <w:tc>
          <w:tcPr>
            <w:tcW w:w="5528" w:type="dxa"/>
          </w:tcPr>
          <w:p>
            <w:pPr>
              <w:pStyle w:val="yTableNAm"/>
              <w:keepNext/>
              <w:keepLines/>
            </w:pPr>
            <w:r>
              <w:t>Seeking client in or in view or within hearing of public place</w:t>
            </w:r>
          </w:p>
        </w:tc>
      </w:tr>
    </w:tbl>
    <w:p>
      <w:pPr>
        <w:pStyle w:val="ySubsection"/>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5528"/>
      </w:tblGrid>
      <w:tr>
        <w:trPr>
          <w:cantSplit/>
          <w:tblHeader/>
        </w:trPr>
        <w:tc>
          <w:tcPr>
            <w:tcW w:w="6804" w:type="dxa"/>
            <w:gridSpan w:val="2"/>
          </w:tcPr>
          <w:p>
            <w:pPr>
              <w:pStyle w:val="yTableNAm"/>
              <w:jc w:val="center"/>
              <w:rPr>
                <w:b/>
                <w:bCs/>
                <w:iCs/>
              </w:rPr>
            </w:pPr>
            <w:r>
              <w:rPr>
                <w:b/>
                <w:bCs/>
                <w:i/>
                <w:iCs/>
              </w:rPr>
              <w:t>Public Transport Authority Act 2003</w:t>
            </w:r>
          </w:p>
        </w:tc>
      </w:tr>
      <w:tr>
        <w:trPr>
          <w:cantSplit/>
          <w:tblHeader/>
        </w:trPr>
        <w:tc>
          <w:tcPr>
            <w:tcW w:w="1276" w:type="dxa"/>
          </w:tcPr>
          <w:p>
            <w:pPr>
              <w:pStyle w:val="yTableNAm"/>
              <w:rPr>
                <w:b/>
                <w:bCs/>
              </w:rPr>
            </w:pPr>
            <w:r>
              <w:rPr>
                <w:b/>
                <w:bCs/>
              </w:rPr>
              <w:t>Provision</w:t>
            </w:r>
          </w:p>
        </w:tc>
        <w:tc>
          <w:tcPr>
            <w:tcW w:w="5528" w:type="dxa"/>
          </w:tcPr>
          <w:p>
            <w:pPr>
              <w:pStyle w:val="yTableNAm"/>
              <w:rPr>
                <w:b/>
                <w:bCs/>
              </w:rPr>
            </w:pPr>
            <w:r>
              <w:rPr>
                <w:b/>
                <w:bCs/>
              </w:rPr>
              <w:t>Description of offence</w:t>
            </w:r>
          </w:p>
        </w:tc>
      </w:tr>
      <w:tr>
        <w:trPr>
          <w:cantSplit/>
        </w:trPr>
        <w:tc>
          <w:tcPr>
            <w:tcW w:w="1276" w:type="dxa"/>
          </w:tcPr>
          <w:p>
            <w:pPr>
              <w:pStyle w:val="yTableNAm"/>
            </w:pPr>
            <w:r>
              <w:t>s. 64B</w:t>
            </w:r>
          </w:p>
        </w:tc>
        <w:tc>
          <w:tcPr>
            <w:tcW w:w="5528" w:type="dxa"/>
          </w:tcPr>
          <w:p>
            <w:pPr>
              <w:pStyle w:val="yTableNAm"/>
            </w:pPr>
            <w:r>
              <w:t>Contravention of a prohibition order</w:t>
            </w:r>
          </w:p>
        </w:tc>
      </w:tr>
    </w:tbl>
    <w:p>
      <w:pPr>
        <w:pStyle w:val="ySubsection"/>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5528"/>
      </w:tblGrid>
      <w:tr>
        <w:trPr>
          <w:cantSplit/>
          <w:tblHeader/>
        </w:trPr>
        <w:tc>
          <w:tcPr>
            <w:tcW w:w="6804" w:type="dxa"/>
            <w:gridSpan w:val="2"/>
          </w:tcPr>
          <w:p>
            <w:pPr>
              <w:pStyle w:val="yTableNAm"/>
              <w:jc w:val="center"/>
              <w:rPr>
                <w:b/>
                <w:bCs/>
                <w:iCs/>
              </w:rPr>
            </w:pPr>
            <w:r>
              <w:rPr>
                <w:b/>
                <w:bCs/>
                <w:i/>
                <w:iCs/>
              </w:rPr>
              <w:t>Public Transport Authority Regulations 2003</w:t>
            </w:r>
          </w:p>
        </w:tc>
      </w:tr>
      <w:tr>
        <w:trPr>
          <w:cantSplit/>
          <w:tblHeader/>
        </w:trPr>
        <w:tc>
          <w:tcPr>
            <w:tcW w:w="1276" w:type="dxa"/>
          </w:tcPr>
          <w:p>
            <w:pPr>
              <w:pStyle w:val="yTableNAm"/>
              <w:rPr>
                <w:b/>
                <w:bCs/>
              </w:rPr>
            </w:pPr>
            <w:r>
              <w:rPr>
                <w:b/>
                <w:bCs/>
              </w:rPr>
              <w:t>Provision</w:t>
            </w:r>
          </w:p>
        </w:tc>
        <w:tc>
          <w:tcPr>
            <w:tcW w:w="5528" w:type="dxa"/>
          </w:tcPr>
          <w:p>
            <w:pPr>
              <w:pStyle w:val="yTableNAm"/>
              <w:rPr>
                <w:b/>
                <w:bCs/>
              </w:rPr>
            </w:pPr>
            <w:r>
              <w:rPr>
                <w:b/>
                <w:bCs/>
              </w:rPr>
              <w:t>Description of offence</w:t>
            </w:r>
          </w:p>
        </w:tc>
      </w:tr>
      <w:tr>
        <w:trPr>
          <w:cantSplit/>
        </w:trPr>
        <w:tc>
          <w:tcPr>
            <w:tcW w:w="1276" w:type="dxa"/>
          </w:tcPr>
          <w:p>
            <w:pPr>
              <w:pStyle w:val="yTableNAm"/>
            </w:pPr>
            <w:r>
              <w:t>r. 7</w:t>
            </w:r>
          </w:p>
        </w:tc>
        <w:tc>
          <w:tcPr>
            <w:tcW w:w="5528" w:type="dxa"/>
          </w:tcPr>
          <w:p>
            <w:pPr>
              <w:pStyle w:val="yTableNAm"/>
            </w:pPr>
            <w:r>
              <w:t>Interfering with Authority property</w:t>
            </w:r>
          </w:p>
        </w:tc>
      </w:tr>
      <w:tr>
        <w:trPr>
          <w:cantSplit/>
        </w:trPr>
        <w:tc>
          <w:tcPr>
            <w:tcW w:w="1276" w:type="dxa"/>
          </w:tcPr>
          <w:p>
            <w:pPr>
              <w:pStyle w:val="yTableNAm"/>
            </w:pPr>
            <w:r>
              <w:lastRenderedPageBreak/>
              <w:t>r. 13</w:t>
            </w:r>
          </w:p>
        </w:tc>
        <w:tc>
          <w:tcPr>
            <w:tcW w:w="5528" w:type="dxa"/>
          </w:tcPr>
          <w:p>
            <w:pPr>
              <w:pStyle w:val="yTableNAm"/>
            </w:pPr>
            <w:r>
              <w:t>Causing nuisance or annoyance to persons in or an a conveyance or facility</w:t>
            </w:r>
          </w:p>
        </w:tc>
      </w:tr>
      <w:tr>
        <w:trPr>
          <w:cantSplit/>
        </w:trPr>
        <w:tc>
          <w:tcPr>
            <w:tcW w:w="1276" w:type="dxa"/>
          </w:tcPr>
          <w:p>
            <w:pPr>
              <w:pStyle w:val="yTableNAm"/>
            </w:pPr>
            <w:r>
              <w:t>r. 15</w:t>
            </w:r>
          </w:p>
        </w:tc>
        <w:tc>
          <w:tcPr>
            <w:tcW w:w="5528" w:type="dxa"/>
          </w:tcPr>
          <w:p>
            <w:pPr>
              <w:pStyle w:val="yTableNAm"/>
            </w:pPr>
            <w:r>
              <w:t>Damaging a conveyance or facility</w:t>
            </w:r>
          </w:p>
        </w:tc>
      </w:tr>
      <w:tr>
        <w:trPr>
          <w:cantSplit/>
        </w:trPr>
        <w:tc>
          <w:tcPr>
            <w:tcW w:w="1276" w:type="dxa"/>
          </w:tcPr>
          <w:p>
            <w:pPr>
              <w:pStyle w:val="yTableNAm"/>
            </w:pPr>
            <w:r>
              <w:t>r. 40</w:t>
            </w:r>
          </w:p>
        </w:tc>
        <w:tc>
          <w:tcPr>
            <w:tcW w:w="5528" w:type="dxa"/>
          </w:tcPr>
          <w:p>
            <w:pPr>
              <w:pStyle w:val="yTableNAm"/>
            </w:pPr>
            <w:r>
              <w:t>Obstructing an authorised person</w:t>
            </w:r>
          </w:p>
        </w:tc>
      </w:tr>
    </w:tbl>
    <w:p>
      <w:pPr>
        <w:pStyle w:val="ySubsection"/>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5528"/>
      </w:tblGrid>
      <w:tr>
        <w:trPr>
          <w:cantSplit/>
          <w:tblHeader/>
        </w:trPr>
        <w:tc>
          <w:tcPr>
            <w:tcW w:w="6804" w:type="dxa"/>
            <w:gridSpan w:val="2"/>
          </w:tcPr>
          <w:p>
            <w:pPr>
              <w:pStyle w:val="yTableNAm"/>
              <w:jc w:val="center"/>
              <w:rPr>
                <w:b/>
                <w:bCs/>
                <w:iCs/>
              </w:rPr>
            </w:pPr>
            <w:r>
              <w:rPr>
                <w:b/>
                <w:bCs/>
                <w:i/>
                <w:iCs/>
              </w:rPr>
              <w:t>Road Traffic Act 1974</w:t>
            </w:r>
          </w:p>
        </w:tc>
      </w:tr>
      <w:tr>
        <w:trPr>
          <w:cantSplit/>
          <w:tblHeader/>
        </w:trPr>
        <w:tc>
          <w:tcPr>
            <w:tcW w:w="1276" w:type="dxa"/>
          </w:tcPr>
          <w:p>
            <w:pPr>
              <w:pStyle w:val="yTableNAm"/>
              <w:rPr>
                <w:b/>
                <w:bCs/>
              </w:rPr>
            </w:pPr>
            <w:r>
              <w:rPr>
                <w:b/>
                <w:bCs/>
              </w:rPr>
              <w:t>Provision</w:t>
            </w:r>
          </w:p>
        </w:tc>
        <w:tc>
          <w:tcPr>
            <w:tcW w:w="5528" w:type="dxa"/>
          </w:tcPr>
          <w:p>
            <w:pPr>
              <w:pStyle w:val="yTableNAm"/>
              <w:rPr>
                <w:b/>
                <w:bCs/>
              </w:rPr>
            </w:pPr>
            <w:r>
              <w:rPr>
                <w:b/>
                <w:bCs/>
              </w:rPr>
              <w:t>Description of offence</w:t>
            </w:r>
          </w:p>
        </w:tc>
      </w:tr>
      <w:tr>
        <w:trPr>
          <w:cantSplit/>
        </w:trPr>
        <w:tc>
          <w:tcPr>
            <w:tcW w:w="1276" w:type="dxa"/>
          </w:tcPr>
          <w:p>
            <w:pPr>
              <w:pStyle w:val="yTableNAm"/>
            </w:pPr>
            <w:r>
              <w:t>s. 59</w:t>
            </w:r>
          </w:p>
        </w:tc>
        <w:tc>
          <w:tcPr>
            <w:tcW w:w="5528" w:type="dxa"/>
          </w:tcPr>
          <w:p>
            <w:pPr>
              <w:pStyle w:val="yTableNAm"/>
            </w:pPr>
            <w:r>
              <w:t>Dangerous driving causing death, injury etc.</w:t>
            </w:r>
          </w:p>
        </w:tc>
      </w:tr>
      <w:tr>
        <w:trPr>
          <w:cantSplit/>
        </w:trPr>
        <w:tc>
          <w:tcPr>
            <w:tcW w:w="1276" w:type="dxa"/>
          </w:tcPr>
          <w:p>
            <w:pPr>
              <w:pStyle w:val="yTableNAm"/>
            </w:pPr>
            <w:r>
              <w:t>s. 59A</w:t>
            </w:r>
          </w:p>
        </w:tc>
        <w:tc>
          <w:tcPr>
            <w:tcW w:w="5528" w:type="dxa"/>
          </w:tcPr>
          <w:p>
            <w:pPr>
              <w:pStyle w:val="yTableNAm"/>
            </w:pPr>
            <w:r>
              <w:t>Dangerous driving causing bodily harm</w:t>
            </w:r>
          </w:p>
        </w:tc>
      </w:tr>
      <w:tr>
        <w:trPr>
          <w:cantSplit/>
        </w:trPr>
        <w:tc>
          <w:tcPr>
            <w:tcW w:w="1276" w:type="dxa"/>
          </w:tcPr>
          <w:p>
            <w:pPr>
              <w:pStyle w:val="yTableNAm"/>
            </w:pPr>
            <w:r>
              <w:t>s. 60</w:t>
            </w:r>
          </w:p>
        </w:tc>
        <w:tc>
          <w:tcPr>
            <w:tcW w:w="5528" w:type="dxa"/>
          </w:tcPr>
          <w:p>
            <w:pPr>
              <w:pStyle w:val="yTableNAm"/>
            </w:pPr>
            <w:r>
              <w:t>Reckless driving</w:t>
            </w:r>
          </w:p>
        </w:tc>
      </w:tr>
      <w:tr>
        <w:trPr>
          <w:cantSplit/>
        </w:trPr>
        <w:tc>
          <w:tcPr>
            <w:tcW w:w="1276" w:type="dxa"/>
          </w:tcPr>
          <w:p>
            <w:pPr>
              <w:pStyle w:val="yTableNAm"/>
            </w:pPr>
            <w:r>
              <w:t>s. 61</w:t>
            </w:r>
          </w:p>
        </w:tc>
        <w:tc>
          <w:tcPr>
            <w:tcW w:w="5528" w:type="dxa"/>
          </w:tcPr>
          <w:p>
            <w:pPr>
              <w:pStyle w:val="yTableNAm"/>
            </w:pPr>
            <w:r>
              <w:t>Dangerous driving</w:t>
            </w:r>
          </w:p>
        </w:tc>
      </w:tr>
      <w:tr>
        <w:trPr>
          <w:cantSplit/>
        </w:trPr>
        <w:tc>
          <w:tcPr>
            <w:tcW w:w="1276" w:type="dxa"/>
          </w:tcPr>
          <w:p>
            <w:pPr>
              <w:pStyle w:val="yTableNAm"/>
            </w:pPr>
            <w:r>
              <w:t>s. 62</w:t>
            </w:r>
          </w:p>
        </w:tc>
        <w:tc>
          <w:tcPr>
            <w:tcW w:w="5528" w:type="dxa"/>
          </w:tcPr>
          <w:p>
            <w:pPr>
              <w:pStyle w:val="yTableNAm"/>
            </w:pPr>
            <w:r>
              <w:t>Careless driving</w:t>
            </w:r>
          </w:p>
        </w:tc>
      </w:tr>
      <w:tr>
        <w:trPr>
          <w:cantSplit/>
        </w:trPr>
        <w:tc>
          <w:tcPr>
            <w:tcW w:w="1276" w:type="dxa"/>
          </w:tcPr>
          <w:p>
            <w:pPr>
              <w:pStyle w:val="yTableNAm"/>
            </w:pPr>
            <w:r>
              <w:t>s. 62A</w:t>
            </w:r>
          </w:p>
        </w:tc>
        <w:tc>
          <w:tcPr>
            <w:tcW w:w="5528" w:type="dxa"/>
          </w:tcPr>
          <w:p>
            <w:pPr>
              <w:pStyle w:val="yTableNAm"/>
            </w:pPr>
            <w:r>
              <w:t>Causing excessive noise, smoke</w:t>
            </w:r>
          </w:p>
        </w:tc>
      </w:tr>
      <w:tr>
        <w:trPr>
          <w:cantSplit/>
        </w:trPr>
        <w:tc>
          <w:tcPr>
            <w:tcW w:w="1276" w:type="dxa"/>
          </w:tcPr>
          <w:p>
            <w:pPr>
              <w:pStyle w:val="yTableNAm"/>
            </w:pPr>
            <w:r>
              <w:t>s. 63</w:t>
            </w:r>
          </w:p>
        </w:tc>
        <w:tc>
          <w:tcPr>
            <w:tcW w:w="5528" w:type="dxa"/>
          </w:tcPr>
          <w:p>
            <w:pPr>
              <w:pStyle w:val="yTableNAm"/>
            </w:pPr>
            <w:r>
              <w:t>Driving under the influence of alcohol etc.</w:t>
            </w:r>
          </w:p>
        </w:tc>
      </w:tr>
      <w:tr>
        <w:trPr>
          <w:cantSplit/>
        </w:trPr>
        <w:tc>
          <w:tcPr>
            <w:tcW w:w="1276" w:type="dxa"/>
          </w:tcPr>
          <w:p>
            <w:pPr>
              <w:pStyle w:val="yTableNAm"/>
            </w:pPr>
            <w:r>
              <w:t>s. 64</w:t>
            </w:r>
          </w:p>
        </w:tc>
        <w:tc>
          <w:tcPr>
            <w:tcW w:w="5528" w:type="dxa"/>
          </w:tcPr>
          <w:p>
            <w:pPr>
              <w:pStyle w:val="yTableNAm"/>
            </w:pPr>
            <w:r>
              <w:t>Driving with blood alcohol content of or above 0.08</w:t>
            </w:r>
          </w:p>
        </w:tc>
      </w:tr>
      <w:tr>
        <w:trPr>
          <w:cantSplit/>
        </w:trPr>
        <w:tc>
          <w:tcPr>
            <w:tcW w:w="1276" w:type="dxa"/>
          </w:tcPr>
          <w:p>
            <w:pPr>
              <w:pStyle w:val="yTableNAm"/>
            </w:pPr>
            <w:r>
              <w:t>s. 64AA</w:t>
            </w:r>
          </w:p>
        </w:tc>
        <w:tc>
          <w:tcPr>
            <w:tcW w:w="5528" w:type="dxa"/>
          </w:tcPr>
          <w:p>
            <w:pPr>
              <w:pStyle w:val="yTableNAm"/>
            </w:pPr>
            <w:r>
              <w:t>Driving with blood alcohol content of or above 0.05</w:t>
            </w:r>
          </w:p>
        </w:tc>
      </w:tr>
      <w:tr>
        <w:trPr>
          <w:cantSplit/>
        </w:trPr>
        <w:tc>
          <w:tcPr>
            <w:tcW w:w="1276" w:type="dxa"/>
            <w:tcBorders>
              <w:top w:val="single" w:sz="4" w:space="0" w:color="auto"/>
              <w:left w:val="single" w:sz="4" w:space="0" w:color="auto"/>
              <w:bottom w:val="single" w:sz="4" w:space="0" w:color="auto"/>
              <w:right w:val="single" w:sz="4" w:space="0" w:color="auto"/>
            </w:tcBorders>
          </w:tcPr>
          <w:p>
            <w:pPr>
              <w:pStyle w:val="yTableNAm"/>
            </w:pPr>
            <w:r>
              <w:t>s. 64B(1)</w:t>
            </w:r>
          </w:p>
        </w:tc>
        <w:tc>
          <w:tcPr>
            <w:tcW w:w="5528" w:type="dxa"/>
            <w:tcBorders>
              <w:top w:val="single" w:sz="4" w:space="0" w:color="auto"/>
              <w:left w:val="single" w:sz="4" w:space="0" w:color="auto"/>
              <w:bottom w:val="single" w:sz="4" w:space="0" w:color="auto"/>
              <w:right w:val="single" w:sz="4" w:space="0" w:color="auto"/>
            </w:tcBorders>
          </w:tcPr>
          <w:p>
            <w:pPr>
              <w:pStyle w:val="yTableNAm"/>
            </w:pPr>
            <w:r>
              <w:t>Driving with blood alcohol content of or above 0.05 with prescribed illicit drug in oral fluid or blood</w:t>
            </w:r>
          </w:p>
        </w:tc>
      </w:tr>
      <w:tr>
        <w:trPr>
          <w:cantSplit/>
        </w:trPr>
        <w:tc>
          <w:tcPr>
            <w:tcW w:w="1276" w:type="dxa"/>
            <w:tcBorders>
              <w:top w:val="single" w:sz="4" w:space="0" w:color="auto"/>
              <w:left w:val="single" w:sz="4" w:space="0" w:color="auto"/>
              <w:bottom w:val="single" w:sz="4" w:space="0" w:color="auto"/>
              <w:right w:val="single" w:sz="4" w:space="0" w:color="auto"/>
            </w:tcBorders>
          </w:tcPr>
          <w:p>
            <w:pPr>
              <w:pStyle w:val="yTableNAm"/>
            </w:pPr>
            <w:r>
              <w:t>s. 64B(3)</w:t>
            </w:r>
          </w:p>
        </w:tc>
        <w:tc>
          <w:tcPr>
            <w:tcW w:w="5528" w:type="dxa"/>
            <w:tcBorders>
              <w:top w:val="single" w:sz="4" w:space="0" w:color="auto"/>
              <w:left w:val="single" w:sz="4" w:space="0" w:color="auto"/>
              <w:bottom w:val="single" w:sz="4" w:space="0" w:color="auto"/>
              <w:right w:val="single" w:sz="4" w:space="0" w:color="auto"/>
            </w:tcBorders>
          </w:tcPr>
          <w:p>
            <w:pPr>
              <w:pStyle w:val="yTableNAm"/>
            </w:pPr>
            <w:r>
              <w:t>Driving with blood alcohol content of or above 0.08 with prescribed illicit drug in oral fluid or blood</w:t>
            </w:r>
          </w:p>
        </w:tc>
      </w:tr>
      <w:tr>
        <w:trPr>
          <w:cantSplit/>
        </w:trPr>
        <w:tc>
          <w:tcPr>
            <w:tcW w:w="1276" w:type="dxa"/>
            <w:tcBorders>
              <w:top w:val="single" w:sz="4" w:space="0" w:color="auto"/>
              <w:left w:val="single" w:sz="4" w:space="0" w:color="auto"/>
              <w:bottom w:val="single" w:sz="4" w:space="0" w:color="auto"/>
              <w:right w:val="single" w:sz="4" w:space="0" w:color="auto"/>
            </w:tcBorders>
          </w:tcPr>
          <w:p>
            <w:pPr>
              <w:pStyle w:val="yTableNAm"/>
            </w:pPr>
            <w:r>
              <w:lastRenderedPageBreak/>
              <w:t>s. 67AD(2)</w:t>
            </w:r>
          </w:p>
        </w:tc>
        <w:tc>
          <w:tcPr>
            <w:tcW w:w="5528" w:type="dxa"/>
            <w:tcBorders>
              <w:top w:val="single" w:sz="4" w:space="0" w:color="auto"/>
              <w:left w:val="single" w:sz="4" w:space="0" w:color="auto"/>
              <w:bottom w:val="single" w:sz="4" w:space="0" w:color="auto"/>
              <w:right w:val="single" w:sz="4" w:space="0" w:color="auto"/>
            </w:tcBorders>
          </w:tcPr>
          <w:p>
            <w:pPr>
              <w:pStyle w:val="yTableNAm"/>
            </w:pPr>
            <w:r>
              <w:t>Failure to comply with drug test requirement for persons with blood alcohol content of or above 0.05</w:t>
            </w:r>
          </w:p>
        </w:tc>
      </w:tr>
      <w:tr>
        <w:trPr>
          <w:cantSplit/>
        </w:trPr>
        <w:tc>
          <w:tcPr>
            <w:tcW w:w="1276" w:type="dxa"/>
            <w:tcBorders>
              <w:top w:val="single" w:sz="4" w:space="0" w:color="auto"/>
              <w:left w:val="single" w:sz="4" w:space="0" w:color="auto"/>
              <w:bottom w:val="single" w:sz="4" w:space="0" w:color="auto"/>
              <w:right w:val="single" w:sz="4" w:space="0" w:color="auto"/>
            </w:tcBorders>
          </w:tcPr>
          <w:p>
            <w:pPr>
              <w:pStyle w:val="yTableNAm"/>
            </w:pPr>
            <w:r>
              <w:t>s. 67AD(4)</w:t>
            </w:r>
          </w:p>
        </w:tc>
        <w:tc>
          <w:tcPr>
            <w:tcW w:w="5528" w:type="dxa"/>
            <w:tcBorders>
              <w:top w:val="single" w:sz="4" w:space="0" w:color="auto"/>
              <w:left w:val="single" w:sz="4" w:space="0" w:color="auto"/>
              <w:bottom w:val="single" w:sz="4" w:space="0" w:color="auto"/>
              <w:right w:val="single" w:sz="4" w:space="0" w:color="auto"/>
            </w:tcBorders>
          </w:tcPr>
          <w:p>
            <w:pPr>
              <w:pStyle w:val="yTableNAm"/>
            </w:pPr>
            <w:r>
              <w:t>Failure to comply with drug test requirement for persons with blood alcohol content of or above 0.08</w:t>
            </w:r>
          </w:p>
        </w:tc>
      </w:tr>
      <w:tr>
        <w:trPr>
          <w:cantSplit/>
        </w:trPr>
        <w:tc>
          <w:tcPr>
            <w:tcW w:w="1276" w:type="dxa"/>
            <w:tcBorders>
              <w:top w:val="single" w:sz="4" w:space="0" w:color="auto"/>
              <w:left w:val="single" w:sz="4" w:space="0" w:color="auto"/>
              <w:bottom w:val="single" w:sz="4" w:space="0" w:color="auto"/>
              <w:right w:val="single" w:sz="4" w:space="0" w:color="auto"/>
            </w:tcBorders>
          </w:tcPr>
          <w:p>
            <w:pPr>
              <w:pStyle w:val="yTableNAm"/>
            </w:pPr>
            <w:r>
              <w:t>s. 67AD(6)</w:t>
            </w:r>
          </w:p>
        </w:tc>
        <w:tc>
          <w:tcPr>
            <w:tcW w:w="5528" w:type="dxa"/>
            <w:tcBorders>
              <w:top w:val="single" w:sz="4" w:space="0" w:color="auto"/>
              <w:left w:val="single" w:sz="4" w:space="0" w:color="auto"/>
              <w:bottom w:val="single" w:sz="4" w:space="0" w:color="auto"/>
              <w:right w:val="single" w:sz="4" w:space="0" w:color="auto"/>
            </w:tcBorders>
          </w:tcPr>
          <w:p>
            <w:pPr>
              <w:pStyle w:val="yTableNAm"/>
            </w:pPr>
            <w:r>
              <w:t>Failure to comply with drug test requirement for persons with blood alcohol content of or above 0.15</w:t>
            </w:r>
          </w:p>
        </w:tc>
      </w:tr>
    </w:tbl>
    <w:p>
      <w:pPr>
        <w:pStyle w:val="ySubsection"/>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5528"/>
      </w:tblGrid>
      <w:tr>
        <w:trPr>
          <w:cantSplit/>
          <w:tblHeader/>
        </w:trPr>
        <w:tc>
          <w:tcPr>
            <w:tcW w:w="6804" w:type="dxa"/>
            <w:gridSpan w:val="2"/>
          </w:tcPr>
          <w:p>
            <w:pPr>
              <w:pStyle w:val="yTableNAm"/>
              <w:jc w:val="center"/>
              <w:rPr>
                <w:b/>
                <w:bCs/>
                <w:iCs/>
              </w:rPr>
            </w:pPr>
            <w:r>
              <w:rPr>
                <w:b/>
                <w:bCs/>
                <w:i/>
                <w:iCs/>
              </w:rPr>
              <w:t>Weapons Act 1999</w:t>
            </w:r>
          </w:p>
        </w:tc>
      </w:tr>
      <w:tr>
        <w:trPr>
          <w:cantSplit/>
          <w:tblHeader/>
        </w:trPr>
        <w:tc>
          <w:tcPr>
            <w:tcW w:w="1276" w:type="dxa"/>
          </w:tcPr>
          <w:p>
            <w:pPr>
              <w:pStyle w:val="yTableNAm"/>
              <w:rPr>
                <w:b/>
                <w:bCs/>
              </w:rPr>
            </w:pPr>
            <w:r>
              <w:rPr>
                <w:b/>
                <w:bCs/>
              </w:rPr>
              <w:t>Provision</w:t>
            </w:r>
          </w:p>
        </w:tc>
        <w:tc>
          <w:tcPr>
            <w:tcW w:w="5528" w:type="dxa"/>
          </w:tcPr>
          <w:p>
            <w:pPr>
              <w:pStyle w:val="yTableNAm"/>
              <w:rPr>
                <w:b/>
                <w:bCs/>
              </w:rPr>
            </w:pPr>
            <w:r>
              <w:rPr>
                <w:b/>
                <w:bCs/>
              </w:rPr>
              <w:t>Description of offence</w:t>
            </w:r>
          </w:p>
        </w:tc>
      </w:tr>
      <w:tr>
        <w:trPr>
          <w:cantSplit/>
        </w:trPr>
        <w:tc>
          <w:tcPr>
            <w:tcW w:w="1276" w:type="dxa"/>
          </w:tcPr>
          <w:p>
            <w:pPr>
              <w:pStyle w:val="yTableNAm"/>
            </w:pPr>
            <w:r>
              <w:t>s. 6</w:t>
            </w:r>
          </w:p>
        </w:tc>
        <w:tc>
          <w:tcPr>
            <w:tcW w:w="5528" w:type="dxa"/>
          </w:tcPr>
          <w:p>
            <w:pPr>
              <w:pStyle w:val="yTableNAm"/>
            </w:pPr>
            <w:r>
              <w:t>Prohibited weapons</w:t>
            </w:r>
          </w:p>
        </w:tc>
      </w:tr>
      <w:tr>
        <w:trPr>
          <w:cantSplit/>
        </w:trPr>
        <w:tc>
          <w:tcPr>
            <w:tcW w:w="1276" w:type="dxa"/>
          </w:tcPr>
          <w:p>
            <w:pPr>
              <w:pStyle w:val="yTableNAm"/>
            </w:pPr>
            <w:r>
              <w:t>s. 6A</w:t>
            </w:r>
          </w:p>
        </w:tc>
        <w:tc>
          <w:tcPr>
            <w:tcW w:w="5528" w:type="dxa"/>
          </w:tcPr>
          <w:p>
            <w:pPr>
              <w:pStyle w:val="yTableNAm"/>
            </w:pPr>
            <w:r>
              <w:t>Edged weapons</w:t>
            </w:r>
          </w:p>
        </w:tc>
      </w:tr>
      <w:tr>
        <w:trPr>
          <w:cantSplit/>
        </w:trPr>
        <w:tc>
          <w:tcPr>
            <w:tcW w:w="1276" w:type="dxa"/>
          </w:tcPr>
          <w:p>
            <w:pPr>
              <w:pStyle w:val="yTableNAm"/>
            </w:pPr>
            <w:r>
              <w:t>s. 7</w:t>
            </w:r>
          </w:p>
        </w:tc>
        <w:tc>
          <w:tcPr>
            <w:tcW w:w="5528" w:type="dxa"/>
          </w:tcPr>
          <w:p>
            <w:pPr>
              <w:pStyle w:val="yTableNAm"/>
            </w:pPr>
            <w:r>
              <w:t>Controlled weapons</w:t>
            </w:r>
          </w:p>
        </w:tc>
      </w:tr>
      <w:tr>
        <w:trPr>
          <w:cantSplit/>
        </w:trPr>
        <w:tc>
          <w:tcPr>
            <w:tcW w:w="1276" w:type="dxa"/>
          </w:tcPr>
          <w:p>
            <w:pPr>
              <w:pStyle w:val="yTableNAm"/>
            </w:pPr>
            <w:r>
              <w:t>s. 8</w:t>
            </w:r>
          </w:p>
        </w:tc>
        <w:tc>
          <w:tcPr>
            <w:tcW w:w="5528" w:type="dxa"/>
          </w:tcPr>
          <w:p>
            <w:pPr>
              <w:pStyle w:val="yTableNAm"/>
            </w:pPr>
            <w:r>
              <w:t>Other articles carried or possessed as weapons</w:t>
            </w:r>
          </w:p>
        </w:tc>
      </w:tr>
    </w:tbl>
    <w:p>
      <w:pPr>
        <w:pStyle w:val="yFootnotesection"/>
      </w:pPr>
      <w:r>
        <w:tab/>
        <w:t>[Schedule 1 amended: SL 2021/56 r. 7; SL 2024/146 r. 4; SL 2024/280 r. 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15" w:name="_Toc185426281"/>
      <w:bookmarkStart w:id="16" w:name="_Toc185426728"/>
      <w:bookmarkStart w:id="17" w:name="_Toc185429652"/>
      <w:r>
        <w:lastRenderedPageBreak/>
        <w:t>Notes</w:t>
      </w:r>
      <w:bookmarkEnd w:id="15"/>
      <w:bookmarkEnd w:id="16"/>
      <w:bookmarkEnd w:id="17"/>
    </w:p>
    <w:p>
      <w:pPr>
        <w:pStyle w:val="nStatement"/>
      </w:pPr>
      <w:r>
        <w:t xml:space="preserve">This is a compilation of the </w:t>
      </w:r>
      <w:r>
        <w:rPr>
          <w:i/>
          <w:noProof/>
        </w:rPr>
        <w:t>Prohibited Behaviour Orders Regulations 2011</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8" w:name="_Toc185429653"/>
      <w:r>
        <w:t>Compilation table</w:t>
      </w:r>
      <w:bookmarkEnd w:id="1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i/>
              </w:rPr>
            </w:pPr>
            <w:r>
              <w:rPr>
                <w:i/>
              </w:rPr>
              <w:t>Prohibited Behaviour Orders Regulations 2011</w:t>
            </w:r>
          </w:p>
        </w:tc>
        <w:tc>
          <w:tcPr>
            <w:tcW w:w="1276" w:type="dxa"/>
            <w:tcBorders>
              <w:bottom w:val="nil"/>
            </w:tcBorders>
          </w:tcPr>
          <w:p>
            <w:pPr>
              <w:pStyle w:val="nTable"/>
              <w:spacing w:after="40"/>
            </w:pPr>
            <w:r>
              <w:t>23 Feb 2011 p. 635-48</w:t>
            </w:r>
          </w:p>
        </w:tc>
        <w:tc>
          <w:tcPr>
            <w:tcW w:w="2693" w:type="dxa"/>
            <w:tcBorders>
              <w:bottom w:val="nil"/>
            </w:tcBorders>
          </w:tcPr>
          <w:p>
            <w:pPr>
              <w:pStyle w:val="nTable"/>
              <w:spacing w:after="40"/>
            </w:pPr>
            <w:r>
              <w:t>r. 1 and 2: 23 Feb 2011 (see r. 2(a));</w:t>
            </w:r>
          </w:p>
          <w:p>
            <w:pPr>
              <w:pStyle w:val="nTable"/>
              <w:spacing w:before="0" w:after="40"/>
            </w:pPr>
            <w:r>
              <w:t xml:space="preserve">Regulations other than r. 1 and 2: 23 Feb 2011 (see r. 2(b) and </w:t>
            </w:r>
            <w:r>
              <w:rPr>
                <w:i/>
              </w:rPr>
              <w:t>Gazette</w:t>
            </w:r>
            <w:r>
              <w:t xml:space="preserve"> 23 Feb 2011 p. 633)</w:t>
            </w:r>
          </w:p>
        </w:tc>
      </w:tr>
      <w:tr>
        <w:tc>
          <w:tcPr>
            <w:tcW w:w="3118" w:type="dxa"/>
            <w:tcBorders>
              <w:top w:val="nil"/>
              <w:bottom w:val="nil"/>
            </w:tcBorders>
          </w:tcPr>
          <w:p>
            <w:pPr>
              <w:pStyle w:val="nTable"/>
              <w:spacing w:after="40"/>
              <w:rPr>
                <w:i/>
              </w:rPr>
            </w:pPr>
            <w:r>
              <w:rPr>
                <w:i/>
              </w:rPr>
              <w:t>Prohibited Behaviour Orders Amendment Regulations 2011</w:t>
            </w:r>
          </w:p>
        </w:tc>
        <w:tc>
          <w:tcPr>
            <w:tcW w:w="1276" w:type="dxa"/>
            <w:tcBorders>
              <w:top w:val="nil"/>
              <w:bottom w:val="nil"/>
            </w:tcBorders>
          </w:tcPr>
          <w:p>
            <w:pPr>
              <w:pStyle w:val="nTable"/>
              <w:spacing w:after="40"/>
            </w:pPr>
            <w:r>
              <w:t>1 Jul 2011 p. 2725</w:t>
            </w:r>
            <w:r>
              <w:noBreakHyphen/>
              <w:t>6</w:t>
            </w:r>
          </w:p>
        </w:tc>
        <w:tc>
          <w:tcPr>
            <w:tcW w:w="2693" w:type="dxa"/>
            <w:tcBorders>
              <w:top w:val="nil"/>
              <w:bottom w:val="nil"/>
            </w:tcBorders>
          </w:tcPr>
          <w:p>
            <w:pPr>
              <w:pStyle w:val="nTable"/>
              <w:spacing w:after="40"/>
            </w:pPr>
            <w:r>
              <w:rPr>
                <w:snapToGrid w:val="0"/>
                <w:spacing w:val="-2"/>
              </w:rPr>
              <w:t>r. 1 and 2: 1 Jul 2011 (see r. 2(a));</w:t>
            </w:r>
            <w:r>
              <w:rPr>
                <w:snapToGrid w:val="0"/>
                <w:spacing w:val="-2"/>
              </w:rPr>
              <w:br/>
              <w:t>Regulations other than r. 1 and 2: 2 Jul 2011 (see r. 2(b))</w:t>
            </w:r>
          </w:p>
        </w:tc>
      </w:tr>
      <w:tr>
        <w:tc>
          <w:tcPr>
            <w:tcW w:w="3118" w:type="dxa"/>
            <w:tcBorders>
              <w:top w:val="nil"/>
              <w:bottom w:val="nil"/>
            </w:tcBorders>
          </w:tcPr>
          <w:p>
            <w:pPr>
              <w:pStyle w:val="nTable"/>
              <w:spacing w:after="40"/>
              <w:rPr>
                <w:i/>
              </w:rPr>
            </w:pPr>
            <w:r>
              <w:rPr>
                <w:i/>
              </w:rPr>
              <w:t>Attorney General Regulations Amendment (Road Traffic) Regulations 2021</w:t>
            </w:r>
            <w:r>
              <w:t xml:space="preserve"> Pt. 3</w:t>
            </w:r>
          </w:p>
        </w:tc>
        <w:tc>
          <w:tcPr>
            <w:tcW w:w="1276" w:type="dxa"/>
            <w:tcBorders>
              <w:top w:val="nil"/>
              <w:bottom w:val="nil"/>
            </w:tcBorders>
          </w:tcPr>
          <w:p>
            <w:pPr>
              <w:pStyle w:val="nTable"/>
              <w:spacing w:after="40"/>
            </w:pPr>
            <w:r>
              <w:t>SL 2021/56 21 May 2021</w:t>
            </w:r>
          </w:p>
        </w:tc>
        <w:tc>
          <w:tcPr>
            <w:tcW w:w="2693" w:type="dxa"/>
            <w:tcBorders>
              <w:top w:val="nil"/>
              <w:bottom w:val="nil"/>
            </w:tcBorders>
          </w:tcPr>
          <w:p>
            <w:pPr>
              <w:pStyle w:val="nTable"/>
              <w:spacing w:after="40"/>
              <w:rPr>
                <w:snapToGrid w:val="0"/>
                <w:spacing w:val="-2"/>
              </w:rPr>
            </w:pPr>
            <w:r>
              <w:t>1 Jul 2021 (see r. 2(b) and SL 2021/54 cl. 2(a))</w:t>
            </w:r>
          </w:p>
        </w:tc>
      </w:tr>
      <w:tr>
        <w:tc>
          <w:tcPr>
            <w:tcW w:w="3118" w:type="dxa"/>
            <w:tcBorders>
              <w:top w:val="nil"/>
              <w:bottom w:val="nil"/>
            </w:tcBorders>
          </w:tcPr>
          <w:p>
            <w:pPr>
              <w:pStyle w:val="nTable"/>
              <w:spacing w:after="40"/>
            </w:pPr>
            <w:r>
              <w:rPr>
                <w:i/>
              </w:rPr>
              <w:t xml:space="preserve">Attorney General Regulations Amendment (Firearms) Regulations 2022 </w:t>
            </w:r>
            <w:r>
              <w:t>Pt. 2</w:t>
            </w:r>
          </w:p>
        </w:tc>
        <w:tc>
          <w:tcPr>
            <w:tcW w:w="1276" w:type="dxa"/>
            <w:tcBorders>
              <w:top w:val="nil"/>
              <w:bottom w:val="nil"/>
            </w:tcBorders>
          </w:tcPr>
          <w:p>
            <w:pPr>
              <w:pStyle w:val="nTable"/>
              <w:spacing w:after="40"/>
            </w:pPr>
            <w:r>
              <w:t>SL 2022/189 18 Nov 2022</w:t>
            </w:r>
          </w:p>
        </w:tc>
        <w:tc>
          <w:tcPr>
            <w:tcW w:w="2693" w:type="dxa"/>
            <w:tcBorders>
              <w:top w:val="nil"/>
              <w:bottom w:val="nil"/>
            </w:tcBorders>
          </w:tcPr>
          <w:p>
            <w:pPr>
              <w:pStyle w:val="nTable"/>
              <w:spacing w:after="40"/>
            </w:pPr>
            <w:r>
              <w:t>19 Nov 2022 (see r. 2(b))</w:t>
            </w:r>
          </w:p>
        </w:tc>
      </w:tr>
      <w:tr>
        <w:tc>
          <w:tcPr>
            <w:tcW w:w="3118" w:type="dxa"/>
            <w:tcBorders>
              <w:top w:val="nil"/>
              <w:bottom w:val="nil"/>
            </w:tcBorders>
          </w:tcPr>
          <w:p>
            <w:pPr>
              <w:pStyle w:val="nTable"/>
              <w:spacing w:after="40"/>
              <w:rPr>
                <w:i/>
              </w:rPr>
            </w:pPr>
            <w:r>
              <w:rPr>
                <w:i/>
              </w:rPr>
              <w:t>Prohibited Behaviour Orders Amendment Regulations 2024</w:t>
            </w:r>
          </w:p>
        </w:tc>
        <w:tc>
          <w:tcPr>
            <w:tcW w:w="1276" w:type="dxa"/>
            <w:tcBorders>
              <w:top w:val="nil"/>
              <w:bottom w:val="nil"/>
            </w:tcBorders>
          </w:tcPr>
          <w:p>
            <w:pPr>
              <w:pStyle w:val="nTable"/>
              <w:spacing w:after="40"/>
            </w:pPr>
            <w:r>
              <w:t>SL 2024/146 10 Jul 2024</w:t>
            </w:r>
          </w:p>
        </w:tc>
        <w:tc>
          <w:tcPr>
            <w:tcW w:w="2693" w:type="dxa"/>
            <w:tcBorders>
              <w:top w:val="nil"/>
              <w:bottom w:val="nil"/>
            </w:tcBorders>
          </w:tcPr>
          <w:p>
            <w:pPr>
              <w:pStyle w:val="nTable"/>
              <w:spacing w:after="40"/>
            </w:pPr>
            <w:r>
              <w:t>r. 1 and 2: 10 Jul 2024 (see r. 2(a));</w:t>
            </w:r>
            <w:r>
              <w:br/>
              <w:t>Regulations other than r. 1 and 2: 15 Jul 2024 (see r. 2(b))</w:t>
            </w:r>
          </w:p>
        </w:tc>
      </w:tr>
      <w:tr>
        <w:tc>
          <w:tcPr>
            <w:tcW w:w="3118" w:type="dxa"/>
            <w:tcBorders>
              <w:top w:val="nil"/>
              <w:bottom w:val="single" w:sz="4" w:space="0" w:color="auto"/>
            </w:tcBorders>
          </w:tcPr>
          <w:p>
            <w:pPr>
              <w:pStyle w:val="nTable"/>
              <w:spacing w:after="40"/>
              <w:rPr>
                <w:i/>
              </w:rPr>
            </w:pPr>
            <w:r>
              <w:rPr>
                <w:i/>
              </w:rPr>
              <w:t>Prohibited Behaviour Orders Amendment Regulations (No. 2) 2024</w:t>
            </w:r>
          </w:p>
        </w:tc>
        <w:tc>
          <w:tcPr>
            <w:tcW w:w="1276" w:type="dxa"/>
            <w:tcBorders>
              <w:top w:val="nil"/>
              <w:bottom w:val="single" w:sz="4" w:space="0" w:color="auto"/>
            </w:tcBorders>
          </w:tcPr>
          <w:p>
            <w:pPr>
              <w:pStyle w:val="nTable"/>
              <w:spacing w:after="40"/>
            </w:pPr>
            <w:r>
              <w:t>SL 2024/280 18 Dec 2024</w:t>
            </w:r>
          </w:p>
        </w:tc>
        <w:tc>
          <w:tcPr>
            <w:tcW w:w="2693" w:type="dxa"/>
            <w:tcBorders>
              <w:top w:val="nil"/>
              <w:bottom w:val="single" w:sz="4" w:space="0" w:color="auto"/>
            </w:tcBorders>
          </w:tcPr>
          <w:p>
            <w:pPr>
              <w:pStyle w:val="nTable"/>
              <w:spacing w:after="40"/>
            </w:pPr>
            <w:r>
              <w:t>r. 1 and 2: 18 Dec 2024 (see r. 2(a));</w:t>
            </w:r>
            <w:r>
              <w:br/>
              <w:t>Regulations other than r. 1 and 2: 20 Dec 2024 (see r. 2(b))</w:t>
            </w:r>
          </w:p>
        </w:tc>
      </w:tr>
    </w:tbl>
    <w:p>
      <w:pPr>
        <w:pStyle w:val="nHeading3"/>
      </w:pPr>
      <w:bookmarkStart w:id="19" w:name="_Toc185429654"/>
      <w:r>
        <w:t>Uncommenced provisions table</w:t>
      </w:r>
      <w:bookmarkEnd w:id="19"/>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Attorney General Regulations Amendment (Firearms) Regulations 2024</w:t>
            </w:r>
            <w:r>
              <w:rPr>
                <w:iCs/>
              </w:rPr>
              <w:t xml:space="preserve"> Pt. 2</w:t>
            </w:r>
          </w:p>
        </w:tc>
        <w:tc>
          <w:tcPr>
            <w:tcW w:w="1276" w:type="dxa"/>
          </w:tcPr>
          <w:p>
            <w:pPr>
              <w:pStyle w:val="nTable"/>
              <w:spacing w:after="40"/>
            </w:pPr>
            <w:r>
              <w:t>SL 2024/300 21 Dec 2024</w:t>
            </w:r>
          </w:p>
        </w:tc>
        <w:tc>
          <w:tcPr>
            <w:tcW w:w="2693" w:type="dxa"/>
          </w:tcPr>
          <w:p>
            <w:pPr>
              <w:pStyle w:val="nTable"/>
              <w:spacing w:after="40"/>
            </w:pPr>
            <w:r>
              <w:t>31 Mar 2025 (see r. 2(b) and SL 2024/289 cl. 2)</w:t>
            </w:r>
          </w:p>
        </w:tc>
      </w:tr>
    </w:tbl>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21" w:name="_Toc185426283"/>
      <w:bookmarkStart w:id="22" w:name="_Toc185426731"/>
      <w:bookmarkStart w:id="23" w:name="_Toc185429655"/>
      <w:r>
        <w:rPr>
          <w:sz w:val="28"/>
        </w:rPr>
        <w:lastRenderedPageBreak/>
        <w:t>Defined terms</w:t>
      </w:r>
      <w:bookmarkEnd w:id="21"/>
      <w:bookmarkEnd w:id="22"/>
      <w:bookmarkEnd w:id="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CEO</w:t>
      </w:r>
      <w:r>
        <w:tab/>
        <w:t>8(1)</w:t>
      </w:r>
    </w:p>
    <w:p>
      <w:pPr>
        <w:pStyle w:val="DefinedTerms"/>
      </w:pPr>
      <w:r>
        <w:t>co</w:t>
      </w:r>
      <w:r>
        <w:noBreakHyphen/>
        <w:t>licensee</w:t>
      </w:r>
      <w:r>
        <w:tab/>
        <w:t>3</w:t>
      </w:r>
    </w:p>
    <w:p>
      <w:pPr>
        <w:pStyle w:val="DefinedTerms"/>
      </w:pPr>
      <w:r>
        <w:t>Commissioner</w:t>
      </w:r>
      <w:r>
        <w:tab/>
        <w:t>3</w:t>
      </w:r>
    </w:p>
    <w:p>
      <w:pPr>
        <w:pStyle w:val="DefinedTerms"/>
      </w:pPr>
      <w:r>
        <w:t>prescribed period</w:t>
      </w:r>
      <w:r>
        <w:tab/>
        <w:t>5(1)</w:t>
      </w:r>
    </w:p>
    <w:p>
      <w:pPr>
        <w:pStyle w:val="DefinedTerms"/>
      </w:pPr>
      <w:r>
        <w:t>section</w:t>
      </w:r>
      <w:r>
        <w:tab/>
        <w:t>3</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DFB33E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42F2684" w14:textId="5366C509" w:rsidR="00B910CC" w:rsidRDefault="00BA61F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70E27">
                        <w:rPr>
                          <w:sz w:val="16"/>
                        </w:rPr>
                        <w:t>2024</w:t>
                      </w:r>
                      <w:r>
                        <w:rPr>
                          <w:sz w:val="16"/>
                        </w:rPr>
                        <w:fldChar w:fldCharType="end"/>
                      </w:r>
                      <w:r>
                        <w:rPr>
                          <w:sz w:val="16"/>
                        </w:rPr>
                        <w:t>.</w:t>
                      </w:r>
                    </w:p>
                    <w:p w14:paraId="0FE5551F" w14:textId="77777777" w:rsidR="00B910CC" w:rsidRDefault="00BA61F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BFF3E75" w14:textId="405C43E9" w:rsidR="00B910CC" w:rsidRDefault="00BA61F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70E27">
                        <w:rPr>
                          <w:sz w:val="16"/>
                        </w:rPr>
                        <w:t>2024</w:t>
                      </w:r>
                      <w:r>
                        <w:rPr>
                          <w:sz w:val="16"/>
                        </w:rPr>
                        <w:fldChar w:fldCharType="end"/>
                      </w:r>
                      <w:r>
                        <w:rPr>
                          <w:sz w:val="16"/>
                        </w:rPr>
                        <w:t>.</w:t>
                      </w:r>
                    </w:p>
                    <w:p w14:paraId="3A0BF12F" w14:textId="77777777" w:rsidR="00B910CC" w:rsidRDefault="00BA61F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Prohibited Behaviour Orders Regulations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Prohibited Behaviour Orders Regulations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Prohibited Behaviour Orders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Prohibited Behaviour Orders Regulations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Prohibited Behaviour Orders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Prohibited Behaviour Orders Regulations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 w:name="Schedule"/>
    <w:bookmarkEnd w:id="1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Prohibited Behaviour Orders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Prohibited Behaviour Orders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Prohibited Behaviour Orders Regulations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Prohibited Behaviour Orders Regulations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 w:name="DefinedTerms"/>
    <w:bookmarkEnd w:id="2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5" w:name="Coversheet"/>
    <w:bookmarkEnd w:id="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8145535"/>
    <w:docVar w:name="WAFER_20150715154158" w:val="ResetPageSize,UpdateArrangement,UpdateNTable"/>
    <w:docVar w:name="WAFER_20150715154158_GUID" w:val="a88be20b-ef49-4047-bf4a-e819d303b0c3"/>
    <w:docVar w:name="WAFER_20151109114314" w:val="UpdateStyles,UsedStyles"/>
    <w:docVar w:name="WAFER_20151109114314_GUID" w:val="3b01b30f-36b9-4254-8677-81e78a33a58f"/>
    <w:docVar w:name="WAFER_20170131121511" w:val="RemoveTocBookmarks,RemoveUnusedBookmarks,RemoveLanguageTags,UsedStyles,ResetPageSize"/>
    <w:docVar w:name="WAFER_20170131121511_GUID" w:val="73e5333a-d795-412f-878d-bddafbbe4d5b"/>
    <w:docVar w:name="WAFER_202105201032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20103251_GUID" w:val="6e3704ee-ee9c-47b1-a781-d78fb404a590"/>
    <w:docVar w:name="WAFER_202106250917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741_GUID" w:val="74c09a20-8d73-43a4-b3ba-c35bb550ba33"/>
    <w:docVar w:name="WAFER_202211161304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130415_GUID" w:val="51c38e57-39a3-4e34-a684-0f99e37509f2"/>
    <w:docVar w:name="WAFER_20240705104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705104143_GUID" w:val="c939812e-a312-41c3-bec0-1b31050578d9"/>
    <w:docVar w:name="WAFER_202412131101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3110122_GUID" w:val="9bbf63ea-47e8-444d-bd11-8d0d4045f712"/>
    <w:docVar w:name="WAFER_202412181455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45535_GUID" w:val="2d91c8de-cc59-474f-8b0f-b5eff933ce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AB00E5BA-A40A-4CDE-AE4A-208F02EA7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2215</Words>
  <Characters>10920</Characters>
  <Application>Microsoft Office Word</Application>
  <DocSecurity>0</DocSecurity>
  <Lines>474</Lines>
  <Paragraphs>386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Prohibited Behaviour Orders Regulations 2011 - 00-h0-00</dc:title>
  <dc:subject/>
  <dc:creator/>
  <cp:keywords/>
  <dc:description/>
  <cp:lastModifiedBy>Master Repository Process</cp:lastModifiedBy>
  <cp:revision>4</cp:revision>
  <cp:lastPrinted>2011-02-23T03:20:00Z</cp:lastPrinted>
  <dcterms:created xsi:type="dcterms:W3CDTF">2025-06-17T03:46:00Z</dcterms:created>
  <dcterms:modified xsi:type="dcterms:W3CDTF">2025-06-17T03:46:00Z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Feb 2011 p 635-48</vt:lpwstr>
  </property>
  <property fmtid="{D5CDD505-2E9C-101B-9397-08002B2CF9AE}" pid="3" name="DocumentType">
    <vt:lpwstr>Reg</vt:lpwstr>
  </property>
  <property fmtid="{D5CDD505-2E9C-101B-9397-08002B2CF9AE}" pid="4" name="AsAtDate">
    <vt:lpwstr>21 Dec 2024</vt:lpwstr>
  </property>
  <property fmtid="{D5CDD505-2E9C-101B-9397-08002B2CF9AE}" pid="5" name="Suffix">
    <vt:lpwstr>00-h0-00</vt:lpwstr>
  </property>
  <property fmtid="{D5CDD505-2E9C-101B-9397-08002B2CF9AE}" pid="6" name="Official">
    <vt:lpwstr/>
  </property>
  <property fmtid="{D5CDD505-2E9C-101B-9397-08002B2CF9AE}" pid="7" name="CommencementDate">
    <vt:lpwstr>20241221</vt:lpwstr>
  </property>
  <property fmtid="{D5CDD505-2E9C-101B-9397-08002B2CF9AE}" pid="8" name="CommencementAsAt">
    <vt:filetime>2024-12-20T16:00:00Z</vt:filetime>
  </property>
  <property fmtid="{D5CDD505-2E9C-101B-9397-08002B2CF9AE}" pid="9" name="CommencementYear">
    <vt:lpwstr>2024</vt:lpwstr>
  </property>
</Properties>
</file>