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6.xml" ContentType="application/vnd.openxmlformats-officedocument.wordprocessingml.header+xml"/>
  <Override PartName="/word/footer6.xml" ContentType="application/vnd.openxmlformats-officedocument.wordprocessingml.foot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header12.xml" ContentType="application/vnd.openxmlformats-officedocument.wordprocessingml.header+xml"/>
  <Override PartName="/word/footer9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>
      <w:pPr>
        <w:pStyle w:val="WA"/>
      </w:pPr>
      <w:r>
        <w:rPr>
          <w:noProof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1981200</wp:posOffset>
            </wp:positionH>
            <wp:positionV relativeFrom="paragraph">
              <wp:posOffset>-517525</wp:posOffset>
            </wp:positionV>
            <wp:extent cx="631190" cy="505460"/>
            <wp:effectExtent l="0" t="0" r="0" b="8890"/>
            <wp:wrapNone/>
            <wp:docPr id="66" name="Picture 66" descr="Cres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 descr="Crest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1190" cy="5054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>Western Australia</w:t>
      </w:r>
    </w:p>
    <w:p>
      <w:pPr>
        <w:pStyle w:val="PrincipalActRegPage1"/>
      </w:pPr>
      <w:r>
        <w:fldChar w:fldCharType="begin"/>
      </w:r>
      <w:r>
        <w:instrText xml:space="preserve"> STYLEREF "PrincipalAct_Reg"</w:instrText>
      </w:r>
      <w:r>
        <w:fldChar w:fldCharType="separate"/>
      </w:r>
      <w:r>
        <w:rPr>
          <w:noProof/>
        </w:rPr>
        <w:t>Therapeutic Goods Law Application Act 2024</w:t>
      </w:r>
      <w:r>
        <w:fldChar w:fldCharType="end"/>
      </w:r>
    </w:p>
    <w:p>
      <w:pPr>
        <w:pStyle w:val="NameofActRegPage1"/>
        <w:spacing w:before="1800" w:after="2000"/>
        <w:outlineLvl w:val="0"/>
      </w:pPr>
      <w:r>
        <w:fldChar w:fldCharType="begin"/>
      </w:r>
      <w:r>
        <w:instrText xml:space="preserve"> STYLEREF "Name Of Act/Reg"</w:instrText>
      </w:r>
      <w:r>
        <w:fldChar w:fldCharType="separate"/>
      </w:r>
      <w:r>
        <w:rPr>
          <w:noProof/>
        </w:rPr>
        <w:t>Therapeutic Goods (Legislative Instruments) Notice (No. 12) 2024</w:t>
      </w:r>
      <w:r>
        <w:fldChar w:fldCharType="end"/>
      </w:r>
    </w:p>
    <w:p/>
    <w:p>
      <w:pPr>
        <w:jc w:val="center"/>
        <w:sectPr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7" w:h="16840" w:code="9"/>
          <w:pgMar w:top="2376" w:right="2405" w:bottom="3542" w:left="2405" w:header="706" w:footer="3544" w:gutter="0"/>
          <w:pgNumType w:fmt="lowerRoman" w:start="1"/>
          <w:cols w:space="720"/>
          <w:noEndnote/>
          <w:titlePg/>
          <w:docGrid w:linePitch="326"/>
        </w:sectPr>
      </w:pPr>
    </w:p>
    <w:p>
      <w:pPr>
        <w:pStyle w:val="WA"/>
        <w:outlineLvl w:val="0"/>
      </w:pPr>
      <w:r>
        <w:lastRenderedPageBreak/>
        <w:t>Western Australia</w:t>
      </w:r>
    </w:p>
    <w:p>
      <w:pPr>
        <w:pStyle w:val="NameofActRegPage1"/>
      </w:pPr>
      <w:r>
        <w:fldChar w:fldCharType="begin"/>
      </w:r>
      <w:r>
        <w:instrText xml:space="preserve"> STYLEREF "Name Of Act/Reg"</w:instrText>
      </w:r>
      <w:r>
        <w:fldChar w:fldCharType="separate"/>
      </w:r>
      <w:r>
        <w:rPr>
          <w:noProof/>
        </w:rPr>
        <w:t>Therapeutic Goods (Legislative Instruments) Notice (No. 12) 2024</w:t>
      </w:r>
      <w:r>
        <w:fldChar w:fldCharType="end"/>
      </w:r>
    </w:p>
    <w:p>
      <w:pPr>
        <w:pStyle w:val="Arrangement"/>
      </w:pPr>
      <w:r>
        <w:t>Contents</w:t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fldChar w:fldCharType="begin"/>
      </w:r>
      <w:r>
        <w:instrText xml:space="preserve"> TOC \t "Heading 2,2,yScheduleHeading,2,yHeading 2,2,zHeading 2,3,zyScheduleHeading,3,zyHeading 2,3,Heading 3,4,yHeading 3,4,zHeading 3,5,zyHeading 3,5,Heading 4,6,yHeading 4,6,zHeading 4,7,zyHeading 4,7,Heading 5,8,yHeading 5,8,zHeading 5,9,zyHeading 5,9" \t "nHeading 2,2,nHeading 3,8" \n "2-7" \w \* MERGEFORMAT </w:instrText>
      </w:r>
      <w:r>
        <w:fldChar w:fldCharType="separate"/>
      </w:r>
      <w:r>
        <w:t>1.</w:t>
      </w:r>
      <w:r>
        <w:tab/>
        <w:t>Citation</w:t>
      </w:r>
      <w:r>
        <w:tab/>
      </w:r>
      <w:r>
        <w:fldChar w:fldCharType="begin"/>
      </w:r>
      <w:r>
        <w:instrText xml:space="preserve"> PAGEREF _Toc185582374 \h </w:instrText>
      </w:r>
      <w:r>
        <w:fldChar w:fldCharType="separate"/>
      </w:r>
      <w:r>
        <w:t>1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2.</w:t>
      </w:r>
      <w:r>
        <w:tab/>
        <w:t>Notice of publication</w:t>
      </w:r>
      <w:r>
        <w:tab/>
      </w:r>
      <w:r>
        <w:fldChar w:fldCharType="begin"/>
      </w:r>
      <w:r>
        <w:instrText xml:space="preserve"> PAGEREF _Toc185582375 \h </w:instrText>
      </w:r>
      <w:r>
        <w:fldChar w:fldCharType="separate"/>
      </w:r>
      <w:r>
        <w:t>1</w:t>
      </w:r>
      <w:r>
        <w:fldChar w:fldCharType="end"/>
      </w:r>
    </w:p>
    <w:p>
      <w:pPr>
        <w:pStyle w:val="NoteHeading"/>
      </w:pPr>
      <w:r>
        <w:fldChar w:fldCharType="end"/>
      </w:r>
      <w:r>
        <w:rPr>
          <w:rStyle w:val="CharPartNo"/>
        </w:rPr>
        <w:t xml:space="preserve"> </w:t>
      </w:r>
      <w:r>
        <w:rPr>
          <w:rStyle w:val="CharPartText"/>
        </w:rPr>
        <w:t xml:space="preserve"> </w:t>
      </w:r>
      <w:r>
        <w:rPr>
          <w:rStyle w:val="CharDivNo"/>
        </w:rPr>
        <w:t xml:space="preserve"> </w:t>
      </w:r>
      <w:r>
        <w:rPr>
          <w:rStyle w:val="CharDivText"/>
        </w:rPr>
        <w:t xml:space="preserve"> </w:t>
      </w:r>
      <w:r>
        <w:rPr>
          <w:rStyle w:val="CharSchNo"/>
        </w:rPr>
        <w:t xml:space="preserve"> </w:t>
      </w:r>
      <w:r>
        <w:rPr>
          <w:rStyle w:val="CharSchText"/>
        </w:rPr>
        <w:t xml:space="preserve"> </w:t>
      </w:r>
      <w:r>
        <w:rPr>
          <w:rStyle w:val="CharSDivNo"/>
        </w:rPr>
        <w:t xml:space="preserve"> </w:t>
      </w:r>
      <w:r>
        <w:rPr>
          <w:rStyle w:val="CharSDivText"/>
        </w:rPr>
        <w:t xml:space="preserve"> </w:t>
      </w:r>
      <w:r>
        <w:t xml:space="preserve"> </w:t>
      </w:r>
    </w:p>
    <w:p>
      <w:pPr>
        <w:pStyle w:val="NoteHeading"/>
        <w:sectPr>
          <w:headerReference w:type="even" r:id="rId15"/>
          <w:headerReference w:type="default" r:id="rId16"/>
          <w:footerReference w:type="even" r:id="rId17"/>
          <w:footerReference w:type="default" r:id="rId18"/>
          <w:headerReference w:type="first" r:id="rId19"/>
          <w:footerReference w:type="first" r:id="rId20"/>
          <w:type w:val="oddPage"/>
          <w:pgSz w:w="11907" w:h="16840" w:code="9"/>
          <w:pgMar w:top="2381" w:right="2410" w:bottom="3544" w:left="2410" w:header="720" w:footer="3544" w:gutter="0"/>
          <w:pgNumType w:fmt="lowerRoman" w:start="1"/>
          <w:cols w:space="720"/>
          <w:noEndnote/>
          <w:titlePg/>
        </w:sectPr>
      </w:pPr>
    </w:p>
    <w:p>
      <w:pPr>
        <w:pStyle w:val="PrincipalActReg"/>
      </w:pPr>
      <w:r>
        <w:lastRenderedPageBreak/>
        <w:t>Therapeutic Goods Law Application Act 2024</w:t>
      </w:r>
    </w:p>
    <w:p>
      <w:pPr>
        <w:pStyle w:val="NameofActReg"/>
      </w:pPr>
      <w:r>
        <w:t>Therapeutic Goods (Legislative Instruments) Notice (No. 12) 2024</w:t>
      </w:r>
    </w:p>
    <w:p>
      <w:pPr>
        <w:pStyle w:val="MadeBy"/>
      </w:pPr>
      <w:r>
        <w:t>Made under section 12(2)(c) of the Act.</w:t>
      </w:r>
    </w:p>
    <w:p>
      <w:pPr>
        <w:pStyle w:val="Heading5"/>
      </w:pPr>
      <w:bookmarkStart w:id="2" w:name="_Toc185505971"/>
      <w:bookmarkStart w:id="3" w:name="_Toc185582374"/>
      <w:r>
        <w:rPr>
          <w:rStyle w:val="CharSectno"/>
        </w:rPr>
        <w:t>1</w:t>
      </w:r>
      <w:r>
        <w:t>.</w:t>
      </w:r>
      <w:r>
        <w:tab/>
        <w:t>Citation</w:t>
      </w:r>
      <w:bookmarkEnd w:id="2"/>
      <w:bookmarkEnd w:id="3"/>
    </w:p>
    <w:p>
      <w:pPr>
        <w:pStyle w:val="Subsection"/>
      </w:pPr>
      <w:r>
        <w:tab/>
      </w:r>
      <w:r>
        <w:tab/>
      </w:r>
      <w:bookmarkStart w:id="4" w:name="Start_Cursor"/>
      <w:bookmarkEnd w:id="4"/>
      <w:r>
        <w:t xml:space="preserve">This </w:t>
      </w:r>
      <w:r>
        <w:rPr>
          <w:spacing w:val="-2"/>
        </w:rPr>
        <w:t>notice</w:t>
      </w:r>
      <w:r>
        <w:t xml:space="preserve"> is the </w:t>
      </w:r>
      <w:r>
        <w:rPr>
          <w:i/>
        </w:rPr>
        <w:t>Therapeutic Goods (Legislative Instruments) Notice (No. 12) 2024</w:t>
      </w:r>
      <w:r>
        <w:t>.</w:t>
      </w:r>
    </w:p>
    <w:p>
      <w:pPr>
        <w:pStyle w:val="Heading5"/>
      </w:pPr>
      <w:bookmarkStart w:id="5" w:name="_Toc185505972"/>
      <w:bookmarkStart w:id="6" w:name="_Toc185582375"/>
      <w:r>
        <w:rPr>
          <w:rStyle w:val="CharSectno"/>
        </w:rPr>
        <w:t>2</w:t>
      </w:r>
      <w:r>
        <w:t>.</w:t>
      </w:r>
      <w:r>
        <w:tab/>
        <w:t>Notice of publication</w:t>
      </w:r>
      <w:bookmarkEnd w:id="5"/>
      <w:bookmarkEnd w:id="6"/>
    </w:p>
    <w:p>
      <w:pPr>
        <w:pStyle w:val="Subsection"/>
      </w:pPr>
      <w:r>
        <w:tab/>
      </w:r>
      <w:r>
        <w:tab/>
        <w:t xml:space="preserve">The following therapeutic legislative instrument has been made and published on the Federal Register of Legislation website </w:t>
      </w:r>
      <w:hyperlink r:id="rId21" w:history="1">
        <w:r>
          <w:rPr>
            <w:rStyle w:val="Hyperlink"/>
          </w:rPr>
          <w:t>www.legislation.gov.au</w:t>
        </w:r>
      </w:hyperlink>
      <w:r>
        <w:t>:</w:t>
      </w:r>
    </w:p>
    <w:p>
      <w:pPr>
        <w:pStyle w:val="MiscellaneousBody"/>
        <w:tabs>
          <w:tab w:val="left" w:pos="2127"/>
        </w:tabs>
        <w:ind w:left="1276" w:hanging="426"/>
        <w:rPr>
          <w:color w:val="000000" w:themeColor="text1"/>
          <w:szCs w:val="24"/>
        </w:rPr>
      </w:pPr>
      <w:r>
        <w:rPr>
          <w:color w:val="000000" w:themeColor="text1"/>
          <w:szCs w:val="24"/>
        </w:rPr>
        <w:t>1.</w:t>
      </w:r>
      <w:r>
        <w:rPr>
          <w:color w:val="000000" w:themeColor="text1"/>
          <w:szCs w:val="24"/>
        </w:rPr>
        <w:tab/>
        <w:t>Therapeutic Goods (Medical Devices – Information that Must Accompany Application for Inclusion) Amendment Determination (No. 3) 2024</w:t>
      </w:r>
    </w:p>
    <w:p>
      <w:pPr>
        <w:pStyle w:val="PermNoteHeading"/>
      </w:pPr>
      <w:r>
        <w:tab/>
        <w:t>Note:</w:t>
      </w:r>
    </w:p>
    <w:p>
      <w:pPr>
        <w:pStyle w:val="PermNoteText"/>
      </w:pPr>
      <w:r>
        <w:tab/>
      </w:r>
      <w:r>
        <w:tab/>
        <w:t xml:space="preserve">The above therapeutic legislative instrument applies as a law of the State under the </w:t>
      </w:r>
      <w:r>
        <w:rPr>
          <w:i/>
          <w:iCs/>
        </w:rPr>
        <w:t>Therapeutic Goods Law Application Act 2024</w:t>
      </w:r>
      <w:r>
        <w:t xml:space="preserve"> section 10(1) (subject to section 10(2) of that Act). The above instrument may not have effect under the </w:t>
      </w:r>
      <w:r>
        <w:rPr>
          <w:i/>
          <w:iCs/>
        </w:rPr>
        <w:t>Therapeutic Goods Law Application Act 2024</w:t>
      </w:r>
      <w:r>
        <w:t xml:space="preserve"> section 11 or may cease to have effect under the </w:t>
      </w:r>
      <w:r>
        <w:rPr>
          <w:i/>
          <w:iCs/>
        </w:rPr>
        <w:t>Therapeutic Goods Law Application Act 2024</w:t>
      </w:r>
      <w:r>
        <w:t xml:space="preserve"> section 13.</w:t>
      </w:r>
    </w:p>
    <w:p>
      <w:pPr>
        <w:pStyle w:val="ByCommand"/>
        <w:spacing w:before="480"/>
        <w:rPr>
          <w:b/>
          <w:bCs/>
          <w:sz w:val="22"/>
          <w:szCs w:val="18"/>
        </w:rPr>
      </w:pPr>
      <w:r>
        <w:rPr>
          <w:b/>
          <w:bCs/>
          <w:sz w:val="22"/>
          <w:szCs w:val="18"/>
        </w:rPr>
        <w:t>LINDA TAYLOR</w:t>
      </w:r>
      <w:r>
        <w:rPr>
          <w:b/>
          <w:bCs/>
          <w:sz w:val="22"/>
          <w:szCs w:val="18"/>
        </w:rPr>
        <w:br/>
        <w:t>A/GENERAL COUNSEL AND A/DIRECTOR</w:t>
      </w:r>
      <w:r>
        <w:rPr>
          <w:b/>
          <w:bCs/>
          <w:sz w:val="22"/>
          <w:szCs w:val="18"/>
        </w:rPr>
        <w:br/>
        <w:t>LEGAL AND LEGISLATIVE SERVICES</w:t>
      </w:r>
      <w:r>
        <w:rPr>
          <w:b/>
          <w:bCs/>
          <w:sz w:val="22"/>
          <w:szCs w:val="18"/>
        </w:rPr>
        <w:br/>
        <w:t>DEPARTMENT OF HEALTH WA</w:t>
      </w:r>
    </w:p>
    <w:p/>
    <w:p>
      <w:pPr>
        <w:pStyle w:val="ByCommand"/>
        <w:sectPr>
          <w:headerReference w:type="even" r:id="rId22"/>
          <w:headerReference w:type="default" r:id="rId23"/>
          <w:headerReference w:type="first" r:id="rId24"/>
          <w:endnotePr>
            <w:numFmt w:val="decimal"/>
          </w:endnotePr>
          <w:pgSz w:w="11907" w:h="16840" w:code="9"/>
          <w:pgMar w:top="2381" w:right="2410" w:bottom="3544" w:left="2410" w:header="720" w:footer="3544" w:gutter="0"/>
          <w:pgNumType w:start="1"/>
          <w:cols w:space="720"/>
          <w:noEndnote/>
          <w:titlePg/>
        </w:sectPr>
      </w:pPr>
    </w:p>
    <w:p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page">
                  <wp:align>center</wp:align>
                </wp:positionH>
                <wp:positionV relativeFrom="page">
                  <wp:posOffset>7505700</wp:posOffset>
                </wp:positionV>
                <wp:extent cx="127000" cy="647700"/>
                <wp:effectExtent l="0" t="0" r="1905" b="0"/>
                <wp:wrapNone/>
                <wp:docPr id="1" name="Authority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27000" cy="6477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6350">
                              <a:solidFill>
                                <a:prstClr val="black"/>
                              </a:solidFill>
                            </a14:hiddenLine>
                          </a:ext>
                        </a:extLst>
                      </wps:spPr>
                      <wps:txbx>
                        <w:txbxContent>
                          <w:p>
                            <w:pPr>
                              <w:ind w:left="2835" w:right="2268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 xml:space="preserve">© State of Western Australia </w:t>
                            </w:r>
                            <w:r>
                              <w:rPr>
                                <w:sz w:val="16"/>
                              </w:rPr>
                              <w:fldChar w:fldCharType="begin"/>
                            </w:r>
                            <w:r>
                              <w:rPr>
                                <w:sz w:val="16"/>
                              </w:rPr>
                              <w:instrText xml:space="preserve"> DOCPROPERTY CommencementYear</w:instrText>
                            </w:r>
                            <w:r>
                              <w:rPr>
                                <w:sz w:val="16"/>
                              </w:rPr>
                              <w:fldChar w:fldCharType="separate"/>
                            </w:r>
                            <w:r>
                              <w:rPr>
                                <w:sz w:val="16"/>
                              </w:rPr>
                              <w:t>2024</w:t>
                            </w:r>
                            <w:r>
                              <w:rPr>
                                <w:sz w:val="16"/>
                              </w:rPr>
                              <w:fldChar w:fldCharType="end"/>
                            </w:r>
                            <w:r>
                              <w:rPr>
                                <w:sz w:val="16"/>
                              </w:rPr>
                              <w:t>.</w:t>
                            </w:r>
                          </w:p>
                          <w:p>
                            <w:pPr>
                              <w:ind w:left="2835" w:right="2268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 xml:space="preserve">This work is licensed under a Creative Commons Attribution 4.0 International Licence (CC BY 4.0). To view relevant information and for a link to a copy of the licence, visit </w:t>
                            </w:r>
                            <w:r>
                              <w:rPr>
                                <w:sz w:val="16"/>
                                <w:u w:val="single"/>
                              </w:rPr>
                              <w:t>www.legislation.wa.gov.au</w:t>
                            </w:r>
                            <w:r>
                              <w:rPr>
                                <w:sz w:val="16"/>
                              </w:rPr>
                              <w:t>.</w:t>
                            </w:r>
                          </w:p>
                          <w:p>
                            <w:pPr>
                              <w:ind w:left="2835" w:right="2268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 xml:space="preserve">Attribute work as: © State of Western Australia </w:t>
                            </w:r>
                            <w:r>
                              <w:rPr>
                                <w:sz w:val="16"/>
                              </w:rPr>
                              <w:fldChar w:fldCharType="begin"/>
                            </w:r>
                            <w:r>
                              <w:rPr>
                                <w:sz w:val="16"/>
                              </w:rPr>
                              <w:instrText xml:space="preserve"> DOCPROPERTY CommencementYear</w:instrText>
                            </w:r>
                            <w:r>
                              <w:rPr>
                                <w:sz w:val="16"/>
                              </w:rPr>
                              <w:fldChar w:fldCharType="separate"/>
                            </w:r>
                            <w:r>
                              <w:rPr>
                                <w:sz w:val="16"/>
                              </w:rPr>
                              <w:t>2024</w:t>
                            </w:r>
                            <w:r>
                              <w:rPr>
                                <w:sz w:val="16"/>
                              </w:rPr>
                              <w:fldChar w:fldCharType="end"/>
                            </w:r>
                            <w:r>
                              <w:rPr>
                                <w:sz w:val="16"/>
                              </w:rPr>
                              <w:t>.</w:t>
                            </w:r>
                          </w:p>
                          <w:p>
                            <w:pPr>
                              <w:ind w:left="2438" w:right="2098"/>
                              <w:jc w:val="center"/>
                              <w:rPr>
                                <w:rFonts w:ascii="Arial" w:hAnsi="Arial" w:cs="Arial"/>
                                <w:sz w:val="12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2"/>
                              </w:rPr>
                              <w:t>By Authority: GEOFF O. LAWN, Government Printer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100000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7FE6BBE9" id="_x0000_t202" coordsize="21600,21600" o:spt="202" path="m,l,21600r21600,l21600,xe">
                <v:stroke joinstyle="miter"/>
                <v:path gradientshapeok="t" o:connecttype="rect"/>
              </v:shapetype>
              <v:shape id="Authority" o:spid="_x0000_s1026" type="#_x0000_t202" style="position:absolute;margin-left:0;margin-top:591pt;width:10pt;height:51pt;z-index:251660288;visibility:visible;mso-wrap-style:square;mso-width-percent:1000;mso-height-percent:0;mso-wrap-distance-left:9pt;mso-wrap-distance-top:0;mso-wrap-distance-right:9pt;mso-wrap-distance-bottom:0;mso-position-horizontal:center;mso-position-horizontal-relative:page;mso-position-vertical:absolute;mso-position-vertical-relative:page;mso-width-percent:1000;mso-height-percent:0;mso-width-relative:page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" stroked="f" strokeweight=".5pt">
                <v:textbox>
                  <w:txbxContent>
                    <w:p w14:paraId="011A902A" w14:textId="752C683D" w:rsidR="00371890" w:rsidRDefault="00371890">
                      <w:pPr>
                        <w:ind w:left="2835" w:right="2268"/>
                        <w:rPr>
                          <w:sz w:val="16"/>
                        </w:rPr>
                      </w:pPr>
                      <w:r>
                        <w:rPr>
                          <w:sz w:val="16"/>
                        </w:rPr>
                        <w:t xml:space="preserve">© State of Western Australia </w:t>
                      </w:r>
                      <w:r>
                        <w:rPr>
                          <w:sz w:val="16"/>
                        </w:rPr>
                        <w:fldChar w:fldCharType="begin"/>
                      </w:r>
                      <w:r>
                        <w:rPr>
                          <w:sz w:val="16"/>
                        </w:rPr>
                        <w:instrText xml:space="preserve"> DOCPROPERTY CommencementYear</w:instrText>
                      </w:r>
                      <w:r>
                        <w:rPr>
                          <w:sz w:val="16"/>
                        </w:rPr>
                        <w:fldChar w:fldCharType="separate"/>
                      </w:r>
                      <w:r w:rsidR="00D011BE">
                        <w:rPr>
                          <w:sz w:val="16"/>
                        </w:rPr>
                        <w:t>2024</w:t>
                      </w:r>
                      <w:r>
                        <w:rPr>
                          <w:sz w:val="16"/>
                        </w:rPr>
                        <w:fldChar w:fldCharType="end"/>
                      </w:r>
                      <w:r>
                        <w:rPr>
                          <w:sz w:val="16"/>
                        </w:rPr>
                        <w:t>.</w:t>
                      </w:r>
                    </w:p>
                    <w:p w14:paraId="731939E7" w14:textId="77777777" w:rsidR="00371890" w:rsidRDefault="00371890">
                      <w:pPr>
                        <w:ind w:left="2835" w:right="2268"/>
                        <w:rPr>
                          <w:sz w:val="16"/>
                        </w:rPr>
                      </w:pPr>
                      <w:r>
                        <w:rPr>
                          <w:sz w:val="16"/>
                        </w:rPr>
                        <w:t xml:space="preserve">This work is licensed under a Creative Commons Attribution 4.0 International Licence (CC BY 4.0). To view relevant information and for a link to a copy of the licence, visit </w:t>
                      </w:r>
                      <w:r>
                        <w:rPr>
                          <w:sz w:val="16"/>
                          <w:u w:val="single"/>
                        </w:rPr>
                        <w:t>www.legislation.wa.gov.au</w:t>
                      </w:r>
                      <w:r>
                        <w:rPr>
                          <w:sz w:val="16"/>
                        </w:rPr>
                        <w:t>.</w:t>
                      </w:r>
                    </w:p>
                    <w:p w14:paraId="29CF37ED" w14:textId="1D59EF91" w:rsidR="00371890" w:rsidRDefault="00371890">
                      <w:pPr>
                        <w:ind w:left="2835" w:right="2268"/>
                        <w:rPr>
                          <w:sz w:val="16"/>
                        </w:rPr>
                      </w:pPr>
                      <w:r>
                        <w:rPr>
                          <w:sz w:val="16"/>
                        </w:rPr>
                        <w:t xml:space="preserve">Attribute work as: © State of Western Australia </w:t>
                      </w:r>
                      <w:r>
                        <w:rPr>
                          <w:sz w:val="16"/>
                        </w:rPr>
                        <w:fldChar w:fldCharType="begin"/>
                      </w:r>
                      <w:r>
                        <w:rPr>
                          <w:sz w:val="16"/>
                        </w:rPr>
                        <w:instrText xml:space="preserve"> DOCPROPERTY CommencementYear</w:instrText>
                      </w:r>
                      <w:r>
                        <w:rPr>
                          <w:sz w:val="16"/>
                        </w:rPr>
                        <w:fldChar w:fldCharType="separate"/>
                      </w:r>
                      <w:r w:rsidR="00D011BE">
                        <w:rPr>
                          <w:sz w:val="16"/>
                        </w:rPr>
                        <w:t>2024</w:t>
                      </w:r>
                      <w:r>
                        <w:rPr>
                          <w:sz w:val="16"/>
                        </w:rPr>
                        <w:fldChar w:fldCharType="end"/>
                      </w:r>
                      <w:r>
                        <w:rPr>
                          <w:sz w:val="16"/>
                        </w:rPr>
                        <w:t>.</w:t>
                      </w:r>
                    </w:p>
                    <w:p w14:paraId="0DA1386C" w14:textId="77777777" w:rsidR="00371890" w:rsidRDefault="00371890">
                      <w:pPr>
                        <w:ind w:left="2438" w:right="2098"/>
                        <w:jc w:val="center"/>
                        <w:rPr>
                          <w:rFonts w:ascii="Arial" w:hAnsi="Arial" w:cs="Arial"/>
                          <w:sz w:val="12"/>
                        </w:rPr>
                      </w:pPr>
                      <w:r>
                        <w:rPr>
                          <w:rFonts w:ascii="Arial" w:hAnsi="Arial" w:cs="Arial"/>
                          <w:sz w:val="12"/>
                        </w:rPr>
                        <w:t>By Authority: GEOFF O. LAWN, Government Printer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</w:p>
    <w:sectPr>
      <w:headerReference w:type="even" r:id="rId25"/>
      <w:headerReference w:type="default" r:id="rId26"/>
      <w:footerReference w:type="even" r:id="rId27"/>
      <w:footerReference w:type="default" r:id="rId28"/>
      <w:headerReference w:type="first" r:id="rId29"/>
      <w:footerReference w:type="first" r:id="rId30"/>
      <w:endnotePr>
        <w:numFmt w:val="decimal"/>
      </w:endnotePr>
      <w:type w:val="continuous"/>
      <w:pgSz w:w="11907" w:h="16840" w:code="9"/>
      <w:pgMar w:top="567" w:right="1701" w:bottom="567" w:left="1701" w:header="720" w:footer="720" w:gutter="0"/>
      <w:pgNumType w:start="1"/>
      <w:cols w:space="720"/>
      <w:noEndnote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>
      <w:pPr>
        <w:rPr>
          <w:b/>
          <w:sz w:val="28"/>
        </w:rPr>
      </w:pPr>
      <w:r>
        <w:rPr>
          <w:b/>
          <w:sz w:val="28"/>
        </w:rPr>
        <w:t>Endnotes</w:t>
      </w:r>
    </w:p>
    <w:p>
      <w:pPr>
        <w:spacing w:after="240"/>
        <w:rPr>
          <w:rFonts w:ascii="Times" w:hAnsi="Times"/>
          <w:sz w:val="18"/>
        </w:rPr>
      </w:pPr>
      <w:r>
        <w:rPr>
          <w:sz w:val="20"/>
        </w:rPr>
        <w:t>[For ease of reference detach these notes and read them alongside the draft.]</w:t>
      </w:r>
    </w:p>
    <w:p/>
  </w:endnote>
  <w:endnote w:type="continuationSeparator" w:id="0">
    <w:p>
      <w:pPr>
        <w:pStyle w:val="Footer"/>
      </w:pPr>
    </w:p>
    <w:p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Helvetica">
    <w:panose1 w:val="020B05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  <w:r>
      <w:rPr>
        <w:sz w:val="20"/>
      </w:rPr>
      <w:tab/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>
      <w:rPr>
        <w:sz w:val="20"/>
      </w:rPr>
      <w:t>2024/305</w: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>
      <w:rPr>
        <w:sz w:val="16"/>
      </w:rPr>
      <w:t>31 Dec 2024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>
      <w:rPr>
        <w:sz w:val="20"/>
      </w:rPr>
      <w:t>2024/305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>
      <w:rPr>
        <w:sz w:val="16"/>
      </w:rPr>
      <w:t>31 Dec 2024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>
      <w:rPr>
        <w:sz w:val="20"/>
      </w:rPr>
      <w:t>2024/305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>
      <w:rPr>
        <w:sz w:val="16"/>
      </w:rPr>
      <w:t>31 Dec 2024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i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  <w:r>
      <w:rPr>
        <w:sz w:val="20"/>
      </w:rPr>
      <w:tab/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>
      <w:rPr>
        <w:sz w:val="20"/>
      </w:rPr>
      <w:t>2024/305</w: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>
      <w:rPr>
        <w:sz w:val="16"/>
      </w:rPr>
      <w:t>31 Dec 2024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>
      <w:rPr>
        <w:sz w:val="20"/>
      </w:rPr>
      <w:t>2024/305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i</w: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>
      <w:rPr>
        <w:sz w:val="16"/>
      </w:rPr>
      <w:t>31 Dec 2024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>
      <w:rPr>
        <w:sz w:val="20"/>
      </w:rPr>
      <w:t>2024/305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i</w: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>
      <w:rPr>
        <w:sz w:val="16"/>
      </w:rPr>
      <w:t>31 Dec 2024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  <w:bookmarkStart w:id="0" w:name="TitlePage"/>
    <w:bookmarkEnd w:id="0"/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Therapeutic Goods (Legislative Instruments) Notice (No. 12) 2024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  <w:spacing w:before="40"/>
          </w:pPr>
          <w:r>
            <w:t>Contents</w:t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Therapeutic Goods (Legislative Instruments) Notice (No. 12) 2024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rPr>
        <w:jc w:val="center"/>
      </w:trP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  <w:spacing w:before="40"/>
            <w:ind w:right="17"/>
            <w:jc w:val="right"/>
          </w:pPr>
          <w:r>
            <w:t>Contents</w:t>
          </w:r>
        </w:p>
      </w:tc>
    </w:tr>
  </w:tbl>
  <w:p>
    <w:pPr>
      <w:pStyle w:val="Header"/>
      <w:pBdr>
        <w:top w:val="single" w:sz="4" w:space="1" w:color="auto"/>
      </w:pBdr>
    </w:pPr>
    <w:bookmarkStart w:id="1" w:name="TOC"/>
    <w:bookmarkEnd w:id="1"/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  <w:jc w:val="center"/>
      </w:trPr>
      <w:tc>
        <w:tcPr>
          <w:tcW w:w="7263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Therapeutic Goods (Legislative Instruments) Notice (No. 12) 2024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CharPartNo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  <w:vAlign w:val="bottom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CharDivNo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  <w:vAlign w:val="bottom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</w:tr>
    <w:tr>
      <w:trPr>
        <w:cantSplit/>
        <w:jc w:val="center"/>
      </w:trPr>
      <w:tc>
        <w:tcPr>
          <w:tcW w:w="7263" w:type="dxa"/>
          <w:gridSpan w:val="2"/>
        </w:tcPr>
        <w:p>
          <w:pPr>
            <w:pStyle w:val="Header"/>
            <w:spacing w:before="40"/>
          </w:pPr>
          <w:r>
            <w:rPr>
              <w:b/>
            </w:rPr>
            <w:t xml:space="preserve">cl. </w:t>
          </w:r>
          <w:r>
            <w:rPr>
              <w:b/>
            </w:rPr>
            <w:fldChar w:fldCharType="begin"/>
          </w:r>
          <w:r>
            <w:rPr>
              <w:b/>
            </w:rPr>
            <w:instrText>STYLEREF CharSectNo</w:instrText>
          </w:r>
          <w:r>
            <w:rPr>
              <w:b/>
            </w:rPr>
            <w:fldChar w:fldCharType="separate"/>
          </w:r>
          <w:r>
            <w:rPr>
              <w:b/>
            </w:rPr>
            <w:t>1</w:t>
          </w:r>
          <w:r>
            <w:rPr>
              <w:b/>
            </w:rPr>
            <w:fldChar w:fldCharType="end"/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  <w:jc w:val="center"/>
      </w:trPr>
      <w:tc>
        <w:tcPr>
          <w:tcW w:w="7263" w:type="dxa"/>
          <w:gridSpan w:val="2"/>
        </w:tcPr>
        <w:p>
          <w:pPr>
            <w:pStyle w:val="Header"/>
            <w:spacing w:before="40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Therapeutic Goods (Legislative Instruments) Notice (No. 12) 2024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5715" w:type="dxa"/>
          <w:vAlign w:val="bottom"/>
        </w:tcPr>
        <w:p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  <w:tc>
        <w:tcPr>
          <w:tcW w:w="1548" w:type="dxa"/>
        </w:tcPr>
        <w:p>
          <w:pPr>
            <w:pStyle w:val="Header"/>
            <w:spacing w:before="40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CharPartNo</w:instrText>
          </w:r>
          <w:r>
            <w:rPr>
              <w:b/>
            </w:rPr>
            <w:fldChar w:fldCharType="end"/>
          </w:r>
        </w:p>
      </w:tc>
    </w:tr>
    <w:tr>
      <w:trPr>
        <w:jc w:val="center"/>
      </w:trPr>
      <w:tc>
        <w:tcPr>
          <w:tcW w:w="5715" w:type="dxa"/>
          <w:vAlign w:val="bottom"/>
        </w:tcPr>
        <w:p>
          <w:pPr>
            <w:pStyle w:val="Header"/>
            <w:jc w:val="right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  <w:tc>
        <w:tcPr>
          <w:tcW w:w="1548" w:type="dxa"/>
        </w:tcPr>
        <w:p>
          <w:pPr>
            <w:pStyle w:val="Header"/>
            <w:spacing w:before="40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CharDivNo</w:instrText>
          </w:r>
          <w:r>
            <w:rPr>
              <w:b/>
            </w:rPr>
            <w:fldChar w:fldCharType="end"/>
          </w:r>
        </w:p>
      </w:tc>
    </w:tr>
    <w:tr>
      <w:trPr>
        <w:cantSplit/>
        <w:jc w:val="center"/>
      </w:trPr>
      <w:tc>
        <w:tcPr>
          <w:tcW w:w="7263" w:type="dxa"/>
          <w:gridSpan w:val="2"/>
        </w:tcPr>
        <w:p>
          <w:pPr>
            <w:pStyle w:val="Header"/>
            <w:spacing w:before="40"/>
            <w:jc w:val="right"/>
          </w:pPr>
          <w:r>
            <w:rPr>
              <w:b/>
            </w:rPr>
            <w:t xml:space="preserve">r. </w:t>
          </w:r>
          <w:r>
            <w:rPr>
              <w:b/>
            </w:rPr>
            <w:fldChar w:fldCharType="begin"/>
          </w:r>
          <w:r>
            <w:rPr>
              <w:b/>
            </w:rPr>
            <w:instrText>STYLEREF CharSectNo</w:instrText>
          </w:r>
          <w:r>
            <w:rPr>
              <w:b/>
            </w:rPr>
            <w:fldChar w:fldCharType="separate"/>
          </w:r>
          <w:r>
            <w:rPr>
              <w:b/>
            </w:rPr>
            <w:t>1</w:t>
          </w:r>
          <w:r>
            <w:rPr>
              <w:b/>
            </w:rPr>
            <w:fldChar w:fldCharType="end"/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  <w:bookmarkStart w:id="7" w:name="Coversheet"/>
    <w:bookmarkEnd w:id="7"/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1F066C2C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EF88F740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4E44E0D6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615A2A1E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F54AD31C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5784C556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856E6702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7006F51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83E2D3D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3A14993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A9071E2"/>
    <w:multiLevelType w:val="singleLevel"/>
    <w:tmpl w:val="6686A91E"/>
    <w:lvl w:ilvl="0">
      <w:start w:val="1"/>
      <w:numFmt w:val="decimal"/>
      <w:lvlText w:val="%1."/>
      <w:lvlJc w:val="left"/>
      <w:pPr>
        <w:tabs>
          <w:tab w:val="num" w:pos="570"/>
        </w:tabs>
        <w:ind w:left="570" w:hanging="570"/>
      </w:pPr>
      <w:rPr>
        <w:rFonts w:hint="default"/>
      </w:rPr>
    </w:lvl>
  </w:abstractNum>
  <w:abstractNum w:abstractNumId="11" w15:restartNumberingAfterBreak="0">
    <w:nsid w:val="138B63E2"/>
    <w:multiLevelType w:val="multilevel"/>
    <w:tmpl w:val="3550C8FC"/>
    <w:name w:val="SectionNumbers"/>
    <w:lvl w:ilvl="0">
      <w:start w:val="1"/>
      <w:numFmt w:val="decimal"/>
      <w:lvlRestart w:val="0"/>
      <w:suff w:val="nothing"/>
      <w:lvlText w:val="%1"/>
      <w:lvlJc w:val="left"/>
    </w:lvl>
    <w:lvl w:ilvl="1">
      <w:start w:val="1"/>
      <w:numFmt w:val="decimal"/>
      <w:suff w:val="nothing"/>
      <w:lvlText w:val="(%2)"/>
      <w:lvlJc w:val="righ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2" w15:restartNumberingAfterBreak="0">
    <w:nsid w:val="17F0064C"/>
    <w:multiLevelType w:val="multilevel"/>
    <w:tmpl w:val="B978DF16"/>
    <w:name w:val="PartNumbers"/>
    <w:lvl w:ilvl="0">
      <w:start w:val="1"/>
      <w:numFmt w:val="decimal"/>
      <w:lvlRestart w:val="0"/>
      <w:suff w:val="nothing"/>
      <w:lvlText w:val="%1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decimal"/>
      <w:suff w:val="nothing"/>
      <w:lvlText w:val="%3"/>
      <w:lvlJc w:val="left"/>
    </w:lvl>
    <w:lvl w:ilvl="3">
      <w:start w:val="1"/>
      <w:numFmt w:val="decimal"/>
      <w:suff w:val="nothing"/>
      <w:lvlText w:val="%4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3" w15:restartNumberingAfterBreak="0">
    <w:nsid w:val="22FF52EA"/>
    <w:multiLevelType w:val="multilevel"/>
    <w:tmpl w:val="85E88ED1"/>
    <w:name w:val="PermanentNotesNumbering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4" w15:restartNumberingAfterBreak="0">
    <w:nsid w:val="22FF52EB"/>
    <w:multiLevelType w:val="multilevel"/>
    <w:tmpl w:val="85E88ED0"/>
    <w:name w:val="Definition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5" w15:restartNumberingAfterBreak="0">
    <w:nsid w:val="2BE82A86"/>
    <w:multiLevelType w:val="multilevel"/>
    <w:tmpl w:val="E1506BB2"/>
    <w:name w:val="ScheduleNumbers"/>
    <w:lvl w:ilvl="0">
      <w:start w:val="1"/>
      <w:numFmt w:val="decimal"/>
      <w:suff w:val="nothing"/>
      <w:lvlText w:val="%1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decimal"/>
      <w:suff w:val="nothing"/>
      <w:lvlText w:val="%3"/>
      <w:lvlJc w:val="left"/>
    </w:lvl>
    <w:lvl w:ilvl="3">
      <w:start w:val="1"/>
      <w:numFmt w:val="none"/>
      <w:suff w:val="nothing"/>
      <w:lvlText w:val="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6" w15:restartNumberingAfterBreak="0">
    <w:nsid w:val="3C2808C0"/>
    <w:multiLevelType w:val="singleLevel"/>
    <w:tmpl w:val="58E827E4"/>
    <w:lvl w:ilvl="0">
      <w:start w:val="1"/>
      <w:numFmt w:val="bullet"/>
      <w:lvlText w:val=""/>
      <w:lvlJc w:val="left"/>
      <w:pPr>
        <w:tabs>
          <w:tab w:val="num" w:pos="1446"/>
        </w:tabs>
        <w:ind w:left="1446" w:hanging="567"/>
      </w:pPr>
      <w:rPr>
        <w:rFonts w:ascii="Symbol" w:hAnsi="Symbol" w:hint="default"/>
      </w:rPr>
    </w:lvl>
  </w:abstractNum>
  <w:abstractNum w:abstractNumId="17" w15:restartNumberingAfterBreak="0">
    <w:nsid w:val="42C41A54"/>
    <w:multiLevelType w:val="multilevel"/>
    <w:tmpl w:val="3C54BBA6"/>
    <w:name w:val="ScheduleNumberedItems"/>
    <w:lvl w:ilvl="0">
      <w:start w:val="1"/>
      <w:numFmt w:val="decimal"/>
      <w:suff w:val="nothing"/>
      <w:lvlText w:val="%1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8" w15:restartNumberingAfterBreak="0">
    <w:nsid w:val="4CC03303"/>
    <w:multiLevelType w:val="singleLevel"/>
    <w:tmpl w:val="08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9" w15:restartNumberingAfterBreak="0">
    <w:nsid w:val="5E761E26"/>
    <w:multiLevelType w:val="multilevel"/>
    <w:tmpl w:val="9B2EA622"/>
    <w:name w:val="ScheduleSectionNumbers"/>
    <w:lvl w:ilvl="0">
      <w:start w:val="1"/>
      <w:numFmt w:val="decimal"/>
      <w:suff w:val="nothing"/>
      <w:lvlText w:val="%1"/>
      <w:lvlJc w:val="left"/>
    </w:lvl>
    <w:lvl w:ilvl="1">
      <w:start w:val="1"/>
      <w:numFmt w:val="decimal"/>
      <w:suff w:val="nothing"/>
      <w:lvlText w:val="(%2)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0" w15:restartNumberingAfterBreak="0">
    <w:nsid w:val="6FDE73CC"/>
    <w:multiLevelType w:val="multilevel"/>
    <w:tmpl w:val="F23471B8"/>
    <w:name w:val="Penalty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1" w15:restartNumberingAfterBreak="0">
    <w:nsid w:val="7AB12928"/>
    <w:multiLevelType w:val="multilevel"/>
    <w:tmpl w:val="4B987CFA"/>
    <w:name w:val="SchedulePenalty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2" w15:restartNumberingAfterBreak="0">
    <w:nsid w:val="7E512DEB"/>
    <w:multiLevelType w:val="multilevel"/>
    <w:tmpl w:val="9D2ACE92"/>
    <w:name w:val="ScheduleDefinition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num w:numId="1">
    <w:abstractNumId w:val="11"/>
  </w:num>
  <w:num w:numId="2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revisionView w:formatting="0"/>
  <w:defaultTabStop w:val="1140"/>
  <w:evenAndOddHeaders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14337"/>
  </w:hdrShapeDefaults>
  <w:footnotePr>
    <w:footnote w:id="-1"/>
    <w:footnote w:id="0"/>
  </w:footnotePr>
  <w:endnotePr>
    <w:pos w:val="sectEnd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WAFER" w:val="20241219130525"/>
    <w:docVar w:name="WAFER_20150206084300" w:val="b265764f-9cc9-4051-b597-28966bcc0033"/>
    <w:docVar w:name="WAFER_20150206084300_GUID" w:val="UsedStyles"/>
    <w:docVar w:name="WAFER_20151016170500" w:val="65b8bf31-20ff-4e33-a7f5-3e8a982d38e1"/>
    <w:docVar w:name="WAFER_20151016170500_GUID" w:val="UpdateStyles"/>
    <w:docVar w:name="WAFER_20151016171156" w:val="6c2db7ef-daac-4b3e-9dc6-438f5d0ef0de"/>
    <w:docVar w:name="WAFER_20151016171156_GUID" w:val="UpdateStyles,UsedStyles"/>
    <w:docVar w:name="WAFER_20151016171216" w:val="94d94bff-48d8-4137-a72c-5fd727eea17c"/>
    <w:docVar w:name="WAFER_20151016171216_GUID" w:val="UpdateStyles,UsedStyles"/>
    <w:docVar w:name="WAFER_20151019113755" w:val="2391df09-cb41-4aa3-adeb-85763481adf4"/>
    <w:docVar w:name="WAFER_20151019113755_GUID" w:val="UpdateStyles"/>
    <w:docVar w:name="WAFER_20151102150240" w:val="b5d22a23-aebe-4a72-ade9-c7eb5fe3ff91"/>
    <w:docVar w:name="WAFER_20151102150240_GUID" w:val="UpdateStyles"/>
    <w:docVar w:name="WAFER_20190125160029" w:val="5f5bd124-b00b-412a-a7b5-01fcf0a689e4"/>
    <w:docVar w:name="WAFER_20190125160029_GUID" w:val="UpdateStyles"/>
    <w:docVar w:name="WAFER_20190213151332" w:val="ba422db1-9a36-4369-9917-270567d09a43"/>
    <w:docVar w:name="WAFER_20190213151332_GUID" w:val="UpdateStyles"/>
    <w:docVar w:name="WAFER_20190214104147" w:val="462c59b5-9a0c-4a8b-a415-d2eeb9a467c9"/>
    <w:docVar w:name="WAFER_20190214104147_GUID" w:val="UpdateStyles"/>
    <w:docVar w:name="WAFER_20190227114746" w:val="b6cf0004-89c3-4ce4-92f2-c7ba61597248"/>
    <w:docVar w:name="WAFER_20190227114746_GUID" w:val="UpdateStyles.ProcessFixes,UpdateStyles.ProcessFixes,RemoveIncorrectStyles.ProcessStyles,RemoveIncorrectStyles.ProcessStyles"/>
    <w:docVar w:name="WAFER_20191031134536" w:val="22d86058-aa5d-4625-8196-006bb3c08a21"/>
    <w:docVar w:name="WAFER_20191031134536_GUID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setPageSize.ResetPageSize,ResetPageFooter.ResetPageFooter"/>
    <w:docVar w:name="WAFER_20200207102504" w:val="6a1c105a-3450-41aa-9a46-e934e904a723"/>
    <w:docVar w:name="WAFER_20200207102504_GUID" w:val="6a1c105a-3450-41aa-9a46-e934e904a723"/>
    <w:docVar w:name="WAFER_20230403110444" w:val="6a1c105a-3450-41aa-9a46-e934e904a723"/>
    <w:docVar w:name="WAFER_20230403110444_GUID" w:val="6a1c105a-3450-41aa-9a46-e934e904a723"/>
    <w:docVar w:name="WAFER_20241219113440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TocBookmarks.RemoveBookmarks,RemoveUnusedBookmarks.RemoveBookmarks,RemoveLanguageTags.RemoveTags,RemoveSmartTags.RemoveTags,RunningHeaders.Run,UpdateStyles.ProcessFixes,UpdateStyles.ProcessFixes,RemoveIncorrectStyles.ProcessStyles,RemoveIncorrectStyles.ProcessStyles"/>
    <w:docVar w:name="WAFER_20241219113440_GUID" w:val="fc1fb8e0-c5de-4ddd-a3e7-7e25e747faf9"/>
    <w:docVar w:name="WAFER_20241219130525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TocBookmarks.RemoveBookmarks,RemoveUnusedBookmarks.RemoveBookmarks,RemoveLanguageTags.RemoveTags,RemoveSmartTags.RemoveTags,RunningHeaders.Run"/>
    <w:docVar w:name="WAFER_20241219130525_GUID" w:val="2f69b029-858f-444a-8409-cbe3d5568719"/>
  </w:docVar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4337"/>
    <o:shapelayout v:ext="edit">
      <o:idmap v:ext="edit" data="1"/>
    </o:shapelayout>
  </w:shapeDefaults>
  <w:decimalSymbol w:val="."/>
  <w:listSeparator w:val=","/>
  <w15:docId w15:val="{7C7D26D2-6205-4D7C-A2E5-614120F40C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iPriority="39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</w:rPr>
  </w:style>
  <w:style w:type="paragraph" w:styleId="Heading1">
    <w:name w:val="heading 1"/>
    <w:next w:val="Heading2"/>
    <w:qFormat/>
    <w:pPr>
      <w:keepNext/>
      <w:keepLines/>
      <w:pageBreakBefore/>
      <w:spacing w:before="320" w:line="260" w:lineRule="atLeast"/>
      <w:jc w:val="center"/>
      <w:outlineLvl w:val="0"/>
    </w:pPr>
    <w:rPr>
      <w:b/>
      <w:kern w:val="28"/>
      <w:sz w:val="34"/>
    </w:rPr>
  </w:style>
  <w:style w:type="paragraph" w:styleId="Heading2">
    <w:name w:val="heading 2"/>
    <w:next w:val="Heading3"/>
    <w:qFormat/>
    <w:pPr>
      <w:keepNext/>
      <w:pageBreakBefore/>
      <w:spacing w:line="260" w:lineRule="atLeast"/>
      <w:jc w:val="center"/>
      <w:outlineLvl w:val="1"/>
    </w:pPr>
    <w:rPr>
      <w:b/>
      <w:snapToGrid w:val="0"/>
      <w:sz w:val="30"/>
    </w:rPr>
  </w:style>
  <w:style w:type="paragraph" w:styleId="Heading3">
    <w:name w:val="heading 3"/>
    <w:next w:val="Heading4"/>
    <w:qFormat/>
    <w:pPr>
      <w:keepNext/>
      <w:spacing w:before="240" w:line="260" w:lineRule="atLeast"/>
      <w:jc w:val="center"/>
      <w:outlineLvl w:val="2"/>
    </w:pPr>
    <w:rPr>
      <w:b/>
      <w:sz w:val="26"/>
    </w:rPr>
  </w:style>
  <w:style w:type="paragraph" w:styleId="Heading4">
    <w:name w:val="heading 4"/>
    <w:next w:val="Heading5"/>
    <w:qFormat/>
    <w:pPr>
      <w:keepNext/>
      <w:spacing w:before="240"/>
      <w:jc w:val="center"/>
      <w:outlineLvl w:val="3"/>
    </w:pPr>
    <w:rPr>
      <w:b/>
      <w:sz w:val="24"/>
    </w:rPr>
  </w:style>
  <w:style w:type="paragraph" w:styleId="Heading5">
    <w:name w:val="heading 5"/>
    <w:next w:val="Normal"/>
    <w:qFormat/>
    <w:pPr>
      <w:keepNext/>
      <w:keepLines/>
      <w:tabs>
        <w:tab w:val="left" w:pos="879"/>
      </w:tabs>
      <w:spacing w:before="220" w:line="260" w:lineRule="atLeast"/>
      <w:ind w:left="879" w:hanging="879"/>
      <w:outlineLvl w:val="4"/>
    </w:pPr>
    <w:rPr>
      <w:b/>
      <w:sz w:val="24"/>
    </w:rPr>
  </w:style>
  <w:style w:type="paragraph" w:styleId="Heading6">
    <w:name w:val="heading 6"/>
    <w:next w:val="Normal"/>
    <w:qFormat/>
    <w:pPr>
      <w:keepNext/>
      <w:spacing w:before="240"/>
      <w:jc w:val="center"/>
      <w:outlineLvl w:val="5"/>
    </w:pPr>
    <w:rPr>
      <w:i/>
      <w:noProof/>
      <w:sz w:val="24"/>
    </w:rPr>
  </w:style>
  <w:style w:type="paragraph" w:styleId="Heading7">
    <w:name w:val="heading 7"/>
    <w:basedOn w:val="Heading6"/>
    <w:next w:val="Normal"/>
    <w:qFormat/>
    <w:pPr>
      <w:spacing w:before="280"/>
      <w:outlineLvl w:val="6"/>
    </w:pPr>
    <w:rPr>
      <w:sz w:val="30"/>
    </w:rPr>
  </w:style>
  <w:style w:type="paragraph" w:styleId="Heading8">
    <w:name w:val="heading 8"/>
    <w:basedOn w:val="Heading6"/>
    <w:next w:val="Normal"/>
    <w:qFormat/>
    <w:pPr>
      <w:outlineLvl w:val="7"/>
    </w:pPr>
    <w:rPr>
      <w:sz w:val="28"/>
    </w:rPr>
  </w:style>
  <w:style w:type="paragraph" w:styleId="Heading9">
    <w:name w:val="heading 9"/>
    <w:basedOn w:val="Heading1"/>
    <w:next w:val="Normal"/>
    <w:qFormat/>
    <w:pPr>
      <w:keepNext w:val="0"/>
      <w:spacing w:before="280"/>
      <w:outlineLvl w:val="8"/>
    </w:pPr>
    <w:rPr>
      <w:i/>
      <w:sz w:val="3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leteClose">
    <w:name w:val="DeleteClose"/>
    <w:basedOn w:val="Normal"/>
    <w:pPr>
      <w:keepLines/>
      <w:jc w:val="center"/>
    </w:pPr>
    <w:rPr>
      <w:szCs w:val="24"/>
    </w:rPr>
  </w:style>
  <w:style w:type="paragraph" w:customStyle="1" w:styleId="ABillFor">
    <w:name w:val="ABillFor"/>
    <w:basedOn w:val="Normal"/>
    <w:pPr>
      <w:spacing w:before="240" w:after="600"/>
      <w:jc w:val="center"/>
    </w:pPr>
    <w:rPr>
      <w:b/>
    </w:rPr>
  </w:style>
  <w:style w:type="paragraph" w:customStyle="1" w:styleId="NameofActReg">
    <w:name w:val="Name of Act/Reg"/>
    <w:next w:val="Normal"/>
    <w:pPr>
      <w:spacing w:before="480" w:after="600"/>
      <w:jc w:val="center"/>
    </w:pPr>
    <w:rPr>
      <w:b/>
      <w:snapToGrid w:val="0"/>
      <w:sz w:val="34"/>
    </w:rPr>
  </w:style>
  <w:style w:type="paragraph" w:customStyle="1" w:styleId="Actno">
    <w:name w:val="Actno"/>
    <w:basedOn w:val="NameofActReg"/>
    <w:next w:val="Normal"/>
    <w:autoRedefine/>
    <w:pPr>
      <w:spacing w:before="500"/>
    </w:pPr>
    <w:rPr>
      <w:sz w:val="26"/>
    </w:rPr>
  </w:style>
  <w:style w:type="paragraph" w:customStyle="1" w:styleId="Arrangement">
    <w:name w:val="Arrangement"/>
    <w:pPr>
      <w:spacing w:after="480"/>
      <w:ind w:left="2304" w:right="2304"/>
      <w:jc w:val="center"/>
    </w:pPr>
    <w:rPr>
      <w:b/>
      <w:sz w:val="28"/>
    </w:rPr>
  </w:style>
  <w:style w:type="paragraph" w:customStyle="1" w:styleId="AssentNote">
    <w:name w:val="Assent Note"/>
    <w:pPr>
      <w:keepLines/>
      <w:spacing w:before="160" w:after="240"/>
      <w:jc w:val="right"/>
    </w:pPr>
    <w:rPr>
      <w:i/>
      <w:snapToGrid w:val="0"/>
      <w:sz w:val="24"/>
    </w:rPr>
  </w:style>
  <w:style w:type="paragraph" w:styleId="BlockText">
    <w:name w:val="Block Text"/>
    <w:basedOn w:val="Normal"/>
    <w:pPr>
      <w:spacing w:after="120"/>
      <w:ind w:left="1440" w:right="1440"/>
    </w:pPr>
  </w:style>
  <w:style w:type="paragraph" w:styleId="BodyText">
    <w:name w:val="Body Text"/>
    <w:basedOn w:val="Normal"/>
    <w:pPr>
      <w:spacing w:after="120"/>
    </w:pPr>
  </w:style>
  <w:style w:type="paragraph" w:styleId="BodyText2">
    <w:name w:val="Body Text 2"/>
    <w:basedOn w:val="Normal"/>
    <w:pPr>
      <w:spacing w:after="120" w:line="480" w:lineRule="auto"/>
    </w:pPr>
  </w:style>
  <w:style w:type="paragraph" w:styleId="BodyText3">
    <w:name w:val="Body Text 3"/>
    <w:basedOn w:val="Normal"/>
    <w:pPr>
      <w:spacing w:after="120"/>
    </w:pPr>
    <w:rPr>
      <w:sz w:val="18"/>
    </w:rPr>
  </w:style>
  <w:style w:type="paragraph" w:styleId="BodyTextFirstIndent">
    <w:name w:val="Body Text First Indent"/>
    <w:basedOn w:val="BodyText"/>
    <w:pPr>
      <w:ind w:firstLine="210"/>
    </w:pPr>
  </w:style>
  <w:style w:type="paragraph" w:styleId="BodyTextIndent">
    <w:name w:val="Body Text Indent"/>
    <w:basedOn w:val="Normal"/>
    <w:pPr>
      <w:spacing w:after="120"/>
      <w:ind w:left="283"/>
    </w:pPr>
  </w:style>
  <w:style w:type="paragraph" w:styleId="BodyTextFirstIndent2">
    <w:name w:val="Body Text First Indent 2"/>
    <w:basedOn w:val="BodyTextIndent"/>
    <w:pPr>
      <w:ind w:firstLine="210"/>
    </w:pPr>
  </w:style>
  <w:style w:type="paragraph" w:styleId="BodyTextIndent2">
    <w:name w:val="Body Text Indent 2"/>
    <w:basedOn w:val="Normal"/>
    <w:pPr>
      <w:spacing w:after="120" w:line="480" w:lineRule="auto"/>
      <w:ind w:left="283"/>
    </w:pPr>
  </w:style>
  <w:style w:type="paragraph" w:styleId="DocumentMap">
    <w:name w:val="Document Map"/>
    <w:basedOn w:val="Normal"/>
    <w:semiHidden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000080"/>
    </w:pPr>
  </w:style>
  <w:style w:type="paragraph" w:customStyle="1" w:styleId="WA">
    <w:name w:val="WA"/>
    <w:pPr>
      <w:spacing w:after="720"/>
      <w:jc w:val="center"/>
    </w:pPr>
    <w:rPr>
      <w:sz w:val="24"/>
    </w:rPr>
  </w:style>
  <w:style w:type="paragraph" w:customStyle="1" w:styleId="Subsection">
    <w:name w:val="Subsection"/>
    <w:pPr>
      <w:tabs>
        <w:tab w:val="right" w:pos="595"/>
        <w:tab w:val="left" w:pos="879"/>
      </w:tabs>
      <w:spacing w:before="160" w:line="260" w:lineRule="atLeast"/>
      <w:ind w:left="879" w:hanging="879"/>
    </w:pPr>
    <w:rPr>
      <w:sz w:val="24"/>
    </w:rPr>
  </w:style>
  <w:style w:type="paragraph" w:styleId="BodyTextIndent3">
    <w:name w:val="Body Text Indent 3"/>
    <w:basedOn w:val="Normal"/>
    <w:pPr>
      <w:spacing w:after="120"/>
      <w:ind w:left="283"/>
    </w:pPr>
    <w:rPr>
      <w:sz w:val="18"/>
    </w:rPr>
  </w:style>
  <w:style w:type="paragraph" w:styleId="Caption">
    <w:name w:val="caption"/>
    <w:basedOn w:val="Normal"/>
    <w:next w:val="Normal"/>
    <w:qFormat/>
    <w:pPr>
      <w:spacing w:before="120" w:after="120"/>
    </w:pPr>
    <w:rPr>
      <w:b/>
    </w:rPr>
  </w:style>
  <w:style w:type="paragraph" w:customStyle="1" w:styleId="CentredBaseLine">
    <w:name w:val="CentredBaseLine"/>
    <w:pPr>
      <w:suppressLineNumbers/>
      <w:spacing w:before="240"/>
    </w:pPr>
  </w:style>
  <w:style w:type="character" w:customStyle="1" w:styleId="CharChapNo">
    <w:name w:val="CharChapNo"/>
    <w:rPr>
      <w:noProof w:val="0"/>
    </w:rPr>
  </w:style>
  <w:style w:type="character" w:customStyle="1" w:styleId="CharChapText">
    <w:name w:val="CharChapText"/>
    <w:rPr>
      <w:noProof w:val="0"/>
    </w:rPr>
  </w:style>
  <w:style w:type="character" w:customStyle="1" w:styleId="CharDivNo">
    <w:name w:val="CharDivNo"/>
    <w:rPr>
      <w:noProof w:val="0"/>
    </w:rPr>
  </w:style>
  <w:style w:type="character" w:customStyle="1" w:styleId="CharDivText">
    <w:name w:val="CharDivText"/>
    <w:rPr>
      <w:noProof w:val="0"/>
    </w:rPr>
  </w:style>
  <w:style w:type="character" w:customStyle="1" w:styleId="CharPartNo">
    <w:name w:val="CharPartNo"/>
    <w:rPr>
      <w:noProof w:val="0"/>
    </w:rPr>
  </w:style>
  <w:style w:type="character" w:customStyle="1" w:styleId="CharPartText">
    <w:name w:val="CharPartText"/>
    <w:rPr>
      <w:noProof w:val="0"/>
    </w:rPr>
  </w:style>
  <w:style w:type="character" w:customStyle="1" w:styleId="CharProduced">
    <w:name w:val="CharProduced"/>
    <w:rPr>
      <w:noProof w:val="0"/>
      <w:spacing w:val="-3"/>
    </w:rPr>
  </w:style>
  <w:style w:type="character" w:customStyle="1" w:styleId="CharSchNo">
    <w:name w:val="CharSchNo"/>
    <w:rPr>
      <w:noProof w:val="0"/>
    </w:rPr>
  </w:style>
  <w:style w:type="character" w:customStyle="1" w:styleId="CharSectno">
    <w:name w:val="CharSectno"/>
    <w:rPr>
      <w:noProof w:val="0"/>
    </w:rPr>
  </w:style>
  <w:style w:type="paragraph" w:styleId="Closing">
    <w:name w:val="Closing"/>
    <w:basedOn w:val="Normal"/>
    <w:pPr>
      <w:ind w:left="4252"/>
    </w:pPr>
  </w:style>
  <w:style w:type="character" w:styleId="CommentReference">
    <w:name w:val="annotation reference"/>
    <w:basedOn w:val="DefaultParagraphFont"/>
    <w:semiHidden/>
    <w:rPr>
      <w:noProof w:val="0"/>
      <w:sz w:val="18"/>
    </w:rPr>
  </w:style>
  <w:style w:type="paragraph" w:styleId="CommentText">
    <w:name w:val="annotation text"/>
    <w:basedOn w:val="Normal"/>
    <w:semiHidden/>
  </w:style>
  <w:style w:type="paragraph" w:styleId="Date">
    <w:name w:val="Date"/>
    <w:basedOn w:val="Normal"/>
    <w:next w:val="Normal"/>
  </w:style>
  <w:style w:type="paragraph" w:customStyle="1" w:styleId="Defitem">
    <w:name w:val="Defitem"/>
    <w:pPr>
      <w:tabs>
        <w:tab w:val="right" w:pos="2892"/>
      </w:tabs>
      <w:spacing w:before="80" w:line="260" w:lineRule="atLeast"/>
      <w:ind w:left="3204" w:hanging="3204"/>
    </w:pPr>
    <w:rPr>
      <w:snapToGrid w:val="0"/>
      <w:sz w:val="24"/>
    </w:rPr>
  </w:style>
  <w:style w:type="paragraph" w:customStyle="1" w:styleId="Defpara">
    <w:name w:val="Defpara"/>
    <w:pPr>
      <w:tabs>
        <w:tab w:val="right" w:pos="1332"/>
      </w:tabs>
      <w:spacing w:before="80" w:line="260" w:lineRule="atLeast"/>
      <w:ind w:left="1616" w:hanging="1616"/>
    </w:pPr>
    <w:rPr>
      <w:snapToGrid w:val="0"/>
      <w:sz w:val="24"/>
    </w:rPr>
  </w:style>
  <w:style w:type="paragraph" w:customStyle="1" w:styleId="Defstart">
    <w:name w:val="Defstart"/>
    <w:pPr>
      <w:spacing w:before="80" w:line="260" w:lineRule="atLeast"/>
      <w:ind w:left="879" w:hanging="879"/>
    </w:pPr>
    <w:rPr>
      <w:snapToGrid w:val="0"/>
      <w:sz w:val="24"/>
    </w:rPr>
  </w:style>
  <w:style w:type="paragraph" w:customStyle="1" w:styleId="Defsubpara">
    <w:name w:val="Defsubpara"/>
    <w:pPr>
      <w:keepLines/>
      <w:tabs>
        <w:tab w:val="right" w:pos="2041"/>
      </w:tabs>
      <w:spacing w:before="80" w:line="260" w:lineRule="atLeast"/>
      <w:ind w:left="2325" w:hanging="2325"/>
    </w:pPr>
    <w:rPr>
      <w:snapToGrid w:val="0"/>
      <w:sz w:val="24"/>
    </w:rPr>
  </w:style>
  <w:style w:type="character" w:customStyle="1" w:styleId="DraftersNotes">
    <w:name w:val="DraftersNotes"/>
    <w:basedOn w:val="DefaultParagraphFont"/>
    <w:rPr>
      <w:b/>
      <w:i/>
      <w:sz w:val="20"/>
    </w:rPr>
  </w:style>
  <w:style w:type="paragraph" w:customStyle="1" w:styleId="Ednoteitem">
    <w:name w:val="Ednote(item)"/>
    <w:pPr>
      <w:tabs>
        <w:tab w:val="right" w:pos="2765"/>
        <w:tab w:val="left" w:pos="3053"/>
      </w:tabs>
      <w:spacing w:before="80" w:line="260" w:lineRule="atLeast"/>
      <w:ind w:left="3050" w:hanging="3050"/>
    </w:pPr>
    <w:rPr>
      <w:i/>
      <w:sz w:val="24"/>
    </w:rPr>
  </w:style>
  <w:style w:type="paragraph" w:customStyle="1" w:styleId="Ednotedefitem">
    <w:name w:val="Ednote(defitem)"/>
    <w:basedOn w:val="Defitem"/>
    <w:rPr>
      <w:i/>
    </w:rPr>
  </w:style>
  <w:style w:type="paragraph" w:customStyle="1" w:styleId="Ednotepara">
    <w:name w:val="Ednote(para)"/>
    <w:pPr>
      <w:tabs>
        <w:tab w:val="right" w:pos="1325"/>
        <w:tab w:val="left" w:pos="1613"/>
      </w:tabs>
      <w:spacing w:before="120" w:line="260" w:lineRule="atLeast"/>
      <w:ind w:left="1613" w:hanging="1613"/>
    </w:pPr>
    <w:rPr>
      <w:i/>
      <w:sz w:val="24"/>
    </w:rPr>
  </w:style>
  <w:style w:type="paragraph" w:customStyle="1" w:styleId="Ednotedefpara">
    <w:name w:val="Ednote(defpara)"/>
    <w:basedOn w:val="Defpara"/>
    <w:rPr>
      <w:i/>
    </w:rPr>
  </w:style>
  <w:style w:type="paragraph" w:customStyle="1" w:styleId="Ednotesubpara">
    <w:name w:val="Ednote(subpara)"/>
    <w:pPr>
      <w:tabs>
        <w:tab w:val="right" w:pos="2047"/>
        <w:tab w:val="left" w:pos="2333"/>
      </w:tabs>
      <w:spacing w:before="80" w:line="260" w:lineRule="atLeast"/>
      <w:ind w:left="2330" w:hanging="2330"/>
    </w:pPr>
    <w:rPr>
      <w:i/>
      <w:sz w:val="24"/>
    </w:rPr>
  </w:style>
  <w:style w:type="paragraph" w:customStyle="1" w:styleId="Ednotedefsubpara">
    <w:name w:val="Ednote(defsubpara)"/>
    <w:basedOn w:val="Defsubpara"/>
    <w:rPr>
      <w:i/>
    </w:rPr>
  </w:style>
  <w:style w:type="paragraph" w:customStyle="1" w:styleId="Ednotepenitem">
    <w:name w:val="Ednote(penitem)"/>
    <w:basedOn w:val="Ednoteitem"/>
  </w:style>
  <w:style w:type="paragraph" w:customStyle="1" w:styleId="Ednotepenpara">
    <w:name w:val="Ednote(penpara)"/>
    <w:basedOn w:val="Ednotepara"/>
  </w:style>
  <w:style w:type="paragraph" w:customStyle="1" w:styleId="Ednotepensubpara">
    <w:name w:val="Ednote(pensubpara)"/>
    <w:basedOn w:val="Ednotesubpara"/>
  </w:style>
  <w:style w:type="paragraph" w:customStyle="1" w:styleId="Ednotesection">
    <w:name w:val="Ednote(section)"/>
    <w:pPr>
      <w:tabs>
        <w:tab w:val="left" w:pos="893"/>
      </w:tabs>
      <w:spacing w:before="220" w:line="260" w:lineRule="atLeast"/>
      <w:ind w:left="893" w:hanging="893"/>
      <w:outlineLvl w:val="4"/>
    </w:pPr>
    <w:rPr>
      <w:i/>
      <w:snapToGrid w:val="0"/>
      <w:sz w:val="24"/>
    </w:rPr>
  </w:style>
  <w:style w:type="paragraph" w:customStyle="1" w:styleId="Ednotesubitem">
    <w:name w:val="Ednote(subitem)"/>
    <w:pPr>
      <w:tabs>
        <w:tab w:val="right" w:pos="3485"/>
        <w:tab w:val="left" w:pos="3773"/>
      </w:tabs>
      <w:spacing w:before="80" w:line="260" w:lineRule="atLeast"/>
      <w:ind w:left="3771" w:hanging="3771"/>
    </w:pPr>
    <w:rPr>
      <w:i/>
      <w:sz w:val="24"/>
    </w:rPr>
  </w:style>
  <w:style w:type="paragraph" w:customStyle="1" w:styleId="Ednotesubsection">
    <w:name w:val="Ednote(subsection)"/>
    <w:basedOn w:val="Ednotesection"/>
    <w:pPr>
      <w:tabs>
        <w:tab w:val="clear" w:pos="893"/>
        <w:tab w:val="right" w:pos="595"/>
        <w:tab w:val="left" w:pos="879"/>
      </w:tabs>
      <w:spacing w:before="160"/>
      <w:ind w:left="890" w:hanging="890"/>
      <w:outlineLvl w:val="9"/>
    </w:pPr>
  </w:style>
  <w:style w:type="character" w:styleId="Emphasis">
    <w:name w:val="Emphasis"/>
    <w:basedOn w:val="DefaultParagraphFont"/>
    <w:qFormat/>
    <w:rPr>
      <w:i/>
      <w:sz w:val="24"/>
    </w:rPr>
  </w:style>
  <w:style w:type="paragraph" w:customStyle="1" w:styleId="Enactment">
    <w:name w:val="Enactment"/>
    <w:pPr>
      <w:spacing w:before="800"/>
    </w:pPr>
    <w:rPr>
      <w:sz w:val="24"/>
    </w:rPr>
  </w:style>
  <w:style w:type="character" w:styleId="EndnoteReference">
    <w:name w:val="endnote reference"/>
    <w:basedOn w:val="DefaultParagraphFont"/>
    <w:semiHidden/>
    <w:rPr>
      <w:sz w:val="24"/>
      <w:vertAlign w:val="superscript"/>
    </w:rPr>
  </w:style>
  <w:style w:type="paragraph" w:styleId="EndnoteText">
    <w:name w:val="endnote text"/>
    <w:basedOn w:val="Normal"/>
    <w:semiHidden/>
    <w:pPr>
      <w:spacing w:after="40"/>
      <w:ind w:left="397" w:hanging="397"/>
    </w:pPr>
  </w:style>
  <w:style w:type="paragraph" w:styleId="EnvelopeAddress">
    <w:name w:val="envelope address"/>
    <w:basedOn w:val="Normal"/>
    <w:pPr>
      <w:framePr w:w="7920" w:h="1980" w:hRule="exact" w:hSpace="180" w:wrap="auto" w:hAnchor="page" w:xAlign="center" w:yAlign="bottom"/>
      <w:ind w:left="2880"/>
    </w:pPr>
    <w:rPr>
      <w:rFonts w:ascii="Arial" w:hAnsi="Arial"/>
      <w:sz w:val="26"/>
    </w:rPr>
  </w:style>
  <w:style w:type="paragraph" w:styleId="EnvelopeReturn">
    <w:name w:val="envelope return"/>
    <w:basedOn w:val="Normal"/>
    <w:rPr>
      <w:rFonts w:ascii="Arial" w:hAnsi="Arial"/>
    </w:rPr>
  </w:style>
  <w:style w:type="paragraph" w:customStyle="1" w:styleId="Equation">
    <w:name w:val="Equation"/>
    <w:rPr>
      <w:noProof/>
      <w:sz w:val="24"/>
    </w:rPr>
  </w:style>
  <w:style w:type="character" w:styleId="FollowedHyperlink">
    <w:name w:val="FollowedHyperlink"/>
    <w:basedOn w:val="DefaultParagraphFont"/>
    <w:rPr>
      <w:color w:val="800080"/>
      <w:sz w:val="24"/>
      <w:u w:val="single"/>
    </w:rPr>
  </w:style>
  <w:style w:type="paragraph" w:styleId="Footer">
    <w:name w:val="footer"/>
    <w:basedOn w:val="Normal"/>
    <w:link w:val="FooterChar"/>
    <w:rPr>
      <w:rFonts w:ascii="Arial" w:hAnsi="Arial"/>
    </w:rPr>
  </w:style>
  <w:style w:type="paragraph" w:customStyle="1" w:styleId="FooterDisclaimer">
    <w:name w:val="Footer.Disclaimer"/>
    <w:pPr>
      <w:jc w:val="center"/>
    </w:pPr>
    <w:rPr>
      <w:rFonts w:ascii="Arial" w:hAnsi="Arial"/>
      <w:i/>
      <w:sz w:val="16"/>
    </w:rPr>
  </w:style>
  <w:style w:type="character" w:styleId="FootnoteReference">
    <w:name w:val="footnote reference"/>
    <w:basedOn w:val="DefaultParagraphFont"/>
    <w:semiHidden/>
    <w:rPr>
      <w:sz w:val="24"/>
      <w:vertAlign w:val="superscript"/>
    </w:rPr>
  </w:style>
  <w:style w:type="paragraph" w:styleId="FootnoteText">
    <w:name w:val="footnote text"/>
    <w:basedOn w:val="Normal"/>
    <w:semiHidden/>
  </w:style>
  <w:style w:type="paragraph" w:customStyle="1" w:styleId="Footnoteheading">
    <w:name w:val="Footnote(heading)"/>
    <w:pPr>
      <w:tabs>
        <w:tab w:val="left" w:pos="879"/>
      </w:tabs>
      <w:spacing w:before="120" w:line="260" w:lineRule="atLeast"/>
      <w:ind w:left="879" w:hanging="879"/>
    </w:pPr>
    <w:rPr>
      <w:i/>
      <w:sz w:val="24"/>
    </w:rPr>
  </w:style>
  <w:style w:type="paragraph" w:customStyle="1" w:styleId="Footnotesection">
    <w:name w:val="Footnote(section)"/>
    <w:pPr>
      <w:keepLines/>
      <w:tabs>
        <w:tab w:val="left" w:pos="893"/>
      </w:tabs>
      <w:spacing w:before="120" w:line="260" w:lineRule="atLeast"/>
      <w:ind w:left="893" w:hanging="893"/>
    </w:pPr>
    <w:rPr>
      <w:i/>
      <w:snapToGrid w:val="0"/>
      <w:sz w:val="24"/>
    </w:rPr>
  </w:style>
  <w:style w:type="paragraph" w:customStyle="1" w:styleId="Graphics">
    <w:name w:val="Graphics"/>
    <w:basedOn w:val="Equation"/>
  </w:style>
  <w:style w:type="character" w:styleId="Hyperlink">
    <w:name w:val="Hyperlink"/>
    <w:basedOn w:val="DefaultParagraphFont"/>
    <w:rPr>
      <w:color w:val="0000FF"/>
      <w:sz w:val="24"/>
      <w:u w:val="single"/>
    </w:rPr>
  </w:style>
  <w:style w:type="paragraph" w:customStyle="1" w:styleId="Indenta">
    <w:name w:val="Indent(a)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sz w:val="24"/>
    </w:rPr>
  </w:style>
  <w:style w:type="paragraph" w:customStyle="1" w:styleId="IndentA0">
    <w:name w:val="Indent(A)"/>
    <w:pPr>
      <w:tabs>
        <w:tab w:val="right" w:pos="3686"/>
        <w:tab w:val="left" w:pos="3969"/>
      </w:tabs>
      <w:spacing w:before="80" w:line="260" w:lineRule="atLeast"/>
      <w:ind w:left="3969" w:hanging="3969"/>
    </w:pPr>
    <w:rPr>
      <w:sz w:val="24"/>
    </w:rPr>
  </w:style>
  <w:style w:type="paragraph" w:customStyle="1" w:styleId="Indenti">
    <w:name w:val="Indent(i)"/>
    <w:pPr>
      <w:tabs>
        <w:tab w:val="right" w:pos="2041"/>
        <w:tab w:val="left" w:pos="2325"/>
      </w:tabs>
      <w:spacing w:before="80" w:line="260" w:lineRule="atLeast"/>
      <w:ind w:left="2325" w:hanging="2325"/>
    </w:pPr>
    <w:rPr>
      <w:sz w:val="24"/>
    </w:rPr>
  </w:style>
  <w:style w:type="paragraph" w:customStyle="1" w:styleId="IndentI0">
    <w:name w:val="Indent(I)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sz w:val="24"/>
    </w:rPr>
  </w:style>
  <w:style w:type="paragraph" w:styleId="Index1">
    <w:name w:val="index 1"/>
    <w:basedOn w:val="Normal"/>
    <w:next w:val="Normal"/>
    <w:autoRedefine/>
    <w:semiHidden/>
    <w:pPr>
      <w:ind w:left="200" w:hanging="200"/>
    </w:pPr>
  </w:style>
  <w:style w:type="paragraph" w:styleId="Index2">
    <w:name w:val="index 2"/>
    <w:basedOn w:val="Normal"/>
    <w:next w:val="Normal"/>
    <w:autoRedefine/>
    <w:semiHidden/>
    <w:pPr>
      <w:ind w:left="400" w:hanging="200"/>
    </w:pPr>
  </w:style>
  <w:style w:type="paragraph" w:styleId="Index3">
    <w:name w:val="index 3"/>
    <w:basedOn w:val="Normal"/>
    <w:next w:val="Normal"/>
    <w:autoRedefine/>
    <w:semiHidden/>
    <w:pPr>
      <w:ind w:left="600" w:hanging="200"/>
    </w:pPr>
  </w:style>
  <w:style w:type="paragraph" w:styleId="Index4">
    <w:name w:val="index 4"/>
    <w:basedOn w:val="Normal"/>
    <w:next w:val="Normal"/>
    <w:autoRedefine/>
    <w:semiHidden/>
    <w:pPr>
      <w:ind w:left="800" w:hanging="200"/>
    </w:pPr>
  </w:style>
  <w:style w:type="paragraph" w:styleId="Index5">
    <w:name w:val="index 5"/>
    <w:basedOn w:val="Normal"/>
    <w:next w:val="Normal"/>
    <w:autoRedefine/>
    <w:semiHidden/>
    <w:pPr>
      <w:ind w:left="1000" w:hanging="200"/>
    </w:pPr>
  </w:style>
  <w:style w:type="paragraph" w:styleId="Index6">
    <w:name w:val="index 6"/>
    <w:basedOn w:val="Normal"/>
    <w:next w:val="Normal"/>
    <w:autoRedefine/>
    <w:semiHidden/>
    <w:pPr>
      <w:ind w:left="1200" w:hanging="200"/>
    </w:pPr>
  </w:style>
  <w:style w:type="paragraph" w:styleId="Index7">
    <w:name w:val="index 7"/>
    <w:basedOn w:val="Normal"/>
    <w:next w:val="Normal"/>
    <w:autoRedefine/>
    <w:semiHidden/>
    <w:pPr>
      <w:ind w:left="1400" w:hanging="200"/>
    </w:pPr>
  </w:style>
  <w:style w:type="paragraph" w:styleId="Index8">
    <w:name w:val="index 8"/>
    <w:basedOn w:val="Normal"/>
    <w:next w:val="Normal"/>
    <w:autoRedefine/>
    <w:semiHidden/>
    <w:pPr>
      <w:ind w:left="1600" w:hanging="200"/>
    </w:pPr>
  </w:style>
  <w:style w:type="paragraph" w:styleId="Index9">
    <w:name w:val="index 9"/>
    <w:basedOn w:val="Normal"/>
    <w:next w:val="Normal"/>
    <w:autoRedefine/>
    <w:semiHidden/>
    <w:pPr>
      <w:ind w:left="1800" w:hanging="200"/>
    </w:pPr>
  </w:style>
  <w:style w:type="paragraph" w:styleId="IndexHeading">
    <w:name w:val="index heading"/>
    <w:basedOn w:val="Normal"/>
    <w:next w:val="Index1"/>
    <w:semiHidden/>
    <w:rPr>
      <w:rFonts w:ascii="Arial" w:hAnsi="Arial"/>
      <w:b/>
    </w:rPr>
  </w:style>
  <w:style w:type="character" w:styleId="LineNumber">
    <w:name w:val="line number"/>
    <w:basedOn w:val="DefaultParagraphFont"/>
    <w:rPr>
      <w:rFonts w:ascii="Times" w:hAnsi="Times"/>
      <w:sz w:val="18"/>
    </w:rPr>
  </w:style>
  <w:style w:type="paragraph" w:styleId="List">
    <w:name w:val="List"/>
    <w:basedOn w:val="Normal"/>
    <w:pPr>
      <w:ind w:left="283" w:hanging="283"/>
    </w:pPr>
  </w:style>
  <w:style w:type="paragraph" w:styleId="List2">
    <w:name w:val="List 2"/>
    <w:basedOn w:val="Normal"/>
    <w:pPr>
      <w:ind w:left="566" w:hanging="283"/>
    </w:pPr>
  </w:style>
  <w:style w:type="paragraph" w:styleId="List3">
    <w:name w:val="List 3"/>
    <w:basedOn w:val="Normal"/>
    <w:pPr>
      <w:ind w:left="849" w:hanging="283"/>
    </w:pPr>
  </w:style>
  <w:style w:type="paragraph" w:styleId="List4">
    <w:name w:val="List 4"/>
    <w:basedOn w:val="Normal"/>
    <w:pPr>
      <w:ind w:left="1132" w:hanging="283"/>
    </w:pPr>
  </w:style>
  <w:style w:type="paragraph" w:styleId="List5">
    <w:name w:val="List 5"/>
    <w:basedOn w:val="Normal"/>
    <w:pPr>
      <w:ind w:left="1415" w:hanging="283"/>
    </w:pPr>
  </w:style>
  <w:style w:type="paragraph" w:styleId="ListBullet">
    <w:name w:val="List Bullet"/>
    <w:basedOn w:val="Normal"/>
    <w:autoRedefine/>
    <w:pPr>
      <w:tabs>
        <w:tab w:val="num" w:pos="360"/>
      </w:tabs>
    </w:pPr>
  </w:style>
  <w:style w:type="paragraph" w:styleId="ListBullet2">
    <w:name w:val="List Bullet 2"/>
    <w:basedOn w:val="Normal"/>
    <w:autoRedefine/>
    <w:pPr>
      <w:tabs>
        <w:tab w:val="num" w:pos="360"/>
        <w:tab w:val="num" w:pos="720"/>
      </w:tabs>
      <w:ind w:left="720"/>
    </w:pPr>
  </w:style>
  <w:style w:type="paragraph" w:styleId="ListBullet3">
    <w:name w:val="List Bullet 3"/>
    <w:basedOn w:val="Normal"/>
    <w:autoRedefine/>
    <w:pPr>
      <w:tabs>
        <w:tab w:val="num" w:pos="360"/>
        <w:tab w:val="num" w:pos="1080"/>
      </w:tabs>
      <w:ind w:left="1080"/>
    </w:pPr>
  </w:style>
  <w:style w:type="paragraph" w:styleId="ListBullet4">
    <w:name w:val="List Bullet 4"/>
    <w:basedOn w:val="Normal"/>
    <w:autoRedefine/>
    <w:pPr>
      <w:tabs>
        <w:tab w:val="num" w:pos="360"/>
        <w:tab w:val="num" w:pos="1440"/>
      </w:tabs>
      <w:ind w:left="1440"/>
    </w:pPr>
  </w:style>
  <w:style w:type="paragraph" w:styleId="ListBullet5">
    <w:name w:val="List Bullet 5"/>
    <w:basedOn w:val="Normal"/>
    <w:autoRedefine/>
    <w:pPr>
      <w:tabs>
        <w:tab w:val="num" w:pos="360"/>
        <w:tab w:val="num" w:pos="1800"/>
      </w:tabs>
      <w:ind w:left="1800"/>
    </w:pPr>
  </w:style>
  <w:style w:type="paragraph" w:styleId="ListContinue">
    <w:name w:val="List Continue"/>
    <w:basedOn w:val="Normal"/>
    <w:pPr>
      <w:spacing w:after="120"/>
      <w:ind w:left="283"/>
    </w:pPr>
  </w:style>
  <w:style w:type="paragraph" w:styleId="ListContinue2">
    <w:name w:val="List Continue 2"/>
    <w:basedOn w:val="Normal"/>
    <w:pPr>
      <w:spacing w:after="120"/>
      <w:ind w:left="566"/>
    </w:pPr>
  </w:style>
  <w:style w:type="paragraph" w:styleId="ListContinue3">
    <w:name w:val="List Continue 3"/>
    <w:basedOn w:val="Normal"/>
    <w:pPr>
      <w:spacing w:after="120"/>
      <w:ind w:left="849"/>
    </w:pPr>
  </w:style>
  <w:style w:type="paragraph" w:styleId="ListContinue4">
    <w:name w:val="List Continue 4"/>
    <w:basedOn w:val="Normal"/>
    <w:pPr>
      <w:spacing w:after="120"/>
      <w:ind w:left="1132"/>
    </w:pPr>
  </w:style>
  <w:style w:type="paragraph" w:styleId="ListContinue5">
    <w:name w:val="List Continue 5"/>
    <w:basedOn w:val="Normal"/>
    <w:pPr>
      <w:spacing w:after="120"/>
      <w:ind w:left="1415"/>
    </w:pPr>
  </w:style>
  <w:style w:type="paragraph" w:styleId="ListNumber">
    <w:name w:val="List Number"/>
    <w:basedOn w:val="Normal"/>
    <w:pPr>
      <w:tabs>
        <w:tab w:val="num" w:pos="360"/>
      </w:tabs>
    </w:pPr>
  </w:style>
  <w:style w:type="paragraph" w:styleId="ListNumber2">
    <w:name w:val="List Number 2"/>
    <w:basedOn w:val="Normal"/>
    <w:pPr>
      <w:tabs>
        <w:tab w:val="num" w:pos="360"/>
        <w:tab w:val="num" w:pos="720"/>
      </w:tabs>
      <w:ind w:left="720"/>
    </w:pPr>
  </w:style>
  <w:style w:type="paragraph" w:styleId="ListNumber3">
    <w:name w:val="List Number 3"/>
    <w:basedOn w:val="Normal"/>
    <w:pPr>
      <w:tabs>
        <w:tab w:val="num" w:pos="360"/>
        <w:tab w:val="num" w:pos="1080"/>
      </w:tabs>
      <w:ind w:left="1080"/>
    </w:pPr>
  </w:style>
  <w:style w:type="paragraph" w:styleId="ListNumber4">
    <w:name w:val="List Number 4"/>
    <w:basedOn w:val="Normal"/>
    <w:pPr>
      <w:tabs>
        <w:tab w:val="num" w:pos="360"/>
        <w:tab w:val="num" w:pos="1440"/>
      </w:tabs>
      <w:ind w:left="1440"/>
    </w:pPr>
  </w:style>
  <w:style w:type="paragraph" w:styleId="ListNumber5">
    <w:name w:val="List Number 5"/>
    <w:basedOn w:val="Normal"/>
    <w:pPr>
      <w:tabs>
        <w:tab w:val="num" w:pos="360"/>
        <w:tab w:val="num" w:pos="1800"/>
      </w:tabs>
      <w:ind w:left="1800"/>
    </w:pPr>
  </w:style>
  <w:style w:type="paragraph" w:customStyle="1" w:styleId="LongTitle">
    <w:name w:val="Long Title"/>
    <w:rPr>
      <w:b/>
      <w:sz w:val="24"/>
    </w:rPr>
  </w:style>
  <w:style w:type="paragraph" w:styleId="MacroText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sz w:val="24"/>
    </w:rPr>
  </w:style>
  <w:style w:type="paragraph" w:customStyle="1" w:styleId="MadeBy">
    <w:name w:val="MadeBy"/>
    <w:pPr>
      <w:spacing w:before="600"/>
    </w:pPr>
    <w:rPr>
      <w:sz w:val="24"/>
    </w:rPr>
  </w:style>
  <w:style w:type="paragraph" w:styleId="MessageHeader">
    <w:name w:val="Message Header"/>
    <w:basedOn w:val="Normal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  <w:sz w:val="26"/>
    </w:rPr>
  </w:style>
  <w:style w:type="paragraph" w:customStyle="1" w:styleId="MiscClose">
    <w:name w:val="MiscClose"/>
    <w:basedOn w:val="Normal"/>
    <w:pPr>
      <w:keepLines/>
      <w:tabs>
        <w:tab w:val="left" w:pos="893"/>
      </w:tabs>
      <w:spacing w:line="260" w:lineRule="atLeast"/>
      <w:jc w:val="right"/>
    </w:pPr>
  </w:style>
  <w:style w:type="paragraph" w:customStyle="1" w:styleId="MiscellaneousHeading">
    <w:name w:val="Miscellaneous Heading"/>
    <w:pPr>
      <w:keepNext/>
      <w:spacing w:before="160" w:line="260" w:lineRule="atLeast"/>
      <w:jc w:val="center"/>
    </w:pPr>
    <w:rPr>
      <w:sz w:val="24"/>
    </w:rPr>
  </w:style>
  <w:style w:type="paragraph" w:customStyle="1" w:styleId="MiscellaneousBody">
    <w:name w:val="Miscellaneous Body"/>
    <w:basedOn w:val="MiscellaneousHeading"/>
    <w:pPr>
      <w:keepNext w:val="0"/>
      <w:jc w:val="left"/>
    </w:pPr>
  </w:style>
  <w:style w:type="paragraph" w:customStyle="1" w:styleId="MiscellaneousFootnotes">
    <w:name w:val="Miscellaneous Footnotes"/>
    <w:basedOn w:val="MiscellaneousBody"/>
  </w:style>
  <w:style w:type="paragraph" w:customStyle="1" w:styleId="MiscOpen">
    <w:name w:val="MiscOpen"/>
    <w:pPr>
      <w:keepNext/>
      <w:keepLines/>
      <w:tabs>
        <w:tab w:val="left" w:pos="893"/>
      </w:tabs>
      <w:spacing w:before="120" w:line="260" w:lineRule="atLeast"/>
    </w:pPr>
    <w:rPr>
      <w:sz w:val="24"/>
    </w:rPr>
  </w:style>
  <w:style w:type="paragraph" w:customStyle="1" w:styleId="NameofActRegPage1">
    <w:name w:val="Name of Act/Reg(Page 1)"/>
    <w:basedOn w:val="NameofActReg"/>
    <w:pPr>
      <w:spacing w:before="0" w:after="720"/>
    </w:pPr>
  </w:style>
  <w:style w:type="paragraph" w:customStyle="1" w:styleId="nHeading2">
    <w:name w:val="nHeading 2"/>
    <w:qFormat/>
    <w:pPr>
      <w:keepNext/>
      <w:jc w:val="center"/>
      <w:outlineLvl w:val="1"/>
    </w:pPr>
    <w:rPr>
      <w:b/>
      <w:sz w:val="32"/>
    </w:rPr>
  </w:style>
  <w:style w:type="paragraph" w:customStyle="1" w:styleId="nHeading3">
    <w:name w:val="nHeading 3"/>
    <w:qFormat/>
    <w:pPr>
      <w:keepNext/>
      <w:spacing w:before="240" w:after="120"/>
      <w:jc w:val="center"/>
      <w:outlineLvl w:val="2"/>
    </w:pPr>
    <w:rPr>
      <w:b/>
      <w:sz w:val="26"/>
    </w:rPr>
  </w:style>
  <w:style w:type="paragraph" w:styleId="NormalIndent">
    <w:name w:val="Normal Indent"/>
    <w:basedOn w:val="Normal"/>
    <w:pPr>
      <w:ind w:left="720"/>
    </w:pPr>
  </w:style>
  <w:style w:type="paragraph" w:styleId="NoteHeading">
    <w:name w:val="Note Heading"/>
    <w:basedOn w:val="Normal"/>
    <w:next w:val="Normal"/>
  </w:style>
  <w:style w:type="paragraph" w:customStyle="1" w:styleId="Penpara">
    <w:name w:val="Penpara"/>
    <w:pPr>
      <w:tabs>
        <w:tab w:val="right" w:pos="1616"/>
        <w:tab w:val="left" w:pos="1899"/>
      </w:tabs>
      <w:spacing w:before="80" w:line="260" w:lineRule="atLeast"/>
      <w:ind w:left="1899" w:hanging="1899"/>
    </w:pPr>
    <w:rPr>
      <w:sz w:val="24"/>
    </w:rPr>
  </w:style>
  <w:style w:type="paragraph" w:customStyle="1" w:styleId="Penstart">
    <w:name w:val="Penstart"/>
    <w:basedOn w:val="Normal"/>
    <w:pPr>
      <w:tabs>
        <w:tab w:val="left" w:pos="879"/>
      </w:tabs>
      <w:spacing w:before="80" w:line="260" w:lineRule="atLeast"/>
      <w:ind w:left="1332" w:hanging="1332"/>
    </w:pPr>
  </w:style>
  <w:style w:type="paragraph" w:customStyle="1" w:styleId="Table">
    <w:name w:val="Table"/>
    <w:aliases w:val="t"/>
    <w:basedOn w:val="Normal"/>
    <w:pPr>
      <w:spacing w:before="60" w:line="240" w:lineRule="atLeast"/>
    </w:pPr>
    <w:rPr>
      <w:sz w:val="22"/>
    </w:rPr>
  </w:style>
  <w:style w:type="paragraph" w:customStyle="1" w:styleId="nTable">
    <w:name w:val="nTable"/>
    <w:pPr>
      <w:spacing w:before="40"/>
    </w:pPr>
    <w:rPr>
      <w:sz w:val="19"/>
    </w:rPr>
  </w:style>
  <w:style w:type="paragraph" w:customStyle="1" w:styleId="zDefpara">
    <w:name w:val="zDefpara"/>
    <w:pPr>
      <w:tabs>
        <w:tab w:val="right" w:pos="1899"/>
      </w:tabs>
      <w:spacing w:before="80" w:line="260" w:lineRule="atLeast"/>
      <w:ind w:left="2183" w:right="284" w:hanging="1616"/>
    </w:pPr>
    <w:rPr>
      <w:snapToGrid w:val="0"/>
      <w:sz w:val="24"/>
    </w:rPr>
  </w:style>
  <w:style w:type="paragraph" w:customStyle="1" w:styleId="zDefstart">
    <w:name w:val="zDefstart"/>
    <w:pPr>
      <w:spacing w:before="80" w:line="260" w:lineRule="atLeast"/>
      <w:ind w:left="1446" w:right="284" w:hanging="879"/>
    </w:pPr>
    <w:rPr>
      <w:snapToGrid w:val="0"/>
      <w:sz w:val="24"/>
    </w:rPr>
  </w:style>
  <w:style w:type="paragraph" w:customStyle="1" w:styleId="zDefsubpara">
    <w:name w:val="zDefsubpara"/>
    <w:pPr>
      <w:keepLines/>
      <w:tabs>
        <w:tab w:val="right" w:pos="2608"/>
      </w:tabs>
      <w:spacing w:before="80" w:line="260" w:lineRule="atLeast"/>
      <w:ind w:left="2892" w:right="284" w:hanging="2325"/>
    </w:pPr>
    <w:rPr>
      <w:snapToGrid w:val="0"/>
      <w:sz w:val="24"/>
    </w:rPr>
  </w:style>
  <w:style w:type="paragraph" w:customStyle="1" w:styleId="zHeading2">
    <w:name w:val="zHeading 2"/>
    <w:basedOn w:val="Heading2"/>
    <w:pPr>
      <w:pageBreakBefore w:val="0"/>
      <w:spacing w:before="240"/>
      <w:ind w:left="567" w:right="284"/>
      <w:outlineLvl w:val="9"/>
    </w:pPr>
  </w:style>
  <w:style w:type="paragraph" w:customStyle="1" w:styleId="zHeading3">
    <w:name w:val="zHeading 3"/>
    <w:basedOn w:val="Heading3"/>
    <w:pPr>
      <w:ind w:left="567" w:right="284"/>
      <w:outlineLvl w:val="9"/>
    </w:pPr>
  </w:style>
  <w:style w:type="paragraph" w:customStyle="1" w:styleId="zHeading4">
    <w:name w:val="zHeading 4"/>
    <w:basedOn w:val="Heading4"/>
    <w:pPr>
      <w:ind w:left="567" w:right="284"/>
      <w:outlineLvl w:val="9"/>
    </w:pPr>
  </w:style>
  <w:style w:type="paragraph" w:customStyle="1" w:styleId="zHeading5">
    <w:name w:val="zHeading 5"/>
    <w:basedOn w:val="Heading5"/>
    <w:pPr>
      <w:tabs>
        <w:tab w:val="clear" w:pos="879"/>
        <w:tab w:val="left" w:pos="1446"/>
      </w:tabs>
      <w:ind w:left="1446" w:right="284"/>
      <w:outlineLvl w:val="9"/>
    </w:pPr>
  </w:style>
  <w:style w:type="paragraph" w:customStyle="1" w:styleId="zIndenta">
    <w:name w:val="zIndent(a)"/>
    <w:basedOn w:val="Normal"/>
    <w:pPr>
      <w:tabs>
        <w:tab w:val="right" w:pos="1899"/>
        <w:tab w:val="left" w:pos="2183"/>
      </w:tabs>
      <w:spacing w:before="80" w:line="260" w:lineRule="atLeast"/>
      <w:ind w:left="2183" w:right="284" w:hanging="851"/>
    </w:pPr>
  </w:style>
  <w:style w:type="paragraph" w:customStyle="1" w:styleId="zIndentA0">
    <w:name w:val="zIndent(A)"/>
    <w:basedOn w:val="Normal"/>
    <w:pPr>
      <w:tabs>
        <w:tab w:val="right" w:pos="4253"/>
        <w:tab w:val="left" w:pos="4536"/>
      </w:tabs>
      <w:spacing w:before="80" w:line="260" w:lineRule="atLeast"/>
      <w:ind w:left="4537" w:right="284" w:hanging="851"/>
    </w:pPr>
  </w:style>
  <w:style w:type="paragraph" w:customStyle="1" w:styleId="zIndenti">
    <w:name w:val="zIndent(i)"/>
    <w:basedOn w:val="Normal"/>
    <w:pPr>
      <w:tabs>
        <w:tab w:val="right" w:pos="2608"/>
        <w:tab w:val="left" w:pos="2892"/>
      </w:tabs>
      <w:spacing w:before="80" w:line="260" w:lineRule="atLeast"/>
      <w:ind w:left="2892" w:right="284" w:hanging="851"/>
    </w:pPr>
  </w:style>
  <w:style w:type="paragraph" w:customStyle="1" w:styleId="zIndentI0">
    <w:name w:val="zIndent(I)"/>
    <w:basedOn w:val="Normal"/>
    <w:pPr>
      <w:tabs>
        <w:tab w:val="right" w:pos="3459"/>
        <w:tab w:val="left" w:pos="3771"/>
      </w:tabs>
      <w:spacing w:before="80" w:line="260" w:lineRule="atLeast"/>
      <w:ind w:left="3743" w:right="284" w:hanging="851"/>
    </w:pPr>
  </w:style>
  <w:style w:type="paragraph" w:customStyle="1" w:styleId="zPenpara">
    <w:name w:val="zPenpara"/>
    <w:basedOn w:val="Normal"/>
    <w:pPr>
      <w:tabs>
        <w:tab w:val="right" w:pos="2155"/>
        <w:tab w:val="left" w:pos="2438"/>
      </w:tabs>
      <w:spacing w:before="80" w:line="260" w:lineRule="atLeast"/>
      <w:ind w:left="2439" w:right="284" w:hanging="2070"/>
    </w:pPr>
  </w:style>
  <w:style w:type="paragraph" w:customStyle="1" w:styleId="zPenstart">
    <w:name w:val="zPenstart"/>
    <w:basedOn w:val="Normal"/>
    <w:pPr>
      <w:tabs>
        <w:tab w:val="left" w:pos="1446"/>
      </w:tabs>
      <w:spacing w:before="80" w:line="260" w:lineRule="atLeast"/>
      <w:ind w:left="1843" w:right="284" w:hanging="1021"/>
    </w:pPr>
  </w:style>
  <w:style w:type="paragraph" w:customStyle="1" w:styleId="zSubsection">
    <w:name w:val="zSubsection"/>
    <w:basedOn w:val="Normal"/>
    <w:pPr>
      <w:tabs>
        <w:tab w:val="right" w:pos="1162"/>
        <w:tab w:val="left" w:pos="1446"/>
      </w:tabs>
      <w:spacing w:before="160" w:line="260" w:lineRule="atLeast"/>
      <w:ind w:left="1446" w:right="284" w:hanging="851"/>
    </w:pPr>
  </w:style>
  <w:style w:type="paragraph" w:customStyle="1" w:styleId="BlankClose">
    <w:name w:val="BlankClose"/>
    <w:basedOn w:val="Normal"/>
    <w:pPr>
      <w:keepLines/>
      <w:jc w:val="center"/>
    </w:pPr>
    <w:rPr>
      <w:szCs w:val="24"/>
    </w:rPr>
  </w:style>
  <w:style w:type="paragraph" w:customStyle="1" w:styleId="ParlHouse">
    <w:name w:val="ParlHouse"/>
    <w:basedOn w:val="WA"/>
    <w:pPr>
      <w:spacing w:after="300"/>
    </w:pPr>
    <w:rPr>
      <w:u w:val="single"/>
    </w:rPr>
  </w:style>
  <w:style w:type="paragraph" w:customStyle="1" w:styleId="Penitem">
    <w:name w:val="Penitem"/>
    <w:pPr>
      <w:tabs>
        <w:tab w:val="right" w:pos="3119"/>
        <w:tab w:val="left" w:pos="3402"/>
      </w:tabs>
      <w:spacing w:before="80" w:line="260" w:lineRule="atLeast"/>
      <w:ind w:left="3402" w:hanging="3402"/>
    </w:pPr>
    <w:rPr>
      <w:sz w:val="24"/>
    </w:rPr>
  </w:style>
  <w:style w:type="paragraph" w:customStyle="1" w:styleId="Pensubpara">
    <w:name w:val="Pensubpara"/>
    <w:pPr>
      <w:tabs>
        <w:tab w:val="right" w:pos="2325"/>
        <w:tab w:val="left" w:pos="2608"/>
      </w:tabs>
      <w:spacing w:before="80" w:line="260" w:lineRule="atLeast"/>
      <w:ind w:left="2608" w:hanging="2608"/>
    </w:pPr>
    <w:rPr>
      <w:sz w:val="24"/>
    </w:rPr>
  </w:style>
  <w:style w:type="paragraph" w:customStyle="1" w:styleId="Preamble">
    <w:name w:val="Preamble"/>
    <w:pPr>
      <w:tabs>
        <w:tab w:val="left" w:pos="567"/>
      </w:tabs>
      <w:spacing w:before="160" w:line="260" w:lineRule="atLeast"/>
      <w:ind w:left="567" w:hanging="567"/>
    </w:pPr>
    <w:rPr>
      <w:rFonts w:ascii="Times" w:hAnsi="Times"/>
      <w:sz w:val="24"/>
    </w:rPr>
  </w:style>
  <w:style w:type="paragraph" w:customStyle="1" w:styleId="PrincipalActReg">
    <w:name w:val="PrincipalAct_Reg"/>
    <w:pPr>
      <w:spacing w:after="480"/>
      <w:jc w:val="center"/>
    </w:pPr>
    <w:rPr>
      <w:sz w:val="24"/>
    </w:rPr>
  </w:style>
  <w:style w:type="paragraph" w:styleId="Salutation">
    <w:name w:val="Salutation"/>
    <w:basedOn w:val="Normal"/>
    <w:next w:val="Normal"/>
  </w:style>
  <w:style w:type="paragraph" w:styleId="Signature">
    <w:name w:val="Signature"/>
    <w:basedOn w:val="Normal"/>
    <w:pPr>
      <w:ind w:left="4252"/>
    </w:pPr>
  </w:style>
  <w:style w:type="character" w:styleId="Strong">
    <w:name w:val="Strong"/>
    <w:basedOn w:val="DefaultParagraphFont"/>
    <w:qFormat/>
    <w:rPr>
      <w:b/>
      <w:sz w:val="24"/>
    </w:rPr>
  </w:style>
  <w:style w:type="paragraph" w:styleId="Subtitle">
    <w:name w:val="Subtitle"/>
    <w:basedOn w:val="Normal"/>
    <w:qFormat/>
    <w:pPr>
      <w:spacing w:after="60"/>
      <w:jc w:val="center"/>
      <w:outlineLvl w:val="1"/>
    </w:pPr>
    <w:rPr>
      <w:rFonts w:ascii="Arial" w:hAnsi="Arial"/>
      <w:sz w:val="26"/>
    </w:rPr>
  </w:style>
  <w:style w:type="paragraph" w:styleId="TableofAuthorities">
    <w:name w:val="table of authorities"/>
    <w:basedOn w:val="Normal"/>
    <w:next w:val="Normal"/>
    <w:semiHidden/>
    <w:pPr>
      <w:ind w:left="220" w:hanging="220"/>
    </w:pPr>
  </w:style>
  <w:style w:type="paragraph" w:styleId="TableofFigures">
    <w:name w:val="table of figures"/>
    <w:basedOn w:val="Normal"/>
    <w:next w:val="Normal"/>
    <w:semiHidden/>
    <w:pPr>
      <w:ind w:left="440" w:hanging="440"/>
    </w:pPr>
  </w:style>
  <w:style w:type="paragraph" w:styleId="Title">
    <w:name w:val="Title"/>
    <w:basedOn w:val="Normal"/>
    <w:qFormat/>
    <w:pPr>
      <w:spacing w:before="240" w:after="60"/>
      <w:jc w:val="center"/>
      <w:outlineLvl w:val="0"/>
    </w:pPr>
    <w:rPr>
      <w:rFonts w:ascii="Arial" w:hAnsi="Arial"/>
      <w:b/>
      <w:kern w:val="28"/>
      <w:sz w:val="34"/>
    </w:rPr>
  </w:style>
  <w:style w:type="paragraph" w:styleId="TOAHeading">
    <w:name w:val="toa heading"/>
    <w:basedOn w:val="Normal"/>
    <w:next w:val="Normal"/>
    <w:semiHidden/>
    <w:pPr>
      <w:spacing w:before="120"/>
    </w:pPr>
    <w:rPr>
      <w:rFonts w:ascii="Arial" w:hAnsi="Arial"/>
      <w:b/>
      <w:sz w:val="26"/>
    </w:rPr>
  </w:style>
  <w:style w:type="paragraph" w:styleId="TOC1">
    <w:name w:val="toc 1"/>
    <w:basedOn w:val="Heading1"/>
    <w:next w:val="Normal"/>
    <w:semiHidden/>
    <w:pPr>
      <w:keepNext w:val="0"/>
      <w:keepLines w:val="0"/>
      <w:pageBreakBefore w:val="0"/>
      <w:spacing w:before="120" w:after="120"/>
      <w:jc w:val="left"/>
      <w:outlineLvl w:val="9"/>
    </w:pPr>
    <w:rPr>
      <w:caps/>
      <w:kern w:val="0"/>
      <w:sz w:val="20"/>
    </w:rPr>
  </w:style>
  <w:style w:type="paragraph" w:styleId="TOC2">
    <w:name w:val="toc 2"/>
    <w:next w:val="Normal"/>
    <w:semiHidden/>
    <w:pPr>
      <w:keepNext/>
      <w:spacing w:before="120" w:after="60"/>
      <w:ind w:left="1985" w:right="1134" w:hanging="567"/>
    </w:pPr>
    <w:rPr>
      <w:b/>
      <w:noProof/>
      <w:sz w:val="28"/>
    </w:rPr>
  </w:style>
  <w:style w:type="paragraph" w:styleId="TOC3">
    <w:name w:val="toc 3"/>
    <w:next w:val="Normal"/>
    <w:semiHidden/>
    <w:pPr>
      <w:keepNext/>
      <w:spacing w:before="120" w:after="60"/>
      <w:ind w:left="1985" w:right="1134" w:hanging="567"/>
    </w:pPr>
    <w:rPr>
      <w:rFonts w:ascii="Helvetica" w:hAnsi="Helvetica"/>
      <w:b/>
      <w:noProof/>
      <w:sz w:val="18"/>
    </w:rPr>
  </w:style>
  <w:style w:type="paragraph" w:styleId="TOC4">
    <w:name w:val="toc 4"/>
    <w:next w:val="Normal"/>
    <w:semiHidden/>
    <w:pPr>
      <w:keepNext/>
      <w:spacing w:before="60" w:after="20"/>
      <w:ind w:left="1985" w:right="1134" w:hanging="567"/>
    </w:pPr>
    <w:rPr>
      <w:b/>
      <w:noProof/>
      <w:sz w:val="22"/>
    </w:rPr>
  </w:style>
  <w:style w:type="paragraph" w:styleId="TOC5">
    <w:name w:val="toc 5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noProof/>
      <w:sz w:val="18"/>
    </w:rPr>
  </w:style>
  <w:style w:type="paragraph" w:styleId="TOC6">
    <w:name w:val="toc 6"/>
    <w:next w:val="Normal"/>
    <w:semiHidden/>
    <w:pPr>
      <w:keepNext/>
      <w:spacing w:before="60" w:after="20"/>
      <w:ind w:left="1985" w:right="1134" w:hanging="567"/>
    </w:pPr>
    <w:rPr>
      <w:b/>
      <w:noProof/>
    </w:rPr>
  </w:style>
  <w:style w:type="paragraph" w:styleId="TOC7">
    <w:name w:val="toc 7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sz w:val="18"/>
    </w:rPr>
  </w:style>
  <w:style w:type="paragraph" w:styleId="TOC8">
    <w:name w:val="toc 8"/>
    <w:next w:val="Normal"/>
    <w:uiPriority w:val="39"/>
    <w:pPr>
      <w:tabs>
        <w:tab w:val="left" w:pos="1418"/>
        <w:tab w:val="right" w:pos="6804"/>
      </w:tabs>
      <w:ind w:left="1418" w:right="1134" w:hanging="851"/>
    </w:pPr>
    <w:rPr>
      <w:noProof/>
      <w:sz w:val="22"/>
    </w:rPr>
  </w:style>
  <w:style w:type="paragraph" w:styleId="TOC9">
    <w:name w:val="toc 9"/>
    <w:next w:val="Normal"/>
    <w:semiHidden/>
    <w:pPr>
      <w:tabs>
        <w:tab w:val="left" w:pos="2268"/>
        <w:tab w:val="right" w:pos="6237"/>
      </w:tabs>
      <w:ind w:left="2269" w:right="1418" w:hanging="851"/>
    </w:pPr>
    <w:rPr>
      <w:rFonts w:ascii="Helvetica" w:hAnsi="Helvetica"/>
      <w:sz w:val="18"/>
    </w:rPr>
  </w:style>
  <w:style w:type="paragraph" w:customStyle="1" w:styleId="yDefitem">
    <w:name w:val="yDefitem"/>
    <w:pPr>
      <w:tabs>
        <w:tab w:val="right" w:pos="2892"/>
      </w:tabs>
      <w:spacing w:before="80"/>
      <w:ind w:left="3204" w:hanging="3204"/>
    </w:pPr>
    <w:rPr>
      <w:snapToGrid w:val="0"/>
      <w:sz w:val="22"/>
    </w:rPr>
  </w:style>
  <w:style w:type="paragraph" w:customStyle="1" w:styleId="yDefpara">
    <w:name w:val="yDefpara"/>
    <w:pPr>
      <w:tabs>
        <w:tab w:val="right" w:pos="1332"/>
      </w:tabs>
      <w:spacing w:before="80"/>
      <w:ind w:left="1616" w:hanging="1616"/>
    </w:pPr>
    <w:rPr>
      <w:snapToGrid w:val="0"/>
      <w:sz w:val="22"/>
    </w:rPr>
  </w:style>
  <w:style w:type="paragraph" w:customStyle="1" w:styleId="yDefstart">
    <w:name w:val="yDefstart"/>
    <w:pPr>
      <w:spacing w:before="80"/>
      <w:ind w:left="879" w:hanging="879"/>
    </w:pPr>
    <w:rPr>
      <w:snapToGrid w:val="0"/>
      <w:sz w:val="22"/>
    </w:rPr>
  </w:style>
  <w:style w:type="paragraph" w:customStyle="1" w:styleId="yDefsubpara">
    <w:name w:val="yDefsubpara"/>
    <w:pPr>
      <w:keepLines/>
      <w:tabs>
        <w:tab w:val="right" w:pos="2041"/>
      </w:tabs>
      <w:spacing w:before="80"/>
      <w:ind w:left="2325" w:hanging="2325"/>
    </w:pPr>
    <w:rPr>
      <w:snapToGrid w:val="0"/>
      <w:sz w:val="22"/>
    </w:rPr>
  </w:style>
  <w:style w:type="paragraph" w:customStyle="1" w:styleId="yEdnoteitem">
    <w:name w:val="yEdnote(item)"/>
    <w:basedOn w:val="Ednoteitem"/>
    <w:pPr>
      <w:spacing w:line="240" w:lineRule="auto"/>
    </w:pPr>
    <w:rPr>
      <w:sz w:val="22"/>
    </w:rPr>
  </w:style>
  <w:style w:type="paragraph" w:customStyle="1" w:styleId="yEdnotepara">
    <w:name w:val="yEdnote(para)"/>
    <w:basedOn w:val="Ednotepara"/>
    <w:pPr>
      <w:spacing w:before="80" w:line="240" w:lineRule="auto"/>
      <w:ind w:left="1610" w:hanging="1610"/>
    </w:pPr>
    <w:rPr>
      <w:sz w:val="22"/>
    </w:rPr>
  </w:style>
  <w:style w:type="paragraph" w:customStyle="1" w:styleId="yEdnotesection">
    <w:name w:val="yEdnote(section)"/>
    <w:basedOn w:val="Ednotesection"/>
    <w:pPr>
      <w:spacing w:line="240" w:lineRule="auto"/>
      <w:ind w:left="890" w:hanging="890"/>
    </w:pPr>
    <w:rPr>
      <w:sz w:val="22"/>
    </w:rPr>
  </w:style>
  <w:style w:type="paragraph" w:customStyle="1" w:styleId="yEdnotesubitem">
    <w:name w:val="yEdnote(subitem)"/>
    <w:basedOn w:val="Ednotesubitem"/>
    <w:pPr>
      <w:spacing w:line="240" w:lineRule="auto"/>
    </w:pPr>
    <w:rPr>
      <w:sz w:val="22"/>
    </w:rPr>
  </w:style>
  <w:style w:type="paragraph" w:customStyle="1" w:styleId="yEdnotesubpara">
    <w:name w:val="yEdnote(subpara)"/>
    <w:basedOn w:val="Ednotesubpara"/>
    <w:pPr>
      <w:spacing w:line="240" w:lineRule="auto"/>
    </w:pPr>
    <w:rPr>
      <w:sz w:val="22"/>
    </w:rPr>
  </w:style>
  <w:style w:type="paragraph" w:customStyle="1" w:styleId="yFootnoteheading">
    <w:name w:val="yFootnote(heading)"/>
    <w:basedOn w:val="Footnoteheading"/>
    <w:pPr>
      <w:spacing w:line="240" w:lineRule="auto"/>
    </w:pPr>
    <w:rPr>
      <w:sz w:val="22"/>
    </w:rPr>
  </w:style>
  <w:style w:type="paragraph" w:customStyle="1" w:styleId="yFootnotesection">
    <w:name w:val="yFootnote(section)"/>
    <w:basedOn w:val="Footnotesection"/>
    <w:pPr>
      <w:spacing w:line="240" w:lineRule="auto"/>
      <w:ind w:left="890" w:hanging="890"/>
    </w:pPr>
    <w:rPr>
      <w:sz w:val="22"/>
    </w:rPr>
  </w:style>
  <w:style w:type="paragraph" w:customStyle="1" w:styleId="yHeading1">
    <w:name w:val="yHeading 1"/>
    <w:basedOn w:val="Heading1"/>
    <w:pPr>
      <w:spacing w:line="240" w:lineRule="auto"/>
    </w:pPr>
    <w:rPr>
      <w:sz w:val="32"/>
    </w:rPr>
  </w:style>
  <w:style w:type="paragraph" w:customStyle="1" w:styleId="yHeading2">
    <w:name w:val="yHeading 2"/>
    <w:basedOn w:val="Heading2"/>
    <w:pPr>
      <w:pageBreakBefore w:val="0"/>
      <w:spacing w:before="240" w:line="240" w:lineRule="auto"/>
    </w:pPr>
    <w:rPr>
      <w:sz w:val="28"/>
    </w:rPr>
  </w:style>
  <w:style w:type="paragraph" w:customStyle="1" w:styleId="yHeading3">
    <w:name w:val="yHeading 3"/>
    <w:basedOn w:val="Heading3"/>
    <w:pPr>
      <w:spacing w:line="240" w:lineRule="auto"/>
    </w:pPr>
    <w:rPr>
      <w:sz w:val="24"/>
    </w:rPr>
  </w:style>
  <w:style w:type="paragraph" w:customStyle="1" w:styleId="yHeading4">
    <w:name w:val="yHeading 4"/>
    <w:basedOn w:val="Heading4"/>
    <w:rPr>
      <w:sz w:val="22"/>
    </w:rPr>
  </w:style>
  <w:style w:type="paragraph" w:customStyle="1" w:styleId="yHeading5">
    <w:name w:val="yHeading 5"/>
    <w:basedOn w:val="Heading5"/>
    <w:pPr>
      <w:spacing w:line="240" w:lineRule="auto"/>
    </w:pPr>
    <w:rPr>
      <w:sz w:val="22"/>
    </w:rPr>
  </w:style>
  <w:style w:type="paragraph" w:customStyle="1" w:styleId="yIndenta">
    <w:name w:val="yIndent(a)"/>
    <w:basedOn w:val="Indenta"/>
    <w:pPr>
      <w:spacing w:line="240" w:lineRule="auto"/>
    </w:pPr>
    <w:rPr>
      <w:sz w:val="22"/>
    </w:rPr>
  </w:style>
  <w:style w:type="paragraph" w:customStyle="1" w:styleId="yIndentA0">
    <w:name w:val="yIndent(A)"/>
    <w:basedOn w:val="IndentA0"/>
    <w:pPr>
      <w:spacing w:line="240" w:lineRule="auto"/>
    </w:pPr>
    <w:rPr>
      <w:sz w:val="22"/>
    </w:rPr>
  </w:style>
  <w:style w:type="paragraph" w:customStyle="1" w:styleId="yIndentI">
    <w:name w:val="yIndent(I)"/>
    <w:basedOn w:val="IndentI0"/>
    <w:pPr>
      <w:spacing w:line="240" w:lineRule="auto"/>
    </w:pPr>
    <w:rPr>
      <w:sz w:val="22"/>
    </w:rPr>
  </w:style>
  <w:style w:type="paragraph" w:customStyle="1" w:styleId="yIndenti0">
    <w:name w:val="yIndent(i)"/>
    <w:basedOn w:val="Indenti"/>
    <w:pPr>
      <w:spacing w:line="240" w:lineRule="auto"/>
    </w:pPr>
    <w:rPr>
      <w:sz w:val="22"/>
    </w:rPr>
  </w:style>
  <w:style w:type="paragraph" w:customStyle="1" w:styleId="yPenitem">
    <w:name w:val="yPenitem"/>
    <w:basedOn w:val="Penitem"/>
    <w:pPr>
      <w:spacing w:line="240" w:lineRule="auto"/>
    </w:pPr>
    <w:rPr>
      <w:sz w:val="22"/>
    </w:rPr>
  </w:style>
  <w:style w:type="paragraph" w:customStyle="1" w:styleId="yPenpara">
    <w:name w:val="yPenpara"/>
    <w:basedOn w:val="Penpara"/>
    <w:pPr>
      <w:spacing w:line="240" w:lineRule="auto"/>
    </w:pPr>
    <w:rPr>
      <w:sz w:val="22"/>
    </w:rPr>
  </w:style>
  <w:style w:type="paragraph" w:customStyle="1" w:styleId="yPenstart">
    <w:name w:val="yPenstart"/>
    <w:basedOn w:val="Penstart"/>
    <w:pPr>
      <w:spacing w:line="240" w:lineRule="auto"/>
    </w:pPr>
    <w:rPr>
      <w:sz w:val="22"/>
    </w:rPr>
  </w:style>
  <w:style w:type="paragraph" w:customStyle="1" w:styleId="yPensubpara">
    <w:name w:val="yPensubpara"/>
    <w:basedOn w:val="Pensubpara"/>
    <w:pPr>
      <w:spacing w:line="240" w:lineRule="auto"/>
    </w:pPr>
    <w:rPr>
      <w:sz w:val="22"/>
    </w:rPr>
  </w:style>
  <w:style w:type="paragraph" w:customStyle="1" w:styleId="yScheduleHeading">
    <w:name w:val="yScheduleHeading"/>
    <w:basedOn w:val="yHeading2"/>
    <w:pPr>
      <w:pageBreakBefore/>
      <w:spacing w:before="0"/>
    </w:pPr>
  </w:style>
  <w:style w:type="paragraph" w:customStyle="1" w:styleId="yShoulderClause">
    <w:name w:val="yShoulderClause"/>
    <w:next w:val="ySubsection"/>
    <w:pPr>
      <w:spacing w:before="120"/>
      <w:jc w:val="right"/>
    </w:pPr>
    <w:rPr>
      <w:sz w:val="22"/>
    </w:rPr>
  </w:style>
  <w:style w:type="paragraph" w:customStyle="1" w:styleId="ySubsection">
    <w:name w:val="ySubsection"/>
    <w:basedOn w:val="Subsection"/>
    <w:pPr>
      <w:spacing w:line="240" w:lineRule="auto"/>
    </w:pPr>
    <w:rPr>
      <w:sz w:val="22"/>
    </w:rPr>
  </w:style>
  <w:style w:type="paragraph" w:customStyle="1" w:styleId="yTable">
    <w:name w:val="yTable"/>
    <w:basedOn w:val="Table"/>
    <w:pPr>
      <w:spacing w:line="240" w:lineRule="auto"/>
    </w:pPr>
  </w:style>
  <w:style w:type="paragraph" w:customStyle="1" w:styleId="zDefitem">
    <w:name w:val="zDefitem"/>
    <w:pPr>
      <w:tabs>
        <w:tab w:val="right" w:pos="3459"/>
      </w:tabs>
      <w:spacing w:before="80" w:line="260" w:lineRule="atLeast"/>
      <w:ind w:left="3686" w:right="284" w:hanging="3119"/>
    </w:pPr>
    <w:rPr>
      <w:snapToGrid w:val="0"/>
      <w:sz w:val="24"/>
    </w:rPr>
  </w:style>
  <w:style w:type="paragraph" w:customStyle="1" w:styleId="zHeading1">
    <w:name w:val="zHeading 1"/>
    <w:basedOn w:val="Heading1"/>
    <w:pPr>
      <w:ind w:left="567" w:right="284"/>
      <w:outlineLvl w:val="9"/>
    </w:pPr>
  </w:style>
  <w:style w:type="paragraph" w:customStyle="1" w:styleId="zMiscellaneousBody">
    <w:name w:val="zMiscellaneousBody"/>
    <w:basedOn w:val="Normal"/>
    <w:pPr>
      <w:spacing w:before="160" w:line="260" w:lineRule="atLeast"/>
      <w:ind w:left="567" w:right="284"/>
    </w:pPr>
  </w:style>
  <w:style w:type="paragraph" w:customStyle="1" w:styleId="zMiscellaneousHeading">
    <w:name w:val="zMiscellaneousHeading"/>
    <w:basedOn w:val="MiscellaneousHeading"/>
    <w:pPr>
      <w:ind w:left="567" w:right="284"/>
    </w:pPr>
  </w:style>
  <w:style w:type="paragraph" w:customStyle="1" w:styleId="zPenitem">
    <w:name w:val="zPenitem"/>
    <w:basedOn w:val="Normal"/>
    <w:pPr>
      <w:tabs>
        <w:tab w:val="right" w:pos="3402"/>
        <w:tab w:val="left" w:pos="3686"/>
      </w:tabs>
      <w:spacing w:before="80" w:line="260" w:lineRule="atLeast"/>
      <w:ind w:left="3686" w:right="284" w:hanging="851"/>
    </w:pPr>
  </w:style>
  <w:style w:type="paragraph" w:customStyle="1" w:styleId="zPensubpara">
    <w:name w:val="zPensubpara"/>
    <w:basedOn w:val="Normal"/>
    <w:pPr>
      <w:tabs>
        <w:tab w:val="right" w:pos="2608"/>
        <w:tab w:val="left" w:pos="2892"/>
      </w:tabs>
      <w:spacing w:before="160" w:line="260" w:lineRule="atLeast"/>
      <w:ind w:left="2892" w:right="284" w:hanging="851"/>
    </w:pPr>
  </w:style>
  <w:style w:type="paragraph" w:customStyle="1" w:styleId="zyDefitem">
    <w:name w:val="zyDefitem"/>
    <w:pPr>
      <w:tabs>
        <w:tab w:val="right" w:pos="3459"/>
      </w:tabs>
      <w:spacing w:before="80"/>
      <w:ind w:left="3686" w:right="284" w:hanging="3119"/>
    </w:pPr>
    <w:rPr>
      <w:snapToGrid w:val="0"/>
      <w:sz w:val="22"/>
    </w:rPr>
  </w:style>
  <w:style w:type="paragraph" w:customStyle="1" w:styleId="zyDefpara">
    <w:name w:val="zyDefpara"/>
    <w:pPr>
      <w:tabs>
        <w:tab w:val="right" w:pos="1899"/>
      </w:tabs>
      <w:spacing w:before="80"/>
      <w:ind w:left="2183" w:right="284" w:hanging="1616"/>
    </w:pPr>
    <w:rPr>
      <w:snapToGrid w:val="0"/>
      <w:sz w:val="22"/>
    </w:rPr>
  </w:style>
  <w:style w:type="paragraph" w:customStyle="1" w:styleId="zyDefstart">
    <w:name w:val="zyDefstart"/>
    <w:pPr>
      <w:spacing w:before="80"/>
      <w:ind w:left="1446" w:right="284" w:hanging="879"/>
    </w:pPr>
    <w:rPr>
      <w:snapToGrid w:val="0"/>
      <w:sz w:val="22"/>
    </w:rPr>
  </w:style>
  <w:style w:type="paragraph" w:customStyle="1" w:styleId="zyDefsubpara">
    <w:name w:val="zyDefsubpara"/>
    <w:pPr>
      <w:keepLines/>
      <w:tabs>
        <w:tab w:val="right" w:pos="2608"/>
      </w:tabs>
      <w:spacing w:before="80"/>
      <w:ind w:left="2892" w:right="284" w:hanging="2325"/>
    </w:pPr>
    <w:rPr>
      <w:snapToGrid w:val="0"/>
      <w:sz w:val="22"/>
    </w:rPr>
  </w:style>
  <w:style w:type="paragraph" w:customStyle="1" w:styleId="zyHeading1">
    <w:name w:val="zyHeading 1"/>
    <w:basedOn w:val="zHeading1"/>
    <w:pPr>
      <w:spacing w:line="240" w:lineRule="auto"/>
    </w:pPr>
    <w:rPr>
      <w:sz w:val="32"/>
    </w:rPr>
  </w:style>
  <w:style w:type="paragraph" w:customStyle="1" w:styleId="zyHeading2">
    <w:name w:val="zyHeading 2"/>
    <w:basedOn w:val="zHeading2"/>
    <w:pPr>
      <w:spacing w:line="240" w:lineRule="auto"/>
    </w:pPr>
    <w:rPr>
      <w:sz w:val="28"/>
    </w:rPr>
  </w:style>
  <w:style w:type="paragraph" w:customStyle="1" w:styleId="zyHeading3">
    <w:name w:val="zyHeading 3"/>
    <w:basedOn w:val="zHeading3"/>
    <w:pPr>
      <w:spacing w:line="240" w:lineRule="auto"/>
    </w:pPr>
    <w:rPr>
      <w:sz w:val="24"/>
    </w:rPr>
  </w:style>
  <w:style w:type="paragraph" w:customStyle="1" w:styleId="zyHeading4">
    <w:name w:val="zyHeading 4"/>
    <w:basedOn w:val="zHeading4"/>
    <w:rPr>
      <w:sz w:val="22"/>
    </w:rPr>
  </w:style>
  <w:style w:type="paragraph" w:customStyle="1" w:styleId="zyHeading5">
    <w:name w:val="zyHeading 5"/>
    <w:basedOn w:val="zHeading5"/>
    <w:pPr>
      <w:spacing w:line="240" w:lineRule="auto"/>
    </w:pPr>
    <w:rPr>
      <w:sz w:val="22"/>
    </w:rPr>
  </w:style>
  <w:style w:type="paragraph" w:customStyle="1" w:styleId="zyIndenta">
    <w:name w:val="zyIndent(a)"/>
    <w:basedOn w:val="zIndenta"/>
    <w:pPr>
      <w:spacing w:line="240" w:lineRule="auto"/>
    </w:pPr>
    <w:rPr>
      <w:sz w:val="22"/>
    </w:rPr>
  </w:style>
  <w:style w:type="paragraph" w:customStyle="1" w:styleId="zyIndentA0">
    <w:name w:val="zyIndent(A)"/>
    <w:basedOn w:val="zIndentA0"/>
    <w:pPr>
      <w:spacing w:line="240" w:lineRule="auto"/>
    </w:pPr>
    <w:rPr>
      <w:sz w:val="22"/>
    </w:rPr>
  </w:style>
  <w:style w:type="paragraph" w:customStyle="1" w:styleId="zyIndenti">
    <w:name w:val="zyIndent(i)"/>
    <w:basedOn w:val="zIndenti"/>
    <w:pPr>
      <w:spacing w:line="240" w:lineRule="auto"/>
    </w:pPr>
    <w:rPr>
      <w:sz w:val="22"/>
    </w:rPr>
  </w:style>
  <w:style w:type="paragraph" w:customStyle="1" w:styleId="zyIndentI0">
    <w:name w:val="zyIndent(I)"/>
    <w:basedOn w:val="zIndentI0"/>
    <w:pPr>
      <w:spacing w:line="240" w:lineRule="auto"/>
    </w:pPr>
    <w:rPr>
      <w:sz w:val="22"/>
    </w:rPr>
  </w:style>
  <w:style w:type="paragraph" w:customStyle="1" w:styleId="zyPenitem">
    <w:name w:val="zyPenitem"/>
    <w:basedOn w:val="zPenitem"/>
    <w:pPr>
      <w:spacing w:line="240" w:lineRule="auto"/>
    </w:pPr>
    <w:rPr>
      <w:sz w:val="22"/>
    </w:rPr>
  </w:style>
  <w:style w:type="paragraph" w:customStyle="1" w:styleId="zyPenpara">
    <w:name w:val="zyPenpara"/>
    <w:basedOn w:val="zPenpara"/>
    <w:pPr>
      <w:spacing w:line="240" w:lineRule="auto"/>
    </w:pPr>
    <w:rPr>
      <w:sz w:val="22"/>
    </w:rPr>
  </w:style>
  <w:style w:type="paragraph" w:customStyle="1" w:styleId="zyPenstart">
    <w:name w:val="zyPenstart"/>
    <w:basedOn w:val="zPenstart"/>
    <w:pPr>
      <w:spacing w:line="240" w:lineRule="auto"/>
    </w:pPr>
    <w:rPr>
      <w:sz w:val="22"/>
    </w:rPr>
  </w:style>
  <w:style w:type="paragraph" w:customStyle="1" w:styleId="zyPensubpara">
    <w:name w:val="zyPensubpara"/>
    <w:basedOn w:val="zPensubpara"/>
    <w:pPr>
      <w:spacing w:line="240" w:lineRule="auto"/>
      <w:ind w:left="3459" w:hanging="2892"/>
    </w:pPr>
    <w:rPr>
      <w:sz w:val="22"/>
    </w:rPr>
  </w:style>
  <w:style w:type="paragraph" w:customStyle="1" w:styleId="zyScheduleHeading">
    <w:name w:val="zyScheduleHeading"/>
    <w:basedOn w:val="yScheduleHeading"/>
    <w:pPr>
      <w:pageBreakBefore w:val="0"/>
      <w:outlineLvl w:val="9"/>
    </w:pPr>
    <w:rPr>
      <w:sz w:val="26"/>
    </w:rPr>
  </w:style>
  <w:style w:type="paragraph" w:customStyle="1" w:styleId="zyShoulderClause">
    <w:name w:val="zyShoulderClause"/>
    <w:basedOn w:val="yShoulderClause"/>
  </w:style>
  <w:style w:type="paragraph" w:customStyle="1" w:styleId="zySubsection">
    <w:name w:val="zySubsection"/>
    <w:basedOn w:val="zSubsection"/>
    <w:pPr>
      <w:spacing w:line="240" w:lineRule="auto"/>
    </w:pPr>
    <w:rPr>
      <w:sz w:val="22"/>
    </w:rPr>
  </w:style>
  <w:style w:type="paragraph" w:styleId="Header">
    <w:name w:val="header"/>
    <w:rPr>
      <w:rFonts w:ascii="Arial" w:hAnsi="Arial"/>
      <w:noProof/>
    </w:rPr>
  </w:style>
  <w:style w:type="character" w:customStyle="1" w:styleId="CharDefText">
    <w:name w:val="CharDefText"/>
    <w:basedOn w:val="DefaultParagraphFont"/>
    <w:rPr>
      <w:b/>
      <w:i/>
    </w:rPr>
  </w:style>
  <w:style w:type="paragraph" w:customStyle="1" w:styleId="ByCommand">
    <w:name w:val="ByCommand"/>
    <w:basedOn w:val="Normal"/>
    <w:pPr>
      <w:tabs>
        <w:tab w:val="right" w:pos="7088"/>
      </w:tabs>
      <w:spacing w:before="1080"/>
    </w:pPr>
  </w:style>
  <w:style w:type="paragraph" w:customStyle="1" w:styleId="DraftNo">
    <w:name w:val="DraftNo"/>
    <w:basedOn w:val="WA"/>
    <w:pPr>
      <w:spacing w:before="120" w:after="120"/>
    </w:pPr>
  </w:style>
  <w:style w:type="character" w:customStyle="1" w:styleId="CharSchText">
    <w:name w:val="CharSchText"/>
    <w:rPr>
      <w:noProof w:val="0"/>
    </w:rPr>
  </w:style>
  <w:style w:type="paragraph" w:customStyle="1" w:styleId="DefinedTerms">
    <w:name w:val="Defined Terms"/>
    <w:pPr>
      <w:tabs>
        <w:tab w:val="right" w:leader="dot" w:pos="7070"/>
      </w:tabs>
      <w:ind w:left="578" w:right="578"/>
    </w:pPr>
  </w:style>
  <w:style w:type="paragraph" w:customStyle="1" w:styleId="zLongTitle">
    <w:name w:val="zLong Title"/>
    <w:basedOn w:val="LongTitle"/>
    <w:pPr>
      <w:ind w:left="567" w:right="284"/>
    </w:pPr>
  </w:style>
  <w:style w:type="paragraph" w:customStyle="1" w:styleId="zytable">
    <w:name w:val="zytable"/>
    <w:basedOn w:val="yTable"/>
    <w:pPr>
      <w:ind w:left="567" w:right="284"/>
    </w:pPr>
  </w:style>
  <w:style w:type="paragraph" w:customStyle="1" w:styleId="yMiscellaneousBody">
    <w:name w:val="yMiscellaneous Body"/>
    <w:basedOn w:val="MiscellaneousBody"/>
    <w:pPr>
      <w:spacing w:line="240" w:lineRule="auto"/>
    </w:pPr>
    <w:rPr>
      <w:sz w:val="22"/>
    </w:rPr>
  </w:style>
  <w:style w:type="paragraph" w:customStyle="1" w:styleId="yMiscellaneousFootnotes">
    <w:name w:val="yMiscellaneous Footnotes"/>
    <w:basedOn w:val="MiscellaneousFootnotes"/>
    <w:pPr>
      <w:spacing w:line="240" w:lineRule="auto"/>
    </w:pPr>
    <w:rPr>
      <w:sz w:val="22"/>
    </w:rPr>
  </w:style>
  <w:style w:type="paragraph" w:customStyle="1" w:styleId="yMiscellaneousHeading">
    <w:name w:val="yMiscellaneous Heading"/>
    <w:basedOn w:val="MiscellaneousHeading"/>
    <w:pPr>
      <w:spacing w:line="240" w:lineRule="auto"/>
    </w:pPr>
    <w:rPr>
      <w:sz w:val="22"/>
    </w:rPr>
  </w:style>
  <w:style w:type="paragraph" w:customStyle="1" w:styleId="zTablet">
    <w:name w:val="zTable t"/>
    <w:basedOn w:val="Table"/>
  </w:style>
  <w:style w:type="paragraph" w:customStyle="1" w:styleId="zyMiscellaneousBody">
    <w:name w:val="zyMiscellaneous Body"/>
    <w:basedOn w:val="zMiscellaneousBody"/>
    <w:pPr>
      <w:spacing w:line="240" w:lineRule="auto"/>
    </w:pPr>
    <w:rPr>
      <w:sz w:val="22"/>
    </w:rPr>
  </w:style>
  <w:style w:type="paragraph" w:customStyle="1" w:styleId="zyMiscellaneousHeading">
    <w:name w:val="zyMiscellaneous Heading"/>
    <w:basedOn w:val="zMiscellaneousHeading"/>
    <w:pPr>
      <w:spacing w:line="240" w:lineRule="auto"/>
    </w:pPr>
    <w:rPr>
      <w:sz w:val="22"/>
    </w:rPr>
  </w:style>
  <w:style w:type="paragraph" w:customStyle="1" w:styleId="OmitFootnote">
    <w:name w:val="OmitFootnote"/>
    <w:basedOn w:val="yEdnotesection"/>
    <w:pPr>
      <w:spacing w:before="600"/>
      <w:outlineLvl w:val="1"/>
    </w:pPr>
  </w:style>
  <w:style w:type="paragraph" w:customStyle="1" w:styleId="yNumberedItem">
    <w:name w:val="yNumberedItem"/>
    <w:pPr>
      <w:spacing w:before="120"/>
      <w:ind w:left="879" w:hanging="879"/>
    </w:pPr>
    <w:rPr>
      <w:sz w:val="22"/>
    </w:rPr>
  </w:style>
  <w:style w:type="paragraph" w:customStyle="1" w:styleId="zyNumberedItem">
    <w:name w:val="zyNumberedItem"/>
    <w:pPr>
      <w:spacing w:before="120"/>
      <w:ind w:left="1446" w:right="284" w:hanging="879"/>
    </w:pPr>
    <w:rPr>
      <w:sz w:val="22"/>
    </w:rPr>
  </w:style>
  <w:style w:type="paragraph" w:customStyle="1" w:styleId="yScheduleHeading2">
    <w:name w:val="yScheduleHeading 2"/>
    <w:basedOn w:val="yScheduleHeading"/>
    <w:pPr>
      <w:pageBreakBefore w:val="0"/>
      <w:spacing w:before="240"/>
    </w:pPr>
  </w:style>
  <w:style w:type="character" w:customStyle="1" w:styleId="CharSClsNo">
    <w:name w:val="CharSClsNo"/>
    <w:basedOn w:val="DefaultParagraphFont"/>
    <w:rPr>
      <w:sz w:val="22"/>
    </w:rPr>
  </w:style>
  <w:style w:type="character" w:customStyle="1" w:styleId="CharSDivNo">
    <w:name w:val="CharSDivNo"/>
    <w:basedOn w:val="DefaultParagraphFont"/>
    <w:rPr>
      <w:sz w:val="24"/>
    </w:rPr>
  </w:style>
  <w:style w:type="character" w:customStyle="1" w:styleId="CharSDivText">
    <w:name w:val="CharSDivText"/>
    <w:basedOn w:val="DefaultParagraphFont"/>
    <w:rPr>
      <w:sz w:val="24"/>
    </w:rPr>
  </w:style>
  <w:style w:type="paragraph" w:customStyle="1" w:styleId="BlankOpen">
    <w:name w:val="BlankOpen"/>
    <w:basedOn w:val="Normal"/>
    <w:pPr>
      <w:keepNext/>
      <w:keepLines/>
      <w:jc w:val="center"/>
    </w:pPr>
    <w:rPr>
      <w:szCs w:val="24"/>
    </w:rPr>
  </w:style>
  <w:style w:type="paragraph" w:customStyle="1" w:styleId="Ednotepart">
    <w:name w:val="Ednote(part)"/>
    <w:basedOn w:val="Ednotesection"/>
    <w:pPr>
      <w:tabs>
        <w:tab w:val="clear" w:pos="893"/>
      </w:tabs>
      <w:ind w:left="0" w:firstLine="0"/>
    </w:pPr>
  </w:style>
  <w:style w:type="paragraph" w:customStyle="1" w:styleId="Ednotedivision">
    <w:name w:val="Ednote(division)"/>
    <w:basedOn w:val="Ednotepart"/>
  </w:style>
  <w:style w:type="paragraph" w:customStyle="1" w:styleId="Ednotesubdivision">
    <w:name w:val="Ednote(subdivision)"/>
    <w:basedOn w:val="Ednotepart"/>
  </w:style>
  <w:style w:type="paragraph" w:customStyle="1" w:styleId="Footnotelongtitle">
    <w:name w:val="Footnote(longtitle)"/>
    <w:basedOn w:val="Footnotesection"/>
  </w:style>
  <w:style w:type="paragraph" w:customStyle="1" w:styleId="Footnotepreamble">
    <w:name w:val="Footnote(preamble)"/>
    <w:basedOn w:val="Footnotesection"/>
  </w:style>
  <w:style w:type="paragraph" w:customStyle="1" w:styleId="LongTitle2">
    <w:name w:val="Long Title2"/>
    <w:basedOn w:val="LongTitle"/>
    <w:pPr>
      <w:tabs>
        <w:tab w:val="right" w:pos="170"/>
        <w:tab w:val="left" w:pos="397"/>
      </w:tabs>
      <w:ind w:left="397" w:hanging="397"/>
    </w:pPr>
  </w:style>
  <w:style w:type="paragraph" w:customStyle="1" w:styleId="LongTitle3">
    <w:name w:val="Long Title3"/>
    <w:basedOn w:val="LongTitle"/>
    <w:pPr>
      <w:tabs>
        <w:tab w:val="right" w:pos="567"/>
        <w:tab w:val="left" w:pos="794"/>
      </w:tabs>
      <w:ind w:left="794" w:hanging="794"/>
    </w:pPr>
  </w:style>
  <w:style w:type="paragraph" w:customStyle="1" w:styleId="Preamble2">
    <w:name w:val="Preamble2"/>
    <w:basedOn w:val="Preamble"/>
    <w:pPr>
      <w:tabs>
        <w:tab w:val="clear" w:pos="567"/>
      </w:tabs>
      <w:spacing w:before="80"/>
      <w:ind w:left="0" w:firstLine="0"/>
    </w:pPr>
  </w:style>
  <w:style w:type="paragraph" w:customStyle="1" w:styleId="Preamble1">
    <w:name w:val="Preamble1"/>
    <w:basedOn w:val="Preamble2"/>
    <w:pPr>
      <w:spacing w:before="120"/>
    </w:pPr>
    <w:rPr>
      <w:b/>
    </w:rPr>
  </w:style>
  <w:style w:type="paragraph" w:customStyle="1" w:styleId="Preamble3">
    <w:name w:val="Preamble3"/>
    <w:basedOn w:val="Preamble2"/>
    <w:pPr>
      <w:tabs>
        <w:tab w:val="right" w:pos="595"/>
        <w:tab w:val="left" w:pos="879"/>
      </w:tabs>
      <w:ind w:left="879" w:hanging="879"/>
    </w:pPr>
  </w:style>
  <w:style w:type="paragraph" w:customStyle="1" w:styleId="Preamble4">
    <w:name w:val="Preamble4"/>
    <w:basedOn w:val="Preamble2"/>
    <w:pPr>
      <w:tabs>
        <w:tab w:val="right" w:pos="1332"/>
        <w:tab w:val="left" w:pos="1616"/>
      </w:tabs>
      <w:ind w:left="1616" w:hanging="1616"/>
    </w:pPr>
  </w:style>
  <w:style w:type="paragraph" w:customStyle="1" w:styleId="ReprintNo">
    <w:name w:val="ReprintNo"/>
    <w:rPr>
      <w:b/>
      <w:noProof/>
      <w:sz w:val="28"/>
    </w:rPr>
  </w:style>
  <w:style w:type="paragraph" w:customStyle="1" w:styleId="TableAm">
    <w:name w:val="TableAm"/>
    <w:qFormat/>
    <w:pPr>
      <w:tabs>
        <w:tab w:val="left" w:pos="567"/>
      </w:tabs>
      <w:spacing w:before="120"/>
    </w:pPr>
    <w:rPr>
      <w:sz w:val="24"/>
    </w:rPr>
  </w:style>
  <w:style w:type="paragraph" w:customStyle="1" w:styleId="TableAmNote">
    <w:name w:val="TableAmNote"/>
    <w:pPr>
      <w:tabs>
        <w:tab w:val="left" w:pos="567"/>
      </w:tabs>
      <w:spacing w:before="60"/>
    </w:pPr>
    <w:rPr>
      <w:rFonts w:ascii="Arial" w:hAnsi="Arial"/>
      <w:sz w:val="18"/>
    </w:rPr>
  </w:style>
  <w:style w:type="paragraph" w:customStyle="1" w:styleId="yEdnotedefitem">
    <w:name w:val="yEdnote(defitem)"/>
    <w:basedOn w:val="yDefitem"/>
    <w:rPr>
      <w:i/>
    </w:rPr>
  </w:style>
  <w:style w:type="paragraph" w:customStyle="1" w:styleId="yEdnotedefpara">
    <w:name w:val="yEdnote(defpara)"/>
    <w:basedOn w:val="yDefpara"/>
    <w:rPr>
      <w:i/>
    </w:rPr>
  </w:style>
  <w:style w:type="paragraph" w:customStyle="1" w:styleId="yEdnotedefsubpara">
    <w:name w:val="yEdnote(defsubpara)"/>
    <w:basedOn w:val="yDefsubpara"/>
    <w:rPr>
      <w:i/>
    </w:rPr>
  </w:style>
  <w:style w:type="paragraph" w:customStyle="1" w:styleId="yEdnoteschedule">
    <w:name w:val="yEdnote(schedule)"/>
    <w:basedOn w:val="yEdnotesection"/>
    <w:pPr>
      <w:tabs>
        <w:tab w:val="clear" w:pos="893"/>
      </w:tabs>
      <w:ind w:left="0" w:firstLine="0"/>
    </w:pPr>
  </w:style>
  <w:style w:type="paragraph" w:customStyle="1" w:styleId="yEdnotedivision">
    <w:name w:val="yEdnote(division)"/>
    <w:basedOn w:val="yEdnoteschedule"/>
  </w:style>
  <w:style w:type="paragraph" w:customStyle="1" w:styleId="yEdnotesubdivision">
    <w:name w:val="yEdnote(subdivision)"/>
    <w:basedOn w:val="yEdnoteschedule"/>
  </w:style>
  <w:style w:type="paragraph" w:customStyle="1" w:styleId="yEdnotesubsection">
    <w:name w:val="yEdnote(subsection)"/>
    <w:basedOn w:val="Ednotesubsection"/>
    <w:rPr>
      <w:sz w:val="22"/>
    </w:rPr>
  </w:style>
  <w:style w:type="paragraph" w:customStyle="1" w:styleId="DeleteListSub">
    <w:name w:val="DeleteListSub"/>
    <w:basedOn w:val="Normal"/>
    <w:pPr>
      <w:widowControl w:val="0"/>
      <w:spacing w:before="80" w:line="260" w:lineRule="atLeast"/>
      <w:ind w:left="879"/>
    </w:pPr>
  </w:style>
  <w:style w:type="paragraph" w:customStyle="1" w:styleId="DeleteListPara">
    <w:name w:val="DeleteListPara"/>
    <w:basedOn w:val="DeleteListSub"/>
    <w:pPr>
      <w:ind w:left="1616"/>
    </w:pPr>
  </w:style>
  <w:style w:type="paragraph" w:customStyle="1" w:styleId="DeleteOpen">
    <w:name w:val="DeleteOpen"/>
    <w:basedOn w:val="Normal"/>
    <w:pPr>
      <w:keepNext/>
      <w:keepLines/>
      <w:jc w:val="center"/>
    </w:pPr>
    <w:rPr>
      <w:szCs w:val="24"/>
    </w:rPr>
  </w:style>
  <w:style w:type="paragraph" w:customStyle="1" w:styleId="yDeleteListPara">
    <w:name w:val="yDeleteListPara"/>
    <w:basedOn w:val="DeleteListPara"/>
    <w:rPr>
      <w:sz w:val="22"/>
    </w:rPr>
  </w:style>
  <w:style w:type="paragraph" w:customStyle="1" w:styleId="yDeleteListSub">
    <w:name w:val="yDeleteListSub"/>
    <w:basedOn w:val="DeleteListSub"/>
    <w:rPr>
      <w:sz w:val="22"/>
    </w:rPr>
  </w:style>
  <w:style w:type="paragraph" w:customStyle="1" w:styleId="zDeleteListPara">
    <w:name w:val="zDeleteListPara"/>
    <w:basedOn w:val="DeleteListPara"/>
    <w:pPr>
      <w:ind w:left="2183"/>
    </w:pPr>
  </w:style>
  <w:style w:type="paragraph" w:customStyle="1" w:styleId="zDeleteListSub">
    <w:name w:val="zDeleteListSub"/>
    <w:basedOn w:val="DeleteListSub"/>
    <w:pPr>
      <w:ind w:left="1446"/>
    </w:pPr>
  </w:style>
  <w:style w:type="paragraph" w:customStyle="1" w:styleId="zyDeleteListPara">
    <w:name w:val="zyDeleteListPara"/>
    <w:basedOn w:val="DeleteListPara"/>
    <w:rPr>
      <w:sz w:val="22"/>
    </w:rPr>
  </w:style>
  <w:style w:type="paragraph" w:customStyle="1" w:styleId="zyDeleteListSub">
    <w:name w:val="zyDeleteListSub"/>
    <w:basedOn w:val="DeleteListSub"/>
    <w:rPr>
      <w:sz w:val="22"/>
    </w:rPr>
  </w:style>
  <w:style w:type="paragraph" w:customStyle="1" w:styleId="TableNAm">
    <w:name w:val="TableNAm"/>
    <w:qFormat/>
    <w:pPr>
      <w:tabs>
        <w:tab w:val="left" w:pos="567"/>
      </w:tabs>
      <w:spacing w:before="120"/>
    </w:pPr>
    <w:rPr>
      <w:sz w:val="24"/>
    </w:rPr>
  </w:style>
  <w:style w:type="paragraph" w:customStyle="1" w:styleId="THeading">
    <w:name w:val="THeading"/>
    <w:pPr>
      <w:keepNext/>
      <w:spacing w:before="160" w:after="60" w:line="260" w:lineRule="atLeast"/>
      <w:jc w:val="center"/>
    </w:pPr>
    <w:rPr>
      <w:b/>
      <w:bCs/>
      <w:sz w:val="24"/>
    </w:rPr>
  </w:style>
  <w:style w:type="paragraph" w:customStyle="1" w:styleId="THeadingAmNote">
    <w:name w:val="THeadingAmNote"/>
    <w:pPr>
      <w:keepNext/>
      <w:spacing w:before="160" w:after="60"/>
      <w:jc w:val="center"/>
    </w:pPr>
    <w:rPr>
      <w:rFonts w:ascii="Arial" w:hAnsi="Arial"/>
      <w:b/>
      <w:bCs/>
      <w:sz w:val="18"/>
    </w:rPr>
  </w:style>
  <w:style w:type="paragraph" w:customStyle="1" w:styleId="THeadingNAm">
    <w:name w:val="THeadingNAm"/>
    <w:pPr>
      <w:keepNext/>
      <w:spacing w:before="160" w:after="60" w:line="260" w:lineRule="atLeast"/>
      <w:ind w:left="879" w:right="142"/>
      <w:jc w:val="center"/>
    </w:pPr>
    <w:rPr>
      <w:b/>
      <w:bCs/>
      <w:sz w:val="24"/>
    </w:rPr>
  </w:style>
  <w:style w:type="paragraph" w:customStyle="1" w:styleId="yTableNAm">
    <w:name w:val="yTableNAm"/>
    <w:basedOn w:val="TableNAm"/>
    <w:rPr>
      <w:sz w:val="22"/>
    </w:rPr>
  </w:style>
  <w:style w:type="paragraph" w:customStyle="1" w:styleId="yTHeadingNAm">
    <w:name w:val="yTHeadingNAm"/>
    <w:basedOn w:val="THeadingNAm"/>
    <w:pPr>
      <w:ind w:left="142"/>
    </w:pPr>
    <w:rPr>
      <w:sz w:val="22"/>
    </w:rPr>
  </w:style>
  <w:style w:type="paragraph" w:customStyle="1" w:styleId="zTableNAm">
    <w:name w:val="zTableNAm"/>
    <w:basedOn w:val="TableNAm"/>
  </w:style>
  <w:style w:type="paragraph" w:customStyle="1" w:styleId="zTHeadingNAm">
    <w:name w:val="zTHeadingNAm"/>
    <w:basedOn w:val="THeadingNAm"/>
  </w:style>
  <w:style w:type="paragraph" w:customStyle="1" w:styleId="zyTableNAm">
    <w:name w:val="zyTableNAm"/>
    <w:basedOn w:val="yTableNAm"/>
  </w:style>
  <w:style w:type="paragraph" w:customStyle="1" w:styleId="zyTHeadingNAm">
    <w:name w:val="zyTHeadingNAm"/>
    <w:basedOn w:val="yTHeadingNAm"/>
  </w:style>
  <w:style w:type="paragraph" w:customStyle="1" w:styleId="SignatureText">
    <w:name w:val="SignatureText"/>
    <w:basedOn w:val="Normal"/>
  </w:style>
  <w:style w:type="paragraph" w:customStyle="1" w:styleId="ExCo">
    <w:name w:val="ExCo"/>
    <w:qFormat/>
    <w:rPr>
      <w:sz w:val="24"/>
    </w:rPr>
  </w:style>
  <w:style w:type="paragraph" w:customStyle="1" w:styleId="Certificate">
    <w:name w:val="Certificate"/>
    <w:qFormat/>
    <w:rPr>
      <w:sz w:val="24"/>
    </w:rPr>
  </w:style>
  <w:style w:type="paragraph" w:customStyle="1" w:styleId="PrincipalActRegPage1">
    <w:name w:val="PrincipalAct_Reg(Page 1)"/>
    <w:pPr>
      <w:spacing w:before="2600"/>
      <w:jc w:val="center"/>
    </w:pPr>
    <w:rPr>
      <w:sz w:val="24"/>
    </w:rPr>
  </w:style>
  <w:style w:type="paragraph" w:customStyle="1" w:styleId="Defsubitem">
    <w:name w:val="Defsubitem"/>
    <w:qFormat/>
    <w:pPr>
      <w:tabs>
        <w:tab w:val="right" w:pos="3686"/>
      </w:tabs>
      <w:spacing w:before="80" w:line="260" w:lineRule="atLeast"/>
      <w:ind w:left="3969" w:hanging="3969"/>
    </w:pPr>
    <w:rPr>
      <w:snapToGrid w:val="0"/>
      <w:sz w:val="24"/>
    </w:rPr>
  </w:style>
  <w:style w:type="paragraph" w:customStyle="1" w:styleId="Ednotedefsubitem">
    <w:name w:val="Ednote(defsubitem)"/>
    <w:basedOn w:val="Defsubitem"/>
    <w:rPr>
      <w:i/>
    </w:rPr>
  </w:style>
  <w:style w:type="paragraph" w:customStyle="1" w:styleId="yDefsubitem">
    <w:name w:val="yDefsubitem"/>
    <w:qFormat/>
    <w:pPr>
      <w:tabs>
        <w:tab w:val="right" w:pos="3686"/>
      </w:tabs>
      <w:spacing w:before="80"/>
      <w:ind w:left="3969" w:hanging="3969"/>
    </w:pPr>
    <w:rPr>
      <w:snapToGrid w:val="0"/>
      <w:sz w:val="22"/>
    </w:rPr>
  </w:style>
  <w:style w:type="paragraph" w:customStyle="1" w:styleId="yEdnotedefsubitem">
    <w:name w:val="yEdnote(defsubitem)"/>
    <w:basedOn w:val="yDefsubitem"/>
    <w:rPr>
      <w:i/>
    </w:rPr>
  </w:style>
  <w:style w:type="paragraph" w:customStyle="1" w:styleId="zDefsubitem">
    <w:name w:val="zDefsubitem"/>
    <w:qFormat/>
    <w:pPr>
      <w:tabs>
        <w:tab w:val="right" w:pos="4167"/>
      </w:tabs>
      <w:spacing w:before="80" w:line="260" w:lineRule="atLeast"/>
      <w:ind w:left="4451" w:right="284" w:hanging="3884"/>
    </w:pPr>
    <w:rPr>
      <w:snapToGrid w:val="0"/>
      <w:sz w:val="24"/>
    </w:rPr>
  </w:style>
  <w:style w:type="paragraph" w:customStyle="1" w:styleId="zyDefsubitem">
    <w:name w:val="zyDefsubitem"/>
    <w:qFormat/>
    <w:pPr>
      <w:tabs>
        <w:tab w:val="right" w:pos="4167"/>
      </w:tabs>
      <w:spacing w:before="80"/>
      <w:ind w:left="4451" w:right="284" w:hanging="3884"/>
    </w:pPr>
    <w:rPr>
      <w:snapToGrid w:val="0"/>
      <w:sz w:val="22"/>
    </w:rPr>
  </w:style>
  <w:style w:type="paragraph" w:customStyle="1" w:styleId="yEdnotenumbereditem">
    <w:name w:val="yEdnote(numbereditem)"/>
    <w:basedOn w:val="yNumberedItem"/>
    <w:rPr>
      <w:i/>
    </w:rPr>
  </w:style>
  <w:style w:type="paragraph" w:customStyle="1" w:styleId="yNumberedItemPara">
    <w:name w:val="yNumberedItemPara"/>
    <w:qFormat/>
    <w:pPr>
      <w:tabs>
        <w:tab w:val="right" w:pos="1332"/>
      </w:tabs>
      <w:spacing w:before="80"/>
      <w:ind w:left="1616" w:hanging="1616"/>
    </w:pPr>
    <w:rPr>
      <w:sz w:val="22"/>
    </w:rPr>
  </w:style>
  <w:style w:type="paragraph" w:customStyle="1" w:styleId="yEdnotenumbereditempara">
    <w:name w:val="yEdnote(numbereditempara)"/>
    <w:basedOn w:val="yNumberedItemPara"/>
    <w:rPr>
      <w:i/>
    </w:rPr>
  </w:style>
  <w:style w:type="paragraph" w:customStyle="1" w:styleId="zyNumberedItemPara">
    <w:name w:val="zyNumberedItemPara"/>
    <w:qFormat/>
    <w:pPr>
      <w:tabs>
        <w:tab w:val="right" w:pos="1899"/>
      </w:tabs>
      <w:spacing w:before="80"/>
      <w:ind w:left="2183" w:right="284" w:hanging="1616"/>
    </w:pPr>
    <w:rPr>
      <w:sz w:val="22"/>
    </w:rPr>
  </w:style>
  <w:style w:type="paragraph" w:customStyle="1" w:styleId="yNumberedItemSubPara">
    <w:name w:val="yNumberedItemSubPara"/>
    <w:qFormat/>
    <w:pPr>
      <w:tabs>
        <w:tab w:val="right" w:pos="2041"/>
      </w:tabs>
      <w:spacing w:before="80"/>
      <w:ind w:left="2325" w:hanging="2325"/>
    </w:pPr>
    <w:rPr>
      <w:sz w:val="22"/>
    </w:rPr>
  </w:style>
  <w:style w:type="paragraph" w:customStyle="1" w:styleId="yEdnotenumbereditemsubpara">
    <w:name w:val="yEdnote(numbereditemsubpara)"/>
    <w:basedOn w:val="yNumberedItemSubPara"/>
    <w:rPr>
      <w:i/>
    </w:rPr>
  </w:style>
  <w:style w:type="paragraph" w:customStyle="1" w:styleId="zyNumberedItemSubPara">
    <w:name w:val="zyNumberedItemSubPara"/>
    <w:qFormat/>
    <w:pPr>
      <w:tabs>
        <w:tab w:val="right" w:pos="2608"/>
      </w:tabs>
      <w:spacing w:before="80"/>
      <w:ind w:left="2892" w:right="284" w:hanging="2325"/>
    </w:pPr>
    <w:rPr>
      <w:sz w:val="22"/>
    </w:rPr>
  </w:style>
  <w:style w:type="paragraph" w:customStyle="1" w:styleId="PermNoteHeading">
    <w:name w:val="PermNoteHeading"/>
    <w:qFormat/>
    <w:pPr>
      <w:keepNext/>
      <w:spacing w:before="160"/>
      <w:ind w:left="879" w:hanging="879"/>
    </w:pPr>
    <w:rPr>
      <w:rFonts w:ascii="Arial" w:hAnsi="Arial"/>
      <w:sz w:val="18"/>
    </w:rPr>
  </w:style>
  <w:style w:type="paragraph" w:customStyle="1" w:styleId="Ednotepermnoteheading">
    <w:name w:val="Ednote(permnoteheading)"/>
    <w:basedOn w:val="PermNoteHeading"/>
    <w:rPr>
      <w:i/>
    </w:rPr>
  </w:style>
  <w:style w:type="paragraph" w:customStyle="1" w:styleId="zPermNoteHeading">
    <w:name w:val="zPermNoteHeading"/>
    <w:qFormat/>
    <w:pPr>
      <w:spacing w:before="160"/>
      <w:ind w:left="1446" w:right="284" w:hanging="879"/>
    </w:pPr>
    <w:rPr>
      <w:rFonts w:ascii="Arial" w:hAnsi="Arial"/>
      <w:sz w:val="18"/>
    </w:rPr>
  </w:style>
  <w:style w:type="paragraph" w:customStyle="1" w:styleId="PermNoteText">
    <w:name w:val="PermNoteText"/>
    <w:qFormat/>
    <w:pPr>
      <w:tabs>
        <w:tab w:val="left" w:pos="879"/>
      </w:tabs>
      <w:spacing w:before="80"/>
      <w:ind w:left="1418" w:hanging="1418"/>
    </w:pPr>
    <w:rPr>
      <w:rFonts w:ascii="Arial" w:hAnsi="Arial"/>
      <w:sz w:val="18"/>
    </w:rPr>
  </w:style>
  <w:style w:type="paragraph" w:customStyle="1" w:styleId="Ednotepermnotetext">
    <w:name w:val="Ednote(permnotetext)"/>
    <w:basedOn w:val="PermNoteText"/>
    <w:rPr>
      <w:i/>
    </w:rPr>
  </w:style>
  <w:style w:type="paragraph" w:customStyle="1" w:styleId="zPermNoteText">
    <w:name w:val="zPermNoteText"/>
    <w:qFormat/>
    <w:pPr>
      <w:tabs>
        <w:tab w:val="left" w:pos="1446"/>
      </w:tabs>
      <w:spacing w:before="80"/>
      <w:ind w:left="2013" w:right="284" w:hanging="1446"/>
    </w:pPr>
    <w:rPr>
      <w:rFonts w:ascii="Arial" w:hAnsi="Arial"/>
      <w:sz w:val="18"/>
    </w:rPr>
  </w:style>
  <w:style w:type="paragraph" w:customStyle="1" w:styleId="PermNotePara">
    <w:name w:val="PermNotePara"/>
    <w:qFormat/>
    <w:pPr>
      <w:tabs>
        <w:tab w:val="right" w:pos="1843"/>
      </w:tabs>
      <w:spacing w:before="80"/>
      <w:ind w:left="2013" w:hanging="2013"/>
    </w:pPr>
    <w:rPr>
      <w:rFonts w:ascii="Arial" w:hAnsi="Arial"/>
      <w:sz w:val="18"/>
    </w:rPr>
  </w:style>
  <w:style w:type="paragraph" w:customStyle="1" w:styleId="Ednotepermnotepara">
    <w:name w:val="Ednote(permnotepara)"/>
    <w:basedOn w:val="PermNotePara"/>
    <w:rPr>
      <w:i/>
    </w:rPr>
  </w:style>
  <w:style w:type="paragraph" w:customStyle="1" w:styleId="zPermNotePara">
    <w:name w:val="zPermNotePara"/>
    <w:qFormat/>
    <w:pPr>
      <w:tabs>
        <w:tab w:val="right" w:pos="2410"/>
      </w:tabs>
      <w:spacing w:before="80"/>
      <w:ind w:left="2580" w:right="284" w:hanging="2013"/>
    </w:pPr>
    <w:rPr>
      <w:rFonts w:ascii="Arial" w:hAnsi="Arial"/>
      <w:sz w:val="18"/>
    </w:rPr>
  </w:style>
  <w:style w:type="paragraph" w:customStyle="1" w:styleId="PermNoteSubPara">
    <w:name w:val="PermNoteSubPara"/>
    <w:qFormat/>
    <w:pPr>
      <w:tabs>
        <w:tab w:val="right" w:pos="2296"/>
      </w:tabs>
      <w:spacing w:before="80"/>
      <w:ind w:left="2580" w:hanging="2580"/>
    </w:pPr>
    <w:rPr>
      <w:rFonts w:ascii="Arial" w:hAnsi="Arial"/>
      <w:sz w:val="18"/>
    </w:rPr>
  </w:style>
  <w:style w:type="paragraph" w:customStyle="1" w:styleId="Ednotepermnotesubpara">
    <w:name w:val="Ednote(permnotesubpara)"/>
    <w:basedOn w:val="PermNoteSubPara"/>
    <w:rPr>
      <w:i/>
    </w:rPr>
  </w:style>
  <w:style w:type="paragraph" w:customStyle="1" w:styleId="zPermNoteSubPara">
    <w:name w:val="zPermNoteSubPara"/>
    <w:qFormat/>
    <w:pPr>
      <w:tabs>
        <w:tab w:val="right" w:pos="2863"/>
      </w:tabs>
      <w:spacing w:before="80"/>
      <w:ind w:left="3147" w:right="284" w:hanging="2580"/>
    </w:pPr>
    <w:rPr>
      <w:rFonts w:ascii="Arial" w:hAnsi="Arial"/>
      <w:sz w:val="18"/>
    </w:rPr>
  </w:style>
  <w:style w:type="paragraph" w:customStyle="1" w:styleId="SectAltNote">
    <w:name w:val="SectAltNote"/>
    <w:qFormat/>
    <w:pPr>
      <w:keepNext/>
      <w:tabs>
        <w:tab w:val="left" w:pos="879"/>
      </w:tabs>
      <w:spacing w:before="160"/>
      <w:ind w:left="1418" w:hanging="1418"/>
    </w:pPr>
    <w:rPr>
      <w:rFonts w:ascii="Arial" w:hAnsi="Arial"/>
      <w:sz w:val="18"/>
    </w:rPr>
  </w:style>
  <w:style w:type="paragraph" w:customStyle="1" w:styleId="SectAltHeading">
    <w:name w:val="SectAltHeading"/>
    <w:qFormat/>
    <w:pPr>
      <w:tabs>
        <w:tab w:val="left" w:pos="879"/>
      </w:tabs>
      <w:spacing w:before="80"/>
      <w:ind w:left="1418" w:hanging="1418"/>
    </w:pPr>
    <w:rPr>
      <w:rFonts w:ascii="Arial" w:hAnsi="Arial"/>
      <w:b/>
      <w:sz w:val="18"/>
    </w:rPr>
  </w:style>
  <w:style w:type="paragraph" w:customStyle="1" w:styleId="TitleNote">
    <w:name w:val="TitleNote"/>
    <w:rPr>
      <w:sz w:val="24"/>
    </w:rPr>
  </w:style>
  <w:style w:type="paragraph" w:customStyle="1" w:styleId="nStatement">
    <w:name w:val="nStatement"/>
    <w:pPr>
      <w:spacing w:before="80"/>
    </w:pPr>
  </w:style>
  <w:style w:type="paragraph" w:customStyle="1" w:styleId="nNote">
    <w:name w:val="nNote"/>
    <w:pPr>
      <w:spacing w:before="80"/>
      <w:ind w:left="454" w:hanging="454"/>
    </w:pPr>
  </w:style>
  <w:style w:type="paragraph" w:customStyle="1" w:styleId="nNotePara">
    <w:name w:val="nNotePara"/>
    <w:pPr>
      <w:tabs>
        <w:tab w:val="right" w:pos="993"/>
      </w:tabs>
      <w:spacing w:before="40"/>
      <w:ind w:left="1134" w:hanging="1134"/>
    </w:pPr>
  </w:style>
  <w:style w:type="paragraph" w:customStyle="1" w:styleId="nNoteSubPara">
    <w:name w:val="nNoteSubPara"/>
    <w:pPr>
      <w:tabs>
        <w:tab w:val="right" w:pos="1418"/>
      </w:tabs>
      <w:spacing w:before="40"/>
      <w:ind w:left="1701" w:hanging="1701"/>
    </w:pPr>
  </w:style>
  <w:style w:type="paragraph" w:customStyle="1" w:styleId="AssentDate">
    <w:name w:val="AssentDate"/>
    <w:pPr>
      <w:jc w:val="right"/>
    </w:pPr>
    <w:rPr>
      <w:sz w:val="24"/>
    </w:rPr>
  </w:style>
  <w:style w:type="character" w:customStyle="1" w:styleId="FooterChar">
    <w:name w:val="Footer Char"/>
    <w:basedOn w:val="DefaultParagraphFont"/>
    <w:link w:val="Footer"/>
    <w:rPr>
      <w:rFonts w:ascii="Arial" w:hAnsi="Arial"/>
      <w:sz w:val="24"/>
    </w:rPr>
  </w:style>
  <w:style w:type="character" w:styleId="UnresolvedMention">
    <w:name w:val="Unresolved Mention"/>
    <w:basedOn w:val="DefaultParagraphFont"/>
    <w:uiPriority w:val="99"/>
    <w:semiHidden/>
    <w:unhideWhenUsed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1780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18" Type="http://schemas.openxmlformats.org/officeDocument/2006/relationships/footer" Target="footer5.xml"/><Relationship Id="rId26" Type="http://schemas.openxmlformats.org/officeDocument/2006/relationships/header" Target="header11.xml"/><Relationship Id="rId3" Type="http://schemas.openxmlformats.org/officeDocument/2006/relationships/styles" Target="styles.xml"/><Relationship Id="rId21" Type="http://schemas.openxmlformats.org/officeDocument/2006/relationships/hyperlink" Target="http://www.legislation.gov.au" TargetMode="Externa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17" Type="http://schemas.openxmlformats.org/officeDocument/2006/relationships/footer" Target="footer4.xml"/><Relationship Id="rId25" Type="http://schemas.openxmlformats.org/officeDocument/2006/relationships/header" Target="header10.xml"/><Relationship Id="rId2" Type="http://schemas.openxmlformats.org/officeDocument/2006/relationships/numbering" Target="numbering.xml"/><Relationship Id="rId16" Type="http://schemas.openxmlformats.org/officeDocument/2006/relationships/header" Target="header5.xml"/><Relationship Id="rId20" Type="http://schemas.openxmlformats.org/officeDocument/2006/relationships/footer" Target="footer6.xml"/><Relationship Id="rId29" Type="http://schemas.openxmlformats.org/officeDocument/2006/relationships/header" Target="header1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24" Type="http://schemas.openxmlformats.org/officeDocument/2006/relationships/header" Target="header9.xml"/><Relationship Id="rId32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openxmlformats.org/officeDocument/2006/relationships/header" Target="header4.xml"/><Relationship Id="rId23" Type="http://schemas.openxmlformats.org/officeDocument/2006/relationships/header" Target="header8.xml"/><Relationship Id="rId28" Type="http://schemas.openxmlformats.org/officeDocument/2006/relationships/footer" Target="footer8.xml"/><Relationship Id="rId10" Type="http://schemas.openxmlformats.org/officeDocument/2006/relationships/header" Target="header2.xml"/><Relationship Id="rId19" Type="http://schemas.openxmlformats.org/officeDocument/2006/relationships/header" Target="header6.xml"/><Relationship Id="rId31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Relationship Id="rId22" Type="http://schemas.openxmlformats.org/officeDocument/2006/relationships/header" Target="header7.xml"/><Relationship Id="rId27" Type="http://schemas.openxmlformats.org/officeDocument/2006/relationships/footer" Target="footer7.xml"/><Relationship Id="rId30" Type="http://schemas.openxmlformats.org/officeDocument/2006/relationships/footer" Target="footer9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E03AD0A-1845-4554-BCAE-54384942730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263</Words>
  <Characters>1578</Characters>
  <Application>Microsoft Office Word</Application>
  <DocSecurity>0</DocSecurity>
  <Lines>60</Lines>
  <Paragraphs>31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Drafting Template (Regs)</vt:lpstr>
    </vt:vector>
  </TitlesOfParts>
  <Manager/>
  <Company/>
  <LinksUpToDate>false</LinksUpToDate>
  <CharactersWithSpaces>1810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Therapeutic Goods (Legislative Instruments) Notice (No. 12) 2024 - 00-00-00</dc:title>
  <dc:subject/>
  <dc:creator/>
  <cp:keywords/>
  <dc:description/>
  <cp:lastModifiedBy>Master Repository Process</cp:lastModifiedBy>
  <cp:revision>4</cp:revision>
  <cp:lastPrinted>2021-03-14T07:59:00Z</cp:lastPrinted>
  <dcterms:created xsi:type="dcterms:W3CDTF">2025-06-17T03:47:00Z</dcterms:created>
  <dcterms:modified xsi:type="dcterms:W3CDTF">2025-06-17T03:47:00Z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RegID">
    <vt:lpwstr>55273</vt:lpwstr>
  </property>
  <property fmtid="{D5CDD505-2E9C-101B-9397-08002B2CF9AE}" pid="3" name="DocumentType">
    <vt:lpwstr>Reg</vt:lpwstr>
  </property>
  <property fmtid="{D5CDD505-2E9C-101B-9397-08002B2CF9AE}" pid="4" name="AsAtDate">
    <vt:lpwstr>31 Dec 2024</vt:lpwstr>
  </property>
  <property fmtid="{D5CDD505-2E9C-101B-9397-08002B2CF9AE}" pid="5" name="Suffix">
    <vt:lpwstr>00-00-00</vt:lpwstr>
  </property>
  <property fmtid="{D5CDD505-2E9C-101B-9397-08002B2CF9AE}" pid="6" name="Official">
    <vt:lpwstr/>
  </property>
  <property fmtid="{D5CDD505-2E9C-101B-9397-08002B2CF9AE}" pid="7" name="CommencementAsAt">
    <vt:filetime>2024-12-30T16:00:00Z</vt:filetime>
  </property>
  <property fmtid="{D5CDD505-2E9C-101B-9397-08002B2CF9AE}" pid="8" name="CommencementYear">
    <vt:lpwstr>2024</vt:lpwstr>
  </property>
  <property fmtid="{D5CDD505-2E9C-101B-9397-08002B2CF9AE}" pid="9" name="SLAPId">
    <vt:lpwstr>2024/305</vt:lpwstr>
  </property>
  <property fmtid="{D5CDD505-2E9C-101B-9397-08002B2CF9AE}" pid="10" name="PublishDate">
    <vt:lpwstr>31 Dec 2024</vt:lpwstr>
  </property>
  <property fmtid="{D5CDD505-2E9C-101B-9397-08002B2CF9AE}" pid="11" name="CommencementDate">
    <vt:lpwstr>20241231</vt:lpwstr>
  </property>
</Properties>
</file>