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_Toc185844458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_Toc185844459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_Toc185844461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_Toc185844462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_Toc185844463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_Toc185844465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_Toc185844466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_Toc185844471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_Toc185844472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2" w:name="_Toc185838209"/>
      <w:bookmarkStart w:id="3" w:name="_Toc185838773"/>
      <w:bookmarkStart w:id="4" w:name="_Toc1858444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85844458"/>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6" w:name="_Toc185844459"/>
      <w:r>
        <w:rPr>
          <w:rStyle w:val="CharSectno"/>
        </w:rPr>
        <w:t>2</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7" w:name="_Toc185838212"/>
      <w:bookmarkStart w:id="8" w:name="_Toc185838776"/>
      <w:bookmarkStart w:id="9" w:name="_Toc185844460"/>
      <w:r>
        <w:rPr>
          <w:rStyle w:val="CharPartNo"/>
        </w:rPr>
        <w:lastRenderedPageBreak/>
        <w:t>Part 2</w:t>
      </w:r>
      <w:r>
        <w:rPr>
          <w:rStyle w:val="CharDivNo"/>
        </w:rPr>
        <w:t xml:space="preserve"> </w:t>
      </w:r>
      <w:r>
        <w:t>—</w:t>
      </w:r>
      <w:r>
        <w:rPr>
          <w:rStyle w:val="CharDivText"/>
        </w:rPr>
        <w:t xml:space="preserve"> </w:t>
      </w:r>
      <w:r>
        <w:rPr>
          <w:rStyle w:val="CharPartText"/>
        </w:rPr>
        <w:t>General</w:t>
      </w:r>
      <w:bookmarkEnd w:id="7"/>
      <w:bookmarkEnd w:id="8"/>
      <w:bookmarkEnd w:id="9"/>
    </w:p>
    <w:p>
      <w:pPr>
        <w:pStyle w:val="Heading5"/>
      </w:pPr>
      <w:bookmarkStart w:id="10" w:name="_Toc185844461"/>
      <w:r>
        <w:rPr>
          <w:rStyle w:val="CharSectno"/>
        </w:rPr>
        <w:t>3</w:t>
      </w:r>
      <w:r>
        <w:t>.</w:t>
      </w:r>
      <w:r>
        <w:tab/>
        <w:t>Unclaimed winnings</w:t>
      </w:r>
      <w:bookmarkEnd w:id="10"/>
    </w:p>
    <w:p>
      <w:pPr>
        <w:pStyle w:val="Subsection"/>
      </w:pPr>
      <w:r>
        <w:tab/>
      </w:r>
      <w:r>
        <w:tab/>
        <w:t>For the purposes of section 15(1)(a) and (b) of the Act, the prescribed amount is 99 cents.</w:t>
      </w:r>
    </w:p>
    <w:p>
      <w:pPr>
        <w:pStyle w:val="Heading5"/>
      </w:pPr>
      <w:bookmarkStart w:id="11" w:name="_Toc185844462"/>
      <w:r>
        <w:rPr>
          <w:rStyle w:val="CharSectno"/>
        </w:rPr>
        <w:t>4</w:t>
      </w:r>
      <w:r>
        <w:t>.</w:t>
      </w:r>
      <w:r>
        <w:tab/>
        <w:t>Fee for review of direction not to enter or remain in casino</w:t>
      </w:r>
      <w:bookmarkEnd w:id="11"/>
    </w:p>
    <w:p>
      <w:pPr>
        <w:pStyle w:val="Subsection"/>
      </w:pPr>
      <w:r>
        <w:tab/>
      </w:r>
      <w:r>
        <w:tab/>
        <w:t>For the purposes of section 26A(3)(b) of the Act, the prescribed fee is $175.</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 8; SL 2024/213 r. 8.]</w:t>
      </w:r>
    </w:p>
    <w:p>
      <w:pPr>
        <w:pStyle w:val="Heading5"/>
      </w:pPr>
      <w:bookmarkStart w:id="12" w:name="_Toc185844463"/>
      <w:r>
        <w:rPr>
          <w:rStyle w:val="CharSectno"/>
        </w:rPr>
        <w:t>4A</w:t>
      </w:r>
      <w:r>
        <w:t>.</w:t>
      </w:r>
      <w:r>
        <w:tab/>
        <w:t>Exempt class of contract</w:t>
      </w:r>
      <w:bookmarkEnd w:id="1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3" w:name="_Toc185838216"/>
      <w:bookmarkStart w:id="14" w:name="_Toc185838780"/>
      <w:bookmarkStart w:id="15" w:name="_Toc185844464"/>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13"/>
      <w:bookmarkEnd w:id="14"/>
      <w:bookmarkEnd w:id="15"/>
    </w:p>
    <w:p>
      <w:pPr>
        <w:pStyle w:val="Heading5"/>
      </w:pPr>
      <w:bookmarkStart w:id="16" w:name="_Toc185844465"/>
      <w:r>
        <w:rPr>
          <w:rStyle w:val="CharSectno"/>
        </w:rPr>
        <w:t>18</w:t>
      </w:r>
      <w:r>
        <w:t>.</w:t>
      </w:r>
      <w:r>
        <w:tab/>
        <w:t>Infringement notices</w:t>
      </w:r>
      <w:bookmarkEnd w:id="16"/>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3969"/>
        <w:gridCol w:w="1276"/>
      </w:tblGrid>
      <w:tr>
        <w:trPr>
          <w:tblHeader/>
        </w:trPr>
        <w:tc>
          <w:tcPr>
            <w:tcW w:w="846"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846"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846"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846"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846"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846"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846"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846"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846"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846" w:type="dxa"/>
          </w:tcPr>
          <w:p>
            <w:pPr>
              <w:pStyle w:val="TableNAm"/>
              <w:keepNext/>
            </w:pPr>
            <w:r>
              <w:lastRenderedPageBreak/>
              <w:t>11.</w:t>
            </w:r>
          </w:p>
        </w:tc>
        <w:tc>
          <w:tcPr>
            <w:tcW w:w="992" w:type="dxa"/>
          </w:tcPr>
          <w:p>
            <w:pPr>
              <w:pStyle w:val="TableNAm"/>
              <w:keepNext/>
            </w:pPr>
            <w:r>
              <w:t>33(1)</w:t>
            </w:r>
          </w:p>
        </w:tc>
        <w:tc>
          <w:tcPr>
            <w:tcW w:w="3969" w:type="dxa"/>
          </w:tcPr>
          <w:p>
            <w:pPr>
              <w:pStyle w:val="TableNAm"/>
              <w:keepNext/>
            </w:pPr>
            <w:r>
              <w:t xml:space="preserve">Failure of casino licensee to comply with a direction given under section 15(2) or (4), 21O(1), 21T(1), 22(3) or 24(1) or (2) of the Act — </w:t>
            </w:r>
          </w:p>
          <w:p>
            <w:pPr>
              <w:pStyle w:val="zTableNAmLeft-037cm"/>
            </w:pPr>
            <w:r>
              <w:tab/>
              <w:t>(a)</w:t>
            </w:r>
            <w:r>
              <w:tab/>
              <w:t>for an individual;</w:t>
            </w:r>
          </w:p>
          <w:p>
            <w:pPr>
              <w:pStyle w:val="zTableNAmLeft-037cm"/>
            </w:pPr>
            <w:r>
              <w:tab/>
              <w:t>(b)</w:t>
            </w:r>
            <w:r>
              <w:tab/>
              <w:t>for a body corporate.</w:t>
            </w:r>
          </w:p>
        </w:tc>
        <w:tc>
          <w:tcPr>
            <w:tcW w:w="1276" w:type="dxa"/>
            <w:vAlign w:val="bottom"/>
          </w:tcPr>
          <w:p>
            <w:pPr>
              <w:pStyle w:val="zTableNAmRight"/>
            </w:pPr>
            <w:r>
              <w:t>1 000</w:t>
            </w:r>
          </w:p>
          <w:p>
            <w:pPr>
              <w:pStyle w:val="TableNAm"/>
              <w:keepNext/>
              <w:tabs>
                <w:tab w:val="clear" w:pos="567"/>
              </w:tabs>
              <w:ind w:right="240"/>
              <w:jc w:val="right"/>
            </w:pPr>
            <w:r>
              <w:t>10 000</w:t>
            </w:r>
          </w:p>
        </w:tc>
      </w:tr>
    </w:tbl>
    <w:p>
      <w:pPr>
        <w:pStyle w:val="Footnotesection"/>
      </w:pPr>
      <w:r>
        <w:tab/>
        <w:t>[Regulation 18 amended: SL 2024/163 r. 4.]</w:t>
      </w:r>
    </w:p>
    <w:p>
      <w:pPr>
        <w:pStyle w:val="Heading5"/>
      </w:pPr>
      <w:bookmarkStart w:id="17" w:name="_Toc185844466"/>
      <w:r>
        <w:rPr>
          <w:rStyle w:val="CharSectno"/>
        </w:rPr>
        <w:t>19</w:t>
      </w:r>
      <w:r>
        <w:t>.</w:t>
      </w:r>
      <w:r>
        <w:tab/>
        <w:t>Form of infringement notice and withdrawal notice</w:t>
      </w:r>
      <w:bookmarkEnd w:id="1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8" w:name="_Toc185838219"/>
      <w:bookmarkStart w:id="19" w:name="_Toc185838783"/>
      <w:bookmarkStart w:id="20" w:name="_Toc185844467"/>
      <w:r>
        <w:rPr>
          <w:rStyle w:val="CharSchNo"/>
        </w:rPr>
        <w:lastRenderedPageBreak/>
        <w:t>Schedule 1</w:t>
      </w:r>
      <w:r>
        <w:t xml:space="preserve"> — </w:t>
      </w:r>
      <w:r>
        <w:rPr>
          <w:rStyle w:val="CharSchText"/>
        </w:rPr>
        <w:t>Prescribed forms</w:t>
      </w:r>
      <w:bookmarkEnd w:id="18"/>
      <w:bookmarkEnd w:id="19"/>
      <w:bookmarkEnd w:id="20"/>
    </w:p>
    <w:p>
      <w:pPr>
        <w:pStyle w:val="yShoulderClause"/>
      </w:pPr>
      <w:r>
        <w:t>[r. 19]</w:t>
      </w:r>
    </w:p>
    <w:p>
      <w:pPr>
        <w:pStyle w:val="Heading3"/>
        <w:rPr>
          <w:b w:val="0"/>
        </w:rPr>
      </w:pPr>
      <w:bookmarkStart w:id="21" w:name="_Toc185838220"/>
      <w:bookmarkStart w:id="22" w:name="_Toc185838784"/>
      <w:bookmarkStart w:id="23" w:name="_Toc185844468"/>
      <w:r>
        <w:rPr>
          <w:rStyle w:val="CharSClsNo"/>
          <w:b w:val="0"/>
        </w:rPr>
        <w:t>Form 1</w:t>
      </w:r>
      <w:bookmarkEnd w:id="21"/>
      <w:bookmarkEnd w:id="22"/>
      <w:bookmarkEnd w:id="23"/>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8349 Perth Business Centre WA 6849; or</w:t>
            </w:r>
          </w:p>
          <w:p>
            <w:pPr>
              <w:pStyle w:val="yTableNAm"/>
              <w:keepNext/>
              <w:tabs>
                <w:tab w:val="clear" w:pos="567"/>
                <w:tab w:val="left" w:pos="317"/>
                <w:tab w:val="left" w:pos="755"/>
              </w:tabs>
              <w:ind w:left="755" w:hanging="755"/>
            </w:pPr>
            <w:r>
              <w:tab/>
              <w:t>(b)</w:t>
            </w:r>
            <w:r>
              <w:tab/>
              <w:t>delivering this form and paying the amount to the Gaming and Wagering Commission, Gordon Stephenson House, Level 2 140 William Street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 SL 2024/163 r. 5.]</w:t>
      </w:r>
    </w:p>
    <w:p>
      <w:pPr>
        <w:pStyle w:val="yHeading3"/>
      </w:pPr>
      <w:bookmarkStart w:id="24" w:name="_Toc185838221"/>
      <w:bookmarkStart w:id="25" w:name="_Toc185838785"/>
      <w:bookmarkStart w:id="26" w:name="_Toc185844469"/>
      <w:r>
        <w:rPr>
          <w:rStyle w:val="CharSClsNo"/>
          <w:b w:val="0"/>
        </w:rPr>
        <w:lastRenderedPageBreak/>
        <w:t>Form 2</w:t>
      </w:r>
      <w:bookmarkEnd w:id="24"/>
      <w:bookmarkEnd w:id="25"/>
      <w:bookmarkEnd w:id="26"/>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8" w:name="_Toc185838222"/>
      <w:bookmarkStart w:id="29" w:name="_Toc185838786"/>
      <w:bookmarkStart w:id="30" w:name="_Toc185844470"/>
      <w:r>
        <w:lastRenderedPageBreak/>
        <w:t>Notes</w:t>
      </w:r>
      <w:bookmarkEnd w:id="28"/>
      <w:bookmarkEnd w:id="29"/>
      <w:bookmarkEnd w:id="30"/>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 </w:t>
      </w:r>
    </w:p>
    <w:p>
      <w:pPr>
        <w:pStyle w:val="nHeading3"/>
      </w:pPr>
      <w:bookmarkStart w:id="31" w:name="_Toc185844471"/>
      <w:r>
        <w:t>Compilation table</w:t>
      </w:r>
      <w:bookmarkEnd w:id="31"/>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top w:val="nil"/>
              <w:bottom w:val="nil"/>
            </w:tcBorders>
          </w:tcPr>
          <w:p>
            <w:pPr>
              <w:pStyle w:val="nTable"/>
              <w:spacing w:after="40"/>
            </w:pPr>
            <w:r>
              <w:t>SL 2023/156 18 Oct 2023</w:t>
            </w:r>
          </w:p>
        </w:tc>
        <w:tc>
          <w:tcPr>
            <w:tcW w:w="2696" w:type="dxa"/>
            <w:gridSpan w:val="2"/>
            <w:tcBorders>
              <w:top w:val="nil"/>
              <w:bottom w:val="nil"/>
            </w:tcBorders>
          </w:tcPr>
          <w:p>
            <w:pPr>
              <w:pStyle w:val="nTable"/>
              <w:spacing w:after="40"/>
            </w:pPr>
            <w:r>
              <w:t>1 Jan 2024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Casino Control Amendment Regulations 2024</w:t>
            </w:r>
          </w:p>
        </w:tc>
        <w:tc>
          <w:tcPr>
            <w:tcW w:w="1276" w:type="dxa"/>
            <w:gridSpan w:val="2"/>
            <w:tcBorders>
              <w:top w:val="nil"/>
              <w:bottom w:val="nil"/>
            </w:tcBorders>
          </w:tcPr>
          <w:p>
            <w:pPr>
              <w:pStyle w:val="nTable"/>
              <w:spacing w:after="40"/>
            </w:pPr>
            <w:r>
              <w:t>SL 2024/163 7 Aug 2024</w:t>
            </w:r>
          </w:p>
        </w:tc>
        <w:tc>
          <w:tcPr>
            <w:tcW w:w="2696" w:type="dxa"/>
            <w:gridSpan w:val="2"/>
            <w:tcBorders>
              <w:top w:val="nil"/>
              <w:bottom w:val="nil"/>
            </w:tcBorders>
          </w:tcPr>
          <w:p>
            <w:pPr>
              <w:pStyle w:val="nTable"/>
              <w:spacing w:after="40"/>
            </w:pPr>
            <w:r>
              <w:rPr>
                <w:snapToGrid w:val="0"/>
              </w:rPr>
              <w:t>r. 1 and 2: 7 Aug 2024 (see r. 2(a));</w:t>
            </w:r>
            <w:r>
              <w:rPr>
                <w:snapToGrid w:val="0"/>
              </w:rPr>
              <w:br/>
              <w:t>Regulations other than r. 1 and 2: 8 Aug 2024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lastRenderedPageBreak/>
              <w:t>Racing and Gaming Regulations Amendment (Fees and Charges) Regulations 2024</w:t>
            </w:r>
            <w:r>
              <w:rPr>
                <w:iCs/>
              </w:rPr>
              <w:t xml:space="preserve"> Pt. 4</w:t>
            </w:r>
          </w:p>
        </w:tc>
        <w:tc>
          <w:tcPr>
            <w:tcW w:w="1276" w:type="dxa"/>
            <w:gridSpan w:val="2"/>
            <w:tcBorders>
              <w:bottom w:val="single" w:sz="4" w:space="0" w:color="auto"/>
            </w:tcBorders>
          </w:tcPr>
          <w:p>
            <w:pPr>
              <w:pStyle w:val="nTable"/>
              <w:spacing w:after="40"/>
            </w:pPr>
            <w:r>
              <w:t>SL 2024/213 16 Oct 2024</w:t>
            </w:r>
          </w:p>
        </w:tc>
        <w:tc>
          <w:tcPr>
            <w:tcW w:w="2696" w:type="dxa"/>
            <w:gridSpan w:val="2"/>
            <w:tcBorders>
              <w:bottom w:val="single" w:sz="4" w:space="0" w:color="auto"/>
            </w:tcBorders>
          </w:tcPr>
          <w:p>
            <w:pPr>
              <w:pStyle w:val="nTable"/>
              <w:spacing w:after="40"/>
              <w:rPr>
                <w:snapToGrid w:val="0"/>
              </w:rPr>
            </w:pPr>
            <w:r>
              <w:t>1 Jan 2025 (see r. 2(b))</w:t>
            </w:r>
          </w:p>
        </w:tc>
      </w:tr>
    </w:tbl>
    <w:p>
      <w:pPr>
        <w:pStyle w:val="nHeading3"/>
      </w:pPr>
      <w:bookmarkStart w:id="32" w:name="_Toc185844472"/>
      <w:r>
        <w:t>Other notes</w:t>
      </w:r>
      <w:bookmarkEnd w:id="32"/>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4" w:name="_Toc185838226"/>
      <w:bookmarkStart w:id="35" w:name="_Toc185838789"/>
      <w:bookmarkStart w:id="36" w:name="_Toc185844473"/>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C7AFB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30C93C" w14:textId="14868011" w:rsidR="00736CE4" w:rsidRDefault="0059428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2912">
                        <w:rPr>
                          <w:sz w:val="16"/>
                        </w:rPr>
                        <w:t>2025</w:t>
                      </w:r>
                      <w:r>
                        <w:rPr>
                          <w:sz w:val="16"/>
                        </w:rPr>
                        <w:fldChar w:fldCharType="end"/>
                      </w:r>
                      <w:r>
                        <w:rPr>
                          <w:sz w:val="16"/>
                        </w:rPr>
                        <w:t>.</w:t>
                      </w:r>
                    </w:p>
                    <w:p w14:paraId="77A4FD87" w14:textId="77777777" w:rsidR="00736CE4" w:rsidRDefault="0059428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9F1244" w14:textId="0249DB11" w:rsidR="00736CE4" w:rsidRDefault="0059428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2912">
                        <w:rPr>
                          <w:sz w:val="16"/>
                        </w:rPr>
                        <w:t>2025</w:t>
                      </w:r>
                      <w:r>
                        <w:rPr>
                          <w:sz w:val="16"/>
                        </w:rPr>
                        <w:fldChar w:fldCharType="end"/>
                      </w:r>
                      <w:r>
                        <w:rPr>
                          <w:sz w:val="16"/>
                        </w:rPr>
                        <w:t>.</w:t>
                      </w:r>
                    </w:p>
                    <w:p w14:paraId="648C75AB" w14:textId="77777777" w:rsidR="00736CE4" w:rsidRDefault="0059428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2118"/>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 w:name="WAFER_2024080211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15834_GUID" w:val="dbc8afa9-4adc-4f2c-8a59-5dab4028895a"/>
    <w:docVar w:name="WAFER_20241010132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2331_GUID" w:val="271badbc-b482-437f-b46b-9af33bc61006"/>
    <w:docVar w:name="WAFER_20241223092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118_GUID" w:val="254ce2fc-0017-4f68-bf1a-cdf27314de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37cm">
    <w:name w:val="zTableNAm + Left:  -0.37 cm"/>
    <w:aliases w:val="Hanging:  1.93 cm"/>
    <w:basedOn w:val="TableNAm"/>
    <w:pPr>
      <w:keepNext/>
      <w:tabs>
        <w:tab w:val="clear" w:pos="567"/>
        <w:tab w:val="left" w:pos="317"/>
        <w:tab w:val="left" w:pos="884"/>
      </w:tabs>
      <w:ind w:left="884" w:hanging="1092"/>
    </w:pPr>
  </w:style>
  <w:style w:type="paragraph" w:customStyle="1" w:styleId="zTableNAmRight">
    <w:name w:val="zTableNAm + Right"/>
    <w:aliases w:val="Right:  0.42 cm"/>
    <w:basedOn w:val="TableNAm"/>
    <w:pPr>
      <w:keepNext/>
      <w:tabs>
        <w:tab w:val="clear" w:pos="567"/>
      </w:tabs>
      <w:ind w:right="240"/>
      <w:jc w:val="righ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1915</Words>
  <Characters>10246</Characters>
  <Application>Microsoft Office Word</Application>
  <DocSecurity>0</DocSecurity>
  <Lines>445</Lines>
  <Paragraphs>320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1999 - 03-t0-00</dc:title>
  <dc:subject/>
  <dc:creator/>
  <cp:keywords/>
  <dc:description/>
  <cp:lastModifiedBy>Master Repository Process</cp:lastModifiedBy>
  <cp:revision>4</cp:revision>
  <cp:lastPrinted>2014-03-20T02:02:00Z</cp:lastPrinted>
  <dcterms:created xsi:type="dcterms:W3CDTF">2025-07-04T06:52:00Z</dcterms:created>
  <dcterms:modified xsi:type="dcterms:W3CDTF">2025-07-04T06:52:00Z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AsAtDate">
    <vt:lpwstr>01 Jan 2025</vt:lpwstr>
  </property>
  <property fmtid="{D5CDD505-2E9C-101B-9397-08002B2CF9AE}" pid="11" name="Suffix">
    <vt:lpwstr>03-t0-00</vt:lpwstr>
  </property>
  <property fmtid="{D5CDD505-2E9C-101B-9397-08002B2CF9AE}" pid="12" name="Official">
    <vt:lpwstr/>
  </property>
</Properties>
</file>