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_Toc185866239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_Toc185866240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_Toc185866241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_Toc185866242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_Toc185866243 \h </w:instrText>
      </w:r>
      <w:r>
        <w:fldChar w:fldCharType="separate"/>
      </w:r>
      <w:r>
        <w:t>8</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_Toc185866244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_Toc185866247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_Toc185866248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_Toc185866249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_Toc185866251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_Toc185866252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_Toc185866253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_Toc185866255 \h </w:instrText>
      </w:r>
      <w:r>
        <w:fldChar w:fldCharType="separate"/>
      </w:r>
      <w:r>
        <w:t>12</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_Toc185866256 \h </w:instrText>
      </w:r>
      <w:r>
        <w:fldChar w:fldCharType="separate"/>
      </w:r>
      <w:r>
        <w:t>13</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_Toc185866257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_Toc185866259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_Toc185866260 \h </w:instrText>
      </w:r>
      <w:r>
        <w:fldChar w:fldCharType="separate"/>
      </w:r>
      <w:r>
        <w:t>16</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_Toc185866261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_Toc185866262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_Toc185866264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_Toc185866266 \h </w:instrText>
      </w:r>
      <w:r>
        <w:fldChar w:fldCharType="separate"/>
      </w:r>
      <w:r>
        <w:t>18</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_Toc185866267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_Toc185866268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_Toc185866269 \h </w:instrText>
      </w:r>
      <w:r>
        <w:fldChar w:fldCharType="separate"/>
      </w:r>
      <w:r>
        <w:t>19</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_Toc185866270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_Toc185866271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_Toc185866273 \h </w:instrText>
      </w:r>
      <w:r>
        <w:fldChar w:fldCharType="separate"/>
      </w:r>
      <w:r>
        <w:t>20</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_Toc185866274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_Toc185866277 \h </w:instrText>
      </w:r>
      <w:r>
        <w:fldChar w:fldCharType="separate"/>
      </w:r>
      <w:r>
        <w:t>24</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_Toc185866278 \h </w:instrText>
      </w:r>
      <w:r>
        <w:fldChar w:fldCharType="separate"/>
      </w:r>
      <w:r>
        <w:t>24</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_Toc185866279 \h </w:instrText>
      </w:r>
      <w:r>
        <w:fldChar w:fldCharType="separate"/>
      </w:r>
      <w:r>
        <w:t>24</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_Toc185866280 \h </w:instrText>
      </w:r>
      <w:r>
        <w:fldChar w:fldCharType="separate"/>
      </w:r>
      <w:r>
        <w:t>24</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_Toc185866281 \h </w:instrText>
      </w:r>
      <w:r>
        <w:fldChar w:fldCharType="separate"/>
      </w:r>
      <w:r>
        <w:t>25</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_Toc185866282 \h </w:instrText>
      </w:r>
      <w:r>
        <w:fldChar w:fldCharType="separate"/>
      </w:r>
      <w:r>
        <w:t>25</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_Toc185866283 \h </w:instrText>
      </w:r>
      <w:r>
        <w:fldChar w:fldCharType="separate"/>
      </w:r>
      <w:r>
        <w:t>26</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_Toc185866284 \h </w:instrText>
      </w:r>
      <w:r>
        <w:fldChar w:fldCharType="separate"/>
      </w:r>
      <w:r>
        <w:t>26</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_Toc185866285 \h </w:instrText>
      </w:r>
      <w:r>
        <w:fldChar w:fldCharType="separate"/>
      </w:r>
      <w:r>
        <w:t>27</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_Toc185866286 \h </w:instrText>
      </w:r>
      <w:r>
        <w:fldChar w:fldCharType="separate"/>
      </w:r>
      <w:r>
        <w:t>27</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_Toc185866287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_Toc185866288 \h </w:instrText>
      </w:r>
      <w:r>
        <w:fldChar w:fldCharType="separate"/>
      </w:r>
      <w:r>
        <w:t>29</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_Toc185866289 \h </w:instrText>
      </w:r>
      <w:r>
        <w:fldChar w:fldCharType="separate"/>
      </w:r>
      <w:r>
        <w:t>30</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_Toc185866290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_Toc185866292 \h </w:instrText>
      </w:r>
      <w:r>
        <w:fldChar w:fldCharType="separate"/>
      </w:r>
      <w:r>
        <w:t>30</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_Toc185866293 \h </w:instrText>
      </w:r>
      <w:r>
        <w:fldChar w:fldCharType="separate"/>
      </w:r>
      <w:r>
        <w:t>31</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_Toc185866294 \h </w:instrText>
      </w:r>
      <w:r>
        <w:fldChar w:fldCharType="separate"/>
      </w:r>
      <w:r>
        <w:t>32</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_Toc185866295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_Toc185866298 \h </w:instrText>
      </w:r>
      <w:r>
        <w:fldChar w:fldCharType="separate"/>
      </w:r>
      <w:r>
        <w:t>32</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_Toc185866299 \h </w:instrText>
      </w:r>
      <w:r>
        <w:fldChar w:fldCharType="separate"/>
      </w:r>
      <w:r>
        <w:t>33</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_Toc185866300 \h </w:instrText>
      </w:r>
      <w:r>
        <w:fldChar w:fldCharType="separate"/>
      </w:r>
      <w:r>
        <w:t>35</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_Toc185866301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_Toc185866303 \h </w:instrText>
      </w:r>
      <w:r>
        <w:fldChar w:fldCharType="separate"/>
      </w:r>
      <w:r>
        <w:t>36</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_Toc185866304 \h </w:instrText>
      </w:r>
      <w:r>
        <w:fldChar w:fldCharType="separate"/>
      </w:r>
      <w:r>
        <w:t>36</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_Toc185866305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_Toc185866307 \h </w:instrText>
      </w:r>
      <w:r>
        <w:fldChar w:fldCharType="separate"/>
      </w:r>
      <w:r>
        <w:t>38</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_Toc185866308 \h </w:instrText>
      </w:r>
      <w:r>
        <w:fldChar w:fldCharType="separate"/>
      </w:r>
      <w:r>
        <w:t>38</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_Toc185866309 \h </w:instrText>
      </w:r>
      <w:r>
        <w:fldChar w:fldCharType="separate"/>
      </w:r>
      <w:r>
        <w:t>39</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_Toc185866310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_Toc185866312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_Toc185866315 \h </w:instrText>
      </w:r>
      <w:r>
        <w:fldChar w:fldCharType="separate"/>
      </w:r>
      <w:r>
        <w:t>41</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_Toc185866316 \h </w:instrText>
      </w:r>
      <w:r>
        <w:fldChar w:fldCharType="separate"/>
      </w:r>
      <w:r>
        <w:t>42</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_Toc185866317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_Toc185866319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_Toc185866321 \h </w:instrText>
      </w:r>
      <w:r>
        <w:fldChar w:fldCharType="separate"/>
      </w:r>
      <w:r>
        <w:t>44</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_Toc185866322 \h </w:instrText>
      </w:r>
      <w:r>
        <w:fldChar w:fldCharType="separate"/>
      </w:r>
      <w:r>
        <w:t>44</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_Toc185866323 \h </w:instrText>
      </w:r>
      <w:r>
        <w:fldChar w:fldCharType="separate"/>
      </w:r>
      <w:r>
        <w:t>45</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_Toc185866324 \h </w:instrText>
      </w:r>
      <w:r>
        <w:fldChar w:fldCharType="separate"/>
      </w:r>
      <w:r>
        <w:t>47</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_Toc185866325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_Toc185866327 \h </w:instrText>
      </w:r>
      <w:r>
        <w:fldChar w:fldCharType="separate"/>
      </w:r>
      <w:r>
        <w:t>50</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_Toc185866328 \h </w:instrText>
      </w:r>
      <w:r>
        <w:fldChar w:fldCharType="separate"/>
      </w:r>
      <w:r>
        <w:t>50</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_Toc185866329 \h </w:instrText>
      </w:r>
      <w:r>
        <w:fldChar w:fldCharType="separate"/>
      </w:r>
      <w:r>
        <w:t>50</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_Toc185866330 \h </w:instrText>
      </w:r>
      <w:r>
        <w:fldChar w:fldCharType="separate"/>
      </w:r>
      <w:r>
        <w:t>52</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_Toc185866331 \h </w:instrText>
      </w:r>
      <w:r>
        <w:fldChar w:fldCharType="separate"/>
      </w:r>
      <w:r>
        <w:t>52</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_Toc185866332 \h </w:instrText>
      </w:r>
      <w:r>
        <w:fldChar w:fldCharType="separate"/>
      </w:r>
      <w:r>
        <w:t>52</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_Toc185866333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_Toc185866336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_Toc185866339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_Toc185866340 \h </w:instrText>
      </w:r>
      <w:r>
        <w:fldChar w:fldCharType="separate"/>
      </w:r>
      <w:r>
        <w:t>55</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_Toc185866341 \h </w:instrText>
      </w:r>
      <w:r>
        <w:fldChar w:fldCharType="separate"/>
      </w:r>
      <w:r>
        <w:t>55</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_Toc185866342 \h </w:instrText>
      </w:r>
      <w:r>
        <w:fldChar w:fldCharType="separate"/>
      </w:r>
      <w:r>
        <w:t>56</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_Toc185866343 \h </w:instrText>
      </w:r>
      <w:r>
        <w:fldChar w:fldCharType="separate"/>
      </w:r>
      <w:r>
        <w:t>56</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_Toc185866344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_Toc185866346 \h </w:instrText>
      </w:r>
      <w:r>
        <w:fldChar w:fldCharType="separate"/>
      </w:r>
      <w:r>
        <w:t>57</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_Toc185866347 \h </w:instrText>
      </w:r>
      <w:r>
        <w:fldChar w:fldCharType="separate"/>
      </w:r>
      <w:r>
        <w:t>58</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_Toc185866348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_Toc185866351 \h </w:instrText>
      </w:r>
      <w:r>
        <w:fldChar w:fldCharType="separate"/>
      </w:r>
      <w:r>
        <w:t>60</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_Toc185866352 \h </w:instrText>
      </w:r>
      <w:r>
        <w:fldChar w:fldCharType="separate"/>
      </w:r>
      <w:r>
        <w:t>60</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_Toc185866353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_Toc185866355 \h </w:instrText>
      </w:r>
      <w:r>
        <w:fldChar w:fldCharType="separate"/>
      </w:r>
      <w:r>
        <w:t>61</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_Toc185866356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_Toc185866358 \h </w:instrText>
      </w:r>
      <w:r>
        <w:fldChar w:fldCharType="separate"/>
      </w:r>
      <w:r>
        <w:t>63</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_Toc185866359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_Toc185866361 \h </w:instrText>
      </w:r>
      <w:r>
        <w:fldChar w:fldCharType="separate"/>
      </w:r>
      <w:r>
        <w:t>64</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_Toc185866362 \h </w:instrText>
      </w:r>
      <w:r>
        <w:fldChar w:fldCharType="separate"/>
      </w:r>
      <w:r>
        <w:t>64</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_Toc185866363 \h </w:instrText>
      </w:r>
      <w:r>
        <w:fldChar w:fldCharType="separate"/>
      </w:r>
      <w:r>
        <w:t>65</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_Toc185866364 \h </w:instrText>
      </w:r>
      <w:r>
        <w:fldChar w:fldCharType="separate"/>
      </w:r>
      <w:r>
        <w:t>65</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_Toc185866365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_Toc185866367 \h </w:instrText>
      </w:r>
      <w:r>
        <w:fldChar w:fldCharType="separate"/>
      </w:r>
      <w:r>
        <w:t>67</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_Toc185866368 \h </w:instrText>
      </w:r>
      <w:r>
        <w:fldChar w:fldCharType="separate"/>
      </w:r>
      <w:r>
        <w:t>68</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_Toc185866369 \h </w:instrText>
      </w:r>
      <w:r>
        <w:fldChar w:fldCharType="separate"/>
      </w:r>
      <w:r>
        <w:t>68</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_Toc185866370 \h </w:instrText>
      </w:r>
      <w:r>
        <w:fldChar w:fldCharType="separate"/>
      </w:r>
      <w:r>
        <w:t>69</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_Toc185866371 \h </w:instrText>
      </w:r>
      <w:r>
        <w:fldChar w:fldCharType="separate"/>
      </w:r>
      <w:r>
        <w:t>69</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_Toc185866372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_Toc185866374 \h </w:instrText>
      </w:r>
      <w:r>
        <w:fldChar w:fldCharType="separate"/>
      </w:r>
      <w:r>
        <w:t>70</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_Toc185866375 \h </w:instrText>
      </w:r>
      <w:r>
        <w:fldChar w:fldCharType="separate"/>
      </w:r>
      <w:r>
        <w:t>71</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_Toc185866376 \h </w:instrText>
      </w:r>
      <w:r>
        <w:fldChar w:fldCharType="separate"/>
      </w:r>
      <w:r>
        <w:t>72</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_Toc185866377 \h </w:instrText>
      </w:r>
      <w:r>
        <w:fldChar w:fldCharType="separate"/>
      </w:r>
      <w:r>
        <w:t>72</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_Toc185866378 \h </w:instrText>
      </w:r>
      <w:r>
        <w:fldChar w:fldCharType="separate"/>
      </w:r>
      <w:r>
        <w:t>73</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_Toc185866379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_Toc185866381 \h </w:instrText>
      </w:r>
      <w:r>
        <w:fldChar w:fldCharType="separate"/>
      </w:r>
      <w:r>
        <w:t>74</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_Toc185866382 \h </w:instrText>
      </w:r>
      <w:r>
        <w:fldChar w:fldCharType="separate"/>
      </w:r>
      <w:r>
        <w:t>76</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_Toc185866383 \h </w:instrText>
      </w:r>
      <w:r>
        <w:fldChar w:fldCharType="separate"/>
      </w:r>
      <w:r>
        <w:t>77</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_Toc185866384 \h </w:instrText>
      </w:r>
      <w:r>
        <w:fldChar w:fldCharType="separate"/>
      </w:r>
      <w:r>
        <w:t>77</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_Toc185866385 \h </w:instrText>
      </w:r>
      <w:r>
        <w:fldChar w:fldCharType="separate"/>
      </w:r>
      <w:r>
        <w:t>79</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_Toc185866386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_Toc185866388 \h </w:instrText>
      </w:r>
      <w:r>
        <w:fldChar w:fldCharType="separate"/>
      </w:r>
      <w:r>
        <w:t>81</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_Toc185866389 \h </w:instrText>
      </w:r>
      <w:r>
        <w:fldChar w:fldCharType="separate"/>
      </w:r>
      <w:r>
        <w:t>83</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_Toc185866390 \h </w:instrText>
      </w:r>
      <w:r>
        <w:fldChar w:fldCharType="separate"/>
      </w:r>
      <w:r>
        <w:t>83</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_Toc185866391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pigs</w:t>
      </w:r>
    </w:p>
    <w:p>
      <w:pPr>
        <w:pStyle w:val="TOC4"/>
        <w:tabs>
          <w:tab w:val="right" w:leader="dot" w:pos="7077"/>
        </w:tabs>
        <w:rPr>
          <w:rFonts w:asciiTheme="minorHAnsi" w:eastAsiaTheme="minorEastAsia" w:hAnsiTheme="minorHAnsi" w:cstheme="minorBidi"/>
          <w:b w:val="0"/>
          <w:szCs w:val="22"/>
        </w:rPr>
      </w:pPr>
      <w:r>
        <w:t>Division 2 — Owners of pigs</w:t>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_Toc185866395 \h </w:instrText>
      </w:r>
      <w:r>
        <w:fldChar w:fldCharType="separate"/>
      </w:r>
      <w:r>
        <w:t>87</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_Toc185866396 \h </w:instrText>
      </w:r>
      <w:r>
        <w:fldChar w:fldCharType="separate"/>
      </w:r>
      <w:r>
        <w:t>88</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_Toc185866397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pigs</w:t>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_Toc185866399 \h </w:instrText>
      </w:r>
      <w:r>
        <w:fldChar w:fldCharType="separate"/>
      </w:r>
      <w:r>
        <w:t>89</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_Toc185866400 \h </w:instrText>
      </w:r>
      <w:r>
        <w:fldChar w:fldCharType="separate"/>
      </w:r>
      <w:r>
        <w:t>90</w:t>
      </w:r>
      <w:r>
        <w:fldChar w:fldCharType="end"/>
      </w:r>
    </w:p>
    <w:p>
      <w:pPr>
        <w:pStyle w:val="TOC8"/>
        <w:rPr>
          <w:rFonts w:asciiTheme="minorHAnsi" w:eastAsiaTheme="minorEastAsia" w:hAnsiTheme="minorHAnsi" w:cstheme="minorBidi"/>
          <w:szCs w:val="22"/>
        </w:rPr>
      </w:pPr>
      <w:r>
        <w:t>130.</w:t>
      </w:r>
      <w:r>
        <w:tab/>
      </w:r>
      <w:r>
        <w:rPr>
          <w:bCs/>
        </w:rPr>
        <w:t>Responsibilities of owner after moving pig</w:t>
      </w:r>
      <w:r>
        <w:tab/>
      </w:r>
      <w:r>
        <w:fldChar w:fldCharType="begin"/>
      </w:r>
      <w:r>
        <w:instrText xml:space="preserve"> PAGEREF _Toc185866401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Other NLIS requirements for pigs</w:t>
      </w:r>
    </w:p>
    <w:p>
      <w:pPr>
        <w:pStyle w:val="TOC6"/>
        <w:tabs>
          <w:tab w:val="right" w:leader="dot" w:pos="7077"/>
        </w:tabs>
        <w:rPr>
          <w:rFonts w:asciiTheme="minorHAnsi" w:eastAsiaTheme="minorEastAsia" w:hAnsiTheme="minorHAnsi" w:cstheme="minorBidi"/>
          <w:b w:val="0"/>
          <w:sz w:val="22"/>
          <w:szCs w:val="22"/>
        </w:rPr>
      </w:pPr>
      <w:r>
        <w:t>Subdivision 1 — Imported pigs, pigs from a pound and dead stray pigs</w:t>
      </w:r>
    </w:p>
    <w:p>
      <w:pPr>
        <w:pStyle w:val="TOC8"/>
        <w:rPr>
          <w:rFonts w:asciiTheme="minorHAnsi" w:eastAsiaTheme="minorEastAsia" w:hAnsiTheme="minorHAnsi" w:cstheme="minorBidi"/>
          <w:szCs w:val="22"/>
        </w:rPr>
      </w:pPr>
      <w:r>
        <w:t>131.</w:t>
      </w:r>
      <w:r>
        <w:tab/>
      </w:r>
      <w:r>
        <w:rPr>
          <w:bCs/>
        </w:rPr>
        <w:t>Imported pigs</w:t>
      </w:r>
      <w:r>
        <w:tab/>
      </w:r>
      <w:r>
        <w:fldChar w:fldCharType="begin"/>
      </w:r>
      <w:r>
        <w:instrText xml:space="preserve"> PAGEREF _Toc185866404 \h </w:instrText>
      </w:r>
      <w:r>
        <w:fldChar w:fldCharType="separate"/>
      </w:r>
      <w:r>
        <w:t>92</w:t>
      </w:r>
      <w:r>
        <w:fldChar w:fldCharType="end"/>
      </w:r>
    </w:p>
    <w:p>
      <w:pPr>
        <w:pStyle w:val="TOC8"/>
        <w:rPr>
          <w:rFonts w:asciiTheme="minorHAnsi" w:eastAsiaTheme="minorEastAsia" w:hAnsiTheme="minorHAnsi" w:cstheme="minorBidi"/>
          <w:szCs w:val="22"/>
        </w:rPr>
      </w:pPr>
      <w:r>
        <w:t>132.</w:t>
      </w:r>
      <w:r>
        <w:tab/>
      </w:r>
      <w:r>
        <w:rPr>
          <w:bCs/>
        </w:rPr>
        <w:t>Pigs from pound</w:t>
      </w:r>
      <w:r>
        <w:tab/>
      </w:r>
      <w:r>
        <w:fldChar w:fldCharType="begin"/>
      </w:r>
      <w:r>
        <w:instrText xml:space="preserve"> PAGEREF _Toc185866405 \h </w:instrText>
      </w:r>
      <w:r>
        <w:fldChar w:fldCharType="separate"/>
      </w:r>
      <w:r>
        <w:t>92</w:t>
      </w:r>
      <w:r>
        <w:fldChar w:fldCharType="end"/>
      </w:r>
    </w:p>
    <w:p>
      <w:pPr>
        <w:pStyle w:val="TOC8"/>
        <w:rPr>
          <w:rFonts w:asciiTheme="minorHAnsi" w:eastAsiaTheme="minorEastAsia" w:hAnsiTheme="minorHAnsi" w:cstheme="minorBidi"/>
          <w:szCs w:val="22"/>
        </w:rPr>
      </w:pPr>
      <w:r>
        <w:t>133.</w:t>
      </w:r>
      <w:r>
        <w:tab/>
      </w:r>
      <w:r>
        <w:rPr>
          <w:bCs/>
        </w:rPr>
        <w:t>Dead stray pigs</w:t>
      </w:r>
      <w:r>
        <w:tab/>
      </w:r>
      <w:r>
        <w:fldChar w:fldCharType="begin"/>
      </w:r>
      <w:r>
        <w:instrText xml:space="preserve"> PAGEREF _Toc185866406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_Toc185866408 \h </w:instrText>
      </w:r>
      <w:r>
        <w:fldChar w:fldCharType="separate"/>
      </w:r>
      <w:r>
        <w:t>93</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_Toc185866409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r>
      <w:r>
        <w:rPr>
          <w:bCs/>
        </w:rPr>
        <w:t>Pigs not to be delivered to property without relevant PIC</w:t>
      </w:r>
      <w:r>
        <w:tab/>
      </w:r>
      <w:r>
        <w:fldChar w:fldCharType="begin"/>
      </w:r>
      <w:r>
        <w:instrText xml:space="preserve"> PAGEREF _Toc185866411 \h </w:instrText>
      </w:r>
      <w:r>
        <w:fldChar w:fldCharType="separate"/>
      </w:r>
      <w:r>
        <w:t>96</w:t>
      </w:r>
      <w:r>
        <w:fldChar w:fldCharType="end"/>
      </w:r>
    </w:p>
    <w:p>
      <w:pPr>
        <w:pStyle w:val="TOC8"/>
        <w:rPr>
          <w:rFonts w:asciiTheme="minorHAnsi" w:eastAsiaTheme="minorEastAsia" w:hAnsiTheme="minorHAnsi" w:cstheme="minorBidi"/>
          <w:szCs w:val="22"/>
        </w:rPr>
      </w:pPr>
      <w:r>
        <w:t>137.</w:t>
      </w:r>
      <w:r>
        <w:tab/>
      </w:r>
      <w:r>
        <w:rPr>
          <w:bCs/>
        </w:rPr>
        <w:t>Responsibilities of property operator if pig dies on or while being moved to property</w:t>
      </w:r>
      <w:r>
        <w:tab/>
      </w:r>
      <w:r>
        <w:fldChar w:fldCharType="begin"/>
      </w:r>
      <w:r>
        <w:instrText xml:space="preserve"> PAGEREF _Toc185866412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r>
      <w:r>
        <w:rPr>
          <w:bCs/>
        </w:rPr>
        <w:t>Responsibilities of pound operator if no NLIS device applied to pig</w:t>
      </w:r>
      <w:r>
        <w:tab/>
      </w:r>
      <w:r>
        <w:fldChar w:fldCharType="begin"/>
      </w:r>
      <w:r>
        <w:instrText xml:space="preserve"> PAGEREF _Toc185866414 \h </w:instrText>
      </w:r>
      <w:r>
        <w:fldChar w:fldCharType="separate"/>
      </w:r>
      <w:r>
        <w:t>97</w:t>
      </w:r>
      <w:r>
        <w:fldChar w:fldCharType="end"/>
      </w:r>
    </w:p>
    <w:p>
      <w:pPr>
        <w:pStyle w:val="TOC8"/>
        <w:rPr>
          <w:rFonts w:asciiTheme="minorHAnsi" w:eastAsiaTheme="minorEastAsia" w:hAnsiTheme="minorHAnsi" w:cstheme="minorBidi"/>
          <w:szCs w:val="22"/>
        </w:rPr>
      </w:pPr>
      <w:r>
        <w:t>139.</w:t>
      </w:r>
      <w:r>
        <w:tab/>
      </w:r>
      <w:r>
        <w:rPr>
          <w:bCs/>
        </w:rPr>
        <w:t>Responsibilities of pound operator if pig born at or while being moved to pound</w:t>
      </w:r>
      <w:r>
        <w:tab/>
      </w:r>
      <w:r>
        <w:fldChar w:fldCharType="begin"/>
      </w:r>
      <w:r>
        <w:instrText xml:space="preserve"> PAGEREF _Toc185866415 \h </w:instrText>
      </w:r>
      <w:r>
        <w:fldChar w:fldCharType="separate"/>
      </w:r>
      <w:r>
        <w:t>97</w:t>
      </w:r>
      <w:r>
        <w:fldChar w:fldCharType="end"/>
      </w:r>
    </w:p>
    <w:p>
      <w:pPr>
        <w:pStyle w:val="TOC8"/>
        <w:rPr>
          <w:rFonts w:asciiTheme="minorHAnsi" w:eastAsiaTheme="minorEastAsia" w:hAnsiTheme="minorHAnsi" w:cstheme="minorBidi"/>
          <w:szCs w:val="22"/>
        </w:rPr>
      </w:pPr>
      <w:r>
        <w:lastRenderedPageBreak/>
        <w:t>140.</w:t>
      </w:r>
      <w:r>
        <w:tab/>
      </w:r>
      <w:r>
        <w:rPr>
          <w:bCs/>
        </w:rPr>
        <w:t>Responsibilities of pound operator if NLIS device applied to pig</w:t>
      </w:r>
      <w:r>
        <w:tab/>
      </w:r>
      <w:r>
        <w:fldChar w:fldCharType="begin"/>
      </w:r>
      <w:r>
        <w:instrText xml:space="preserve"> PAGEREF _Toc185866416 \h </w:instrText>
      </w:r>
      <w:r>
        <w:fldChar w:fldCharType="separate"/>
      </w:r>
      <w:r>
        <w:t>98</w:t>
      </w:r>
      <w:r>
        <w:fldChar w:fldCharType="end"/>
      </w:r>
    </w:p>
    <w:p>
      <w:pPr>
        <w:pStyle w:val="TOC8"/>
        <w:rPr>
          <w:rFonts w:asciiTheme="minorHAnsi" w:eastAsiaTheme="minorEastAsia" w:hAnsiTheme="minorHAnsi" w:cstheme="minorBidi"/>
          <w:szCs w:val="22"/>
        </w:rPr>
      </w:pPr>
      <w:r>
        <w:t>141.</w:t>
      </w:r>
      <w:r>
        <w:tab/>
      </w:r>
      <w:r>
        <w:rPr>
          <w:bCs/>
        </w:rPr>
        <w:t>Responsibilities of pound operator if pig moved from pound</w:t>
      </w:r>
      <w:r>
        <w:tab/>
      </w:r>
      <w:r>
        <w:fldChar w:fldCharType="begin"/>
      </w:r>
      <w:r>
        <w:instrText xml:space="preserve"> PAGEREF _Toc185866417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r>
      <w:r>
        <w:rPr>
          <w:bCs/>
        </w:rPr>
        <w:t>Responsibility of holding yard operator if no NLIS identifier applied to pig</w:t>
      </w:r>
      <w:r>
        <w:tab/>
      </w:r>
      <w:r>
        <w:fldChar w:fldCharType="begin"/>
      </w:r>
      <w:r>
        <w:instrText xml:space="preserve"> PAGEREF _Toc185866419 \h </w:instrText>
      </w:r>
      <w:r>
        <w:fldChar w:fldCharType="separate"/>
      </w:r>
      <w:r>
        <w:t>100</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_Toc185866420 \h </w:instrText>
      </w:r>
      <w:r>
        <w:fldChar w:fldCharType="separate"/>
      </w:r>
      <w:r>
        <w:t>101</w:t>
      </w:r>
      <w:r>
        <w:fldChar w:fldCharType="end"/>
      </w:r>
    </w:p>
    <w:p>
      <w:pPr>
        <w:pStyle w:val="TOC8"/>
        <w:rPr>
          <w:rFonts w:asciiTheme="minorHAnsi" w:eastAsiaTheme="minorEastAsia" w:hAnsiTheme="minorHAnsi" w:cstheme="minorBidi"/>
          <w:szCs w:val="22"/>
        </w:rPr>
      </w:pPr>
      <w:r>
        <w:t>144.</w:t>
      </w:r>
      <w:r>
        <w:tab/>
      </w:r>
      <w:r>
        <w:rPr>
          <w:bCs/>
        </w:rPr>
        <w:t>Responsibilities of holding yard operator if pig born at or while being moved to holding yard</w:t>
      </w:r>
      <w:r>
        <w:tab/>
      </w:r>
      <w:r>
        <w:fldChar w:fldCharType="begin"/>
      </w:r>
      <w:r>
        <w:instrText xml:space="preserve"> PAGEREF _Toc185866421 \h </w:instrText>
      </w:r>
      <w:r>
        <w:fldChar w:fldCharType="separate"/>
      </w:r>
      <w:r>
        <w:t>101</w:t>
      </w:r>
      <w:r>
        <w:fldChar w:fldCharType="end"/>
      </w:r>
    </w:p>
    <w:p>
      <w:pPr>
        <w:pStyle w:val="TOC8"/>
        <w:rPr>
          <w:rFonts w:asciiTheme="minorHAnsi" w:eastAsiaTheme="minorEastAsia" w:hAnsiTheme="minorHAnsi" w:cstheme="minorBidi"/>
          <w:szCs w:val="22"/>
        </w:rPr>
      </w:pPr>
      <w:r>
        <w:t>145.</w:t>
      </w:r>
      <w:r>
        <w:tab/>
      </w:r>
      <w:r>
        <w:rPr>
          <w:bCs/>
        </w:rPr>
        <w:t>Responsibilities of holding yard operator if pig held at holding yard for more than 48 hours or moved from holding yard in different consignment</w:t>
      </w:r>
      <w:r>
        <w:tab/>
      </w:r>
      <w:r>
        <w:fldChar w:fldCharType="begin"/>
      </w:r>
      <w:r>
        <w:instrText xml:space="preserve"> PAGEREF _Toc185866422 \h </w:instrText>
      </w:r>
      <w:r>
        <w:fldChar w:fldCharType="separate"/>
      </w:r>
      <w:r>
        <w:t>102</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_Toc185866423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_Toc185866425 \h </w:instrText>
      </w:r>
      <w:r>
        <w:fldChar w:fldCharType="separate"/>
      </w:r>
      <w:r>
        <w:t>103</w:t>
      </w:r>
      <w:r>
        <w:fldChar w:fldCharType="end"/>
      </w:r>
    </w:p>
    <w:p>
      <w:pPr>
        <w:pStyle w:val="TOC8"/>
        <w:rPr>
          <w:rFonts w:asciiTheme="minorHAnsi" w:eastAsiaTheme="minorEastAsia" w:hAnsiTheme="minorHAnsi" w:cstheme="minorBidi"/>
          <w:szCs w:val="22"/>
        </w:rPr>
      </w:pPr>
      <w:r>
        <w:t>148.</w:t>
      </w:r>
      <w:r>
        <w:tab/>
      </w:r>
      <w:r>
        <w:rPr>
          <w:bCs/>
        </w:rPr>
        <w:t>Responsibilities of saleyard operator if no NLIS identifier applied to pig</w:t>
      </w:r>
      <w:r>
        <w:tab/>
      </w:r>
      <w:r>
        <w:fldChar w:fldCharType="begin"/>
      </w:r>
      <w:r>
        <w:instrText xml:space="preserve"> PAGEREF _Toc185866426 \h </w:instrText>
      </w:r>
      <w:r>
        <w:fldChar w:fldCharType="separate"/>
      </w:r>
      <w:r>
        <w:t>104</w:t>
      </w:r>
      <w:r>
        <w:fldChar w:fldCharType="end"/>
      </w:r>
    </w:p>
    <w:p>
      <w:pPr>
        <w:pStyle w:val="TOC8"/>
        <w:rPr>
          <w:rFonts w:asciiTheme="minorHAnsi" w:eastAsiaTheme="minorEastAsia" w:hAnsiTheme="minorHAnsi" w:cstheme="minorBidi"/>
          <w:szCs w:val="22"/>
        </w:rPr>
      </w:pPr>
      <w:r>
        <w:t>149.</w:t>
      </w:r>
      <w:r>
        <w:tab/>
        <w:t>Directions by inspectors</w:t>
      </w:r>
      <w:r>
        <w:tab/>
      </w:r>
      <w:r>
        <w:fldChar w:fldCharType="begin"/>
      </w:r>
      <w:r>
        <w:instrText xml:space="preserve"> PAGEREF _Toc185866427 \h </w:instrText>
      </w:r>
      <w:r>
        <w:fldChar w:fldCharType="separate"/>
      </w:r>
      <w:r>
        <w:t>105</w:t>
      </w:r>
      <w:r>
        <w:fldChar w:fldCharType="end"/>
      </w:r>
    </w:p>
    <w:p>
      <w:pPr>
        <w:pStyle w:val="TOC8"/>
        <w:rPr>
          <w:rFonts w:asciiTheme="minorHAnsi" w:eastAsiaTheme="minorEastAsia" w:hAnsiTheme="minorHAnsi" w:cstheme="minorBidi"/>
          <w:szCs w:val="22"/>
        </w:rPr>
      </w:pPr>
      <w:r>
        <w:t>150.</w:t>
      </w:r>
      <w:r>
        <w:tab/>
      </w:r>
      <w:r>
        <w:rPr>
          <w:bCs/>
        </w:rPr>
        <w:t>Responsibilities of saleyard operator if pig born at or while being moved to saleyard</w:t>
      </w:r>
      <w:r>
        <w:tab/>
      </w:r>
      <w:r>
        <w:fldChar w:fldCharType="begin"/>
      </w:r>
      <w:r>
        <w:instrText xml:space="preserve"> PAGEREF _Toc185866428 \h </w:instrText>
      </w:r>
      <w:r>
        <w:fldChar w:fldCharType="separate"/>
      </w:r>
      <w:r>
        <w:t>105</w:t>
      </w:r>
      <w:r>
        <w:fldChar w:fldCharType="end"/>
      </w:r>
    </w:p>
    <w:p>
      <w:pPr>
        <w:pStyle w:val="TOC8"/>
        <w:rPr>
          <w:rFonts w:asciiTheme="minorHAnsi" w:eastAsiaTheme="minorEastAsia" w:hAnsiTheme="minorHAnsi" w:cstheme="minorBidi"/>
          <w:szCs w:val="22"/>
        </w:rPr>
      </w:pPr>
      <w:r>
        <w:t>151.</w:t>
      </w:r>
      <w:r>
        <w:tab/>
      </w:r>
      <w:r>
        <w:rPr>
          <w:bCs/>
        </w:rPr>
        <w:t>Responsibilities of saleyard operator if pig moved from saleyard</w:t>
      </w:r>
      <w:r>
        <w:tab/>
      </w:r>
      <w:r>
        <w:fldChar w:fldCharType="begin"/>
      </w:r>
      <w:r>
        <w:instrText xml:space="preserve"> PAGEREF _Toc185866429 \h </w:instrText>
      </w:r>
      <w:r>
        <w:fldChar w:fldCharType="separate"/>
      </w:r>
      <w:r>
        <w:t>106</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_Toc185866430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r>
      <w:r>
        <w:rPr>
          <w:bCs/>
        </w:rPr>
        <w:t>Responsibilities of abattoir operator if no NLIS identifier applied to pig</w:t>
      </w:r>
      <w:r>
        <w:tab/>
      </w:r>
      <w:r>
        <w:fldChar w:fldCharType="begin"/>
      </w:r>
      <w:r>
        <w:instrText xml:space="preserve"> PAGEREF _Toc185866432 \h </w:instrText>
      </w:r>
      <w:r>
        <w:fldChar w:fldCharType="separate"/>
      </w:r>
      <w:r>
        <w:t>108</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_Toc185866433 \h </w:instrText>
      </w:r>
      <w:r>
        <w:fldChar w:fldCharType="separate"/>
      </w:r>
      <w:r>
        <w:t>109</w:t>
      </w:r>
      <w:r>
        <w:fldChar w:fldCharType="end"/>
      </w:r>
    </w:p>
    <w:p>
      <w:pPr>
        <w:pStyle w:val="TOC8"/>
        <w:rPr>
          <w:rFonts w:asciiTheme="minorHAnsi" w:eastAsiaTheme="minorEastAsia" w:hAnsiTheme="minorHAnsi" w:cstheme="minorBidi"/>
          <w:szCs w:val="22"/>
        </w:rPr>
      </w:pPr>
      <w:r>
        <w:t>155.</w:t>
      </w:r>
      <w:r>
        <w:tab/>
      </w:r>
      <w:r>
        <w:rPr>
          <w:bCs/>
        </w:rPr>
        <w:t>Responsibilities of abattoir operator if pig born at or while being moved to abattoir</w:t>
      </w:r>
      <w:r>
        <w:tab/>
      </w:r>
      <w:r>
        <w:fldChar w:fldCharType="begin"/>
      </w:r>
      <w:r>
        <w:instrText xml:space="preserve"> PAGEREF _Toc185866434 \h </w:instrText>
      </w:r>
      <w:r>
        <w:fldChar w:fldCharType="separate"/>
      </w:r>
      <w:r>
        <w:t>110</w:t>
      </w:r>
      <w:r>
        <w:fldChar w:fldCharType="end"/>
      </w:r>
    </w:p>
    <w:p>
      <w:pPr>
        <w:pStyle w:val="TOC8"/>
        <w:rPr>
          <w:rFonts w:asciiTheme="minorHAnsi" w:eastAsiaTheme="minorEastAsia" w:hAnsiTheme="minorHAnsi" w:cstheme="minorBidi"/>
          <w:szCs w:val="22"/>
        </w:rPr>
      </w:pPr>
      <w:r>
        <w:t>156.</w:t>
      </w:r>
      <w:r>
        <w:tab/>
      </w:r>
      <w:r>
        <w:rPr>
          <w:bCs/>
        </w:rPr>
        <w:t>Responsibilities of abattoir operator if pig moved to abattoir</w:t>
      </w:r>
      <w:r>
        <w:tab/>
      </w:r>
      <w:r>
        <w:fldChar w:fldCharType="begin"/>
      </w:r>
      <w:r>
        <w:instrText xml:space="preserve"> PAGEREF _Toc185866435 \h </w:instrText>
      </w:r>
      <w:r>
        <w:fldChar w:fldCharType="separate"/>
      </w:r>
      <w:r>
        <w:t>110</w:t>
      </w:r>
      <w:r>
        <w:fldChar w:fldCharType="end"/>
      </w:r>
    </w:p>
    <w:p>
      <w:pPr>
        <w:pStyle w:val="TOC8"/>
        <w:rPr>
          <w:rFonts w:asciiTheme="minorHAnsi" w:eastAsiaTheme="minorEastAsia" w:hAnsiTheme="minorHAnsi" w:cstheme="minorBidi"/>
          <w:szCs w:val="22"/>
        </w:rPr>
      </w:pPr>
      <w:r>
        <w:t>157.</w:t>
      </w:r>
      <w:r>
        <w:tab/>
      </w:r>
      <w:r>
        <w:rPr>
          <w:bCs/>
        </w:rPr>
        <w:t>Responsibilities of abattoir operator after pig slaughtered</w:t>
      </w:r>
      <w:r>
        <w:tab/>
      </w:r>
      <w:r>
        <w:fldChar w:fldCharType="begin"/>
      </w:r>
      <w:r>
        <w:instrText xml:space="preserve"> PAGEREF _Toc185866436 \h </w:instrText>
      </w:r>
      <w:r>
        <w:fldChar w:fldCharType="separate"/>
      </w:r>
      <w:r>
        <w:t>111</w:t>
      </w:r>
      <w:r>
        <w:fldChar w:fldCharType="end"/>
      </w:r>
    </w:p>
    <w:p>
      <w:pPr>
        <w:pStyle w:val="TOC8"/>
        <w:rPr>
          <w:rFonts w:asciiTheme="minorHAnsi" w:eastAsiaTheme="minorEastAsia" w:hAnsiTheme="minorHAnsi" w:cstheme="minorBidi"/>
          <w:szCs w:val="22"/>
        </w:rPr>
      </w:pPr>
      <w:r>
        <w:t>158.</w:t>
      </w:r>
      <w:r>
        <w:tab/>
      </w:r>
      <w:r>
        <w:rPr>
          <w:bCs/>
        </w:rPr>
        <w:t>Responsibilities of abattoir operator if live pig moved from abattoir</w:t>
      </w:r>
      <w:r>
        <w:tab/>
      </w:r>
      <w:r>
        <w:fldChar w:fldCharType="begin"/>
      </w:r>
      <w:r>
        <w:instrText xml:space="preserve"> PAGEREF _Toc185866437 \h </w:instrText>
      </w:r>
      <w:r>
        <w:fldChar w:fldCharType="separate"/>
      </w:r>
      <w:r>
        <w:t>112</w:t>
      </w:r>
      <w:r>
        <w:fldChar w:fldCharType="end"/>
      </w:r>
    </w:p>
    <w:p>
      <w:pPr>
        <w:pStyle w:val="TOC8"/>
        <w:rPr>
          <w:rFonts w:asciiTheme="minorHAnsi" w:eastAsiaTheme="minorEastAsia" w:hAnsiTheme="minorHAnsi" w:cstheme="minorBidi"/>
          <w:szCs w:val="22"/>
        </w:rPr>
      </w:pPr>
      <w:r>
        <w:t>159.</w:t>
      </w:r>
      <w:r>
        <w:tab/>
      </w:r>
      <w:r>
        <w:rPr>
          <w:bCs/>
          <w:snapToGrid w:val="0"/>
        </w:rPr>
        <w:t>Slaughtered pigs moved to pet food processing plants</w:t>
      </w:r>
      <w:r>
        <w:tab/>
      </w:r>
      <w:r>
        <w:fldChar w:fldCharType="begin"/>
      </w:r>
      <w:r>
        <w:instrText xml:space="preserve"> PAGEREF _Toc185866438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160.</w:t>
      </w:r>
      <w:r>
        <w:tab/>
      </w:r>
      <w:r>
        <w:rPr>
          <w:bCs/>
        </w:rPr>
        <w:t>Responsibilities of export depot operator if no NLIS identifier applied to pig</w:t>
      </w:r>
      <w:r>
        <w:tab/>
      </w:r>
      <w:r>
        <w:fldChar w:fldCharType="begin"/>
      </w:r>
      <w:r>
        <w:instrText xml:space="preserve"> PAGEREF _Toc185866440 \h </w:instrText>
      </w:r>
      <w:r>
        <w:fldChar w:fldCharType="separate"/>
      </w:r>
      <w:r>
        <w:t>114</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_Toc185866441 \h </w:instrText>
      </w:r>
      <w:r>
        <w:fldChar w:fldCharType="separate"/>
      </w:r>
      <w:r>
        <w:t>115</w:t>
      </w:r>
      <w:r>
        <w:fldChar w:fldCharType="end"/>
      </w:r>
    </w:p>
    <w:p>
      <w:pPr>
        <w:pStyle w:val="TOC8"/>
        <w:rPr>
          <w:rFonts w:asciiTheme="minorHAnsi" w:eastAsiaTheme="minorEastAsia" w:hAnsiTheme="minorHAnsi" w:cstheme="minorBidi"/>
          <w:szCs w:val="22"/>
        </w:rPr>
      </w:pPr>
      <w:r>
        <w:t>162.</w:t>
      </w:r>
      <w:r>
        <w:tab/>
      </w:r>
      <w:r>
        <w:rPr>
          <w:bCs/>
        </w:rPr>
        <w:t>Responsibilities of export depot operator if pig born at or while being moved to export depot</w:t>
      </w:r>
      <w:r>
        <w:tab/>
      </w:r>
      <w:r>
        <w:fldChar w:fldCharType="begin"/>
      </w:r>
      <w:r>
        <w:instrText xml:space="preserve"> PAGEREF _Toc185866442 \h </w:instrText>
      </w:r>
      <w:r>
        <w:fldChar w:fldCharType="separate"/>
      </w:r>
      <w:r>
        <w:t>116</w:t>
      </w:r>
      <w:r>
        <w:fldChar w:fldCharType="end"/>
      </w:r>
    </w:p>
    <w:p>
      <w:pPr>
        <w:pStyle w:val="TOC8"/>
        <w:rPr>
          <w:rFonts w:asciiTheme="minorHAnsi" w:eastAsiaTheme="minorEastAsia" w:hAnsiTheme="minorHAnsi" w:cstheme="minorBidi"/>
          <w:szCs w:val="22"/>
        </w:rPr>
      </w:pPr>
      <w:r>
        <w:t>163.</w:t>
      </w:r>
      <w:r>
        <w:tab/>
      </w:r>
      <w:r>
        <w:rPr>
          <w:bCs/>
        </w:rPr>
        <w:t>Responsibilities of export depot operator if pig moved to export depot</w:t>
      </w:r>
      <w:r>
        <w:tab/>
      </w:r>
      <w:r>
        <w:fldChar w:fldCharType="begin"/>
      </w:r>
      <w:r>
        <w:instrText xml:space="preserve"> PAGEREF _Toc185866443 \h </w:instrText>
      </w:r>
      <w:r>
        <w:fldChar w:fldCharType="separate"/>
      </w:r>
      <w:r>
        <w:t>116</w:t>
      </w:r>
      <w:r>
        <w:fldChar w:fldCharType="end"/>
      </w:r>
    </w:p>
    <w:p>
      <w:pPr>
        <w:pStyle w:val="TOC8"/>
        <w:rPr>
          <w:rFonts w:asciiTheme="minorHAnsi" w:eastAsiaTheme="minorEastAsia" w:hAnsiTheme="minorHAnsi" w:cstheme="minorBidi"/>
          <w:szCs w:val="22"/>
        </w:rPr>
      </w:pPr>
      <w:r>
        <w:t>164.</w:t>
      </w:r>
      <w:r>
        <w:tab/>
      </w:r>
      <w:r>
        <w:rPr>
          <w:bCs/>
        </w:rPr>
        <w:t>Responsibilities of export depot operator if pig exported or otherwise moved from export depot</w:t>
      </w:r>
      <w:r>
        <w:tab/>
      </w:r>
      <w:r>
        <w:fldChar w:fldCharType="begin"/>
      </w:r>
      <w:r>
        <w:instrText xml:space="preserve"> PAGEREF _Toc185866444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6A — Identifying sheep and goats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164A.</w:t>
      </w:r>
      <w:r>
        <w:tab/>
        <w:t>Terms used</w:t>
      </w:r>
      <w:r>
        <w:tab/>
      </w:r>
      <w:r>
        <w:fldChar w:fldCharType="begin"/>
      </w:r>
      <w:r>
        <w:instrText xml:space="preserve"> PAGEREF _Toc185866447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Owners and purchasers of sheep and goats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164B.</w:t>
      </w:r>
      <w:r>
        <w:tab/>
        <w:t>Owners must identify sheep</w:t>
      </w:r>
      <w:r>
        <w:tab/>
      </w:r>
      <w:r>
        <w:fldChar w:fldCharType="begin"/>
      </w:r>
      <w:r>
        <w:instrText xml:space="preserve"> PAGEREF _Toc185866450 \h </w:instrText>
      </w:r>
      <w:r>
        <w:fldChar w:fldCharType="separate"/>
      </w:r>
      <w:r>
        <w:t>120</w:t>
      </w:r>
      <w:r>
        <w:fldChar w:fldCharType="end"/>
      </w:r>
    </w:p>
    <w:p>
      <w:pPr>
        <w:pStyle w:val="TOC8"/>
        <w:rPr>
          <w:rFonts w:asciiTheme="minorHAnsi" w:eastAsiaTheme="minorEastAsia" w:hAnsiTheme="minorHAnsi" w:cstheme="minorBidi"/>
          <w:szCs w:val="22"/>
        </w:rPr>
      </w:pPr>
      <w:r>
        <w:t>164C.</w:t>
      </w:r>
      <w:r>
        <w:tab/>
        <w:t>Exemption for unweaned sheep</w:t>
      </w:r>
      <w:r>
        <w:tab/>
      </w:r>
      <w:r>
        <w:fldChar w:fldCharType="begin"/>
      </w:r>
      <w:r>
        <w:instrText xml:space="preserve"> PAGEREF _Toc185866451 \h </w:instrText>
      </w:r>
      <w:r>
        <w:fldChar w:fldCharType="separate"/>
      </w:r>
      <w:r>
        <w:t>121</w:t>
      </w:r>
      <w:r>
        <w:fldChar w:fldCharType="end"/>
      </w:r>
    </w:p>
    <w:p>
      <w:pPr>
        <w:pStyle w:val="TOC8"/>
        <w:rPr>
          <w:rFonts w:asciiTheme="minorHAnsi" w:eastAsiaTheme="minorEastAsia" w:hAnsiTheme="minorHAnsi" w:cstheme="minorBidi"/>
          <w:szCs w:val="22"/>
        </w:rPr>
      </w:pPr>
      <w:r>
        <w:t>164D.</w:t>
      </w:r>
      <w:r>
        <w:tab/>
        <w:t>Requirements for earmarks</w:t>
      </w:r>
      <w:r>
        <w:tab/>
      </w:r>
      <w:r>
        <w:fldChar w:fldCharType="begin"/>
      </w:r>
      <w:r>
        <w:instrText xml:space="preserve"> PAGEREF _Toc185866452 \h </w:instrText>
      </w:r>
      <w:r>
        <w:fldChar w:fldCharType="separate"/>
      </w:r>
      <w:r>
        <w:t>121</w:t>
      </w:r>
      <w:r>
        <w:fldChar w:fldCharType="end"/>
      </w:r>
    </w:p>
    <w:p>
      <w:pPr>
        <w:pStyle w:val="TOC8"/>
        <w:rPr>
          <w:rFonts w:asciiTheme="minorHAnsi" w:eastAsiaTheme="minorEastAsia" w:hAnsiTheme="minorHAnsi" w:cstheme="minorBidi"/>
          <w:szCs w:val="22"/>
        </w:rPr>
      </w:pPr>
      <w:r>
        <w:t>164E.</w:t>
      </w:r>
      <w:r>
        <w:tab/>
        <w:t>Application of markings: sheep</w:t>
      </w:r>
      <w:r>
        <w:tab/>
      </w:r>
      <w:r>
        <w:fldChar w:fldCharType="begin"/>
      </w:r>
      <w:r>
        <w:instrText xml:space="preserve"> PAGEREF _Toc185866453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164F.</w:t>
      </w:r>
      <w:r>
        <w:tab/>
        <w:t>Owners must identify goats</w:t>
      </w:r>
      <w:r>
        <w:tab/>
      </w:r>
      <w:r>
        <w:fldChar w:fldCharType="begin"/>
      </w:r>
      <w:r>
        <w:instrText xml:space="preserve"> PAGEREF _Toc185866455 \h </w:instrText>
      </w:r>
      <w:r>
        <w:fldChar w:fldCharType="separate"/>
      </w:r>
      <w:r>
        <w:t>123</w:t>
      </w:r>
      <w:r>
        <w:fldChar w:fldCharType="end"/>
      </w:r>
    </w:p>
    <w:p>
      <w:pPr>
        <w:pStyle w:val="TOC8"/>
        <w:rPr>
          <w:rFonts w:asciiTheme="minorHAnsi" w:eastAsiaTheme="minorEastAsia" w:hAnsiTheme="minorHAnsi" w:cstheme="minorBidi"/>
          <w:szCs w:val="22"/>
        </w:rPr>
      </w:pPr>
      <w:r>
        <w:t>164G.</w:t>
      </w:r>
      <w:r>
        <w:tab/>
        <w:t>Exemption for unweaned goats</w:t>
      </w:r>
      <w:r>
        <w:tab/>
      </w:r>
      <w:r>
        <w:fldChar w:fldCharType="begin"/>
      </w:r>
      <w:r>
        <w:instrText xml:space="preserve"> PAGEREF _Toc185866456 \h </w:instrText>
      </w:r>
      <w:r>
        <w:fldChar w:fldCharType="separate"/>
      </w:r>
      <w:r>
        <w:t>123</w:t>
      </w:r>
      <w:r>
        <w:fldChar w:fldCharType="end"/>
      </w:r>
    </w:p>
    <w:p>
      <w:pPr>
        <w:pStyle w:val="TOC8"/>
        <w:rPr>
          <w:rFonts w:asciiTheme="minorHAnsi" w:eastAsiaTheme="minorEastAsia" w:hAnsiTheme="minorHAnsi" w:cstheme="minorBidi"/>
          <w:szCs w:val="22"/>
        </w:rPr>
      </w:pPr>
      <w:r>
        <w:t>164H.</w:t>
      </w:r>
      <w:r>
        <w:tab/>
        <w:t>Requirements for earmarks</w:t>
      </w:r>
      <w:r>
        <w:tab/>
      </w:r>
      <w:r>
        <w:fldChar w:fldCharType="begin"/>
      </w:r>
      <w:r>
        <w:instrText xml:space="preserve"> PAGEREF _Toc185866457 \h </w:instrText>
      </w:r>
      <w:r>
        <w:fldChar w:fldCharType="separate"/>
      </w:r>
      <w:r>
        <w:t>123</w:t>
      </w:r>
      <w:r>
        <w:fldChar w:fldCharType="end"/>
      </w:r>
    </w:p>
    <w:p>
      <w:pPr>
        <w:pStyle w:val="TOC8"/>
        <w:rPr>
          <w:rFonts w:asciiTheme="minorHAnsi" w:eastAsiaTheme="minorEastAsia" w:hAnsiTheme="minorHAnsi" w:cstheme="minorBidi"/>
          <w:szCs w:val="22"/>
        </w:rPr>
      </w:pPr>
      <w:r>
        <w:t>164I.</w:t>
      </w:r>
      <w:r>
        <w:tab/>
        <w:t>Application of markings: goat</w:t>
      </w:r>
      <w:r>
        <w:tab/>
      </w:r>
      <w:r>
        <w:fldChar w:fldCharType="begin"/>
      </w:r>
      <w:r>
        <w:instrText xml:space="preserve"> PAGEREF _Toc185866458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Owner responsibilities when sheep and goats moved</w:t>
      </w:r>
    </w:p>
    <w:p>
      <w:pPr>
        <w:pStyle w:val="TOC8"/>
        <w:rPr>
          <w:rFonts w:asciiTheme="minorHAnsi" w:eastAsiaTheme="minorEastAsia" w:hAnsiTheme="minorHAnsi" w:cstheme="minorBidi"/>
          <w:szCs w:val="22"/>
        </w:rPr>
      </w:pPr>
      <w:r>
        <w:t>164J.</w:t>
      </w:r>
      <w:r>
        <w:tab/>
        <w:t>Responsibilities of owner before moving sheep or goat</w:t>
      </w:r>
      <w:r>
        <w:tab/>
      </w:r>
      <w:r>
        <w:fldChar w:fldCharType="begin"/>
      </w:r>
      <w:r>
        <w:instrText xml:space="preserve"> PAGEREF _Toc185866460 \h </w:instrText>
      </w:r>
      <w:r>
        <w:fldChar w:fldCharType="separate"/>
      </w:r>
      <w:r>
        <w:t>124</w:t>
      </w:r>
      <w:r>
        <w:fldChar w:fldCharType="end"/>
      </w:r>
    </w:p>
    <w:p>
      <w:pPr>
        <w:pStyle w:val="TOC8"/>
        <w:rPr>
          <w:rFonts w:asciiTheme="minorHAnsi" w:eastAsiaTheme="minorEastAsia" w:hAnsiTheme="minorHAnsi" w:cstheme="minorBidi"/>
          <w:szCs w:val="22"/>
        </w:rPr>
      </w:pPr>
      <w:r>
        <w:t>164K.</w:t>
      </w:r>
      <w:r>
        <w:tab/>
        <w:t>Exemptions from NLIS device identification when sheep or goat moved</w:t>
      </w:r>
      <w:r>
        <w:tab/>
      </w:r>
      <w:r>
        <w:fldChar w:fldCharType="begin"/>
      </w:r>
      <w:r>
        <w:instrText xml:space="preserve"> PAGEREF _Toc185866461 \h </w:instrText>
      </w:r>
      <w:r>
        <w:fldChar w:fldCharType="separate"/>
      </w:r>
      <w:r>
        <w:t>125</w:t>
      </w:r>
      <w:r>
        <w:fldChar w:fldCharType="end"/>
      </w:r>
    </w:p>
    <w:p>
      <w:pPr>
        <w:pStyle w:val="TOC8"/>
        <w:rPr>
          <w:rFonts w:asciiTheme="minorHAnsi" w:eastAsiaTheme="minorEastAsia" w:hAnsiTheme="minorHAnsi" w:cstheme="minorBidi"/>
          <w:szCs w:val="22"/>
        </w:rPr>
      </w:pPr>
      <w:r>
        <w:t>164L.</w:t>
      </w:r>
      <w:r>
        <w:tab/>
        <w:t>Responsibility of owner if receiving sheep or goat without NLIS device</w:t>
      </w:r>
      <w:r>
        <w:tab/>
      </w:r>
      <w:r>
        <w:fldChar w:fldCharType="begin"/>
      </w:r>
      <w:r>
        <w:instrText xml:space="preserve"> PAGEREF _Toc185866462 \h </w:instrText>
      </w:r>
      <w:r>
        <w:fldChar w:fldCharType="separate"/>
      </w:r>
      <w:r>
        <w:t>125</w:t>
      </w:r>
      <w:r>
        <w:fldChar w:fldCharType="end"/>
      </w:r>
    </w:p>
    <w:p>
      <w:pPr>
        <w:pStyle w:val="TOC8"/>
        <w:rPr>
          <w:rFonts w:asciiTheme="minorHAnsi" w:eastAsiaTheme="minorEastAsia" w:hAnsiTheme="minorHAnsi" w:cstheme="minorBidi"/>
          <w:szCs w:val="22"/>
        </w:rPr>
      </w:pPr>
      <w:r>
        <w:t>164M.</w:t>
      </w:r>
      <w:r>
        <w:tab/>
        <w:t>Responsibility of owner if receiving NLIS identified sheep or goat</w:t>
      </w:r>
      <w:r>
        <w:tab/>
      </w:r>
      <w:r>
        <w:fldChar w:fldCharType="begin"/>
      </w:r>
      <w:r>
        <w:instrText xml:space="preserve"> PAGEREF _Toc185866463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Owner responsibilities if sheep or goat dies</w:t>
      </w:r>
    </w:p>
    <w:p>
      <w:pPr>
        <w:pStyle w:val="TOC8"/>
        <w:rPr>
          <w:rFonts w:asciiTheme="minorHAnsi" w:eastAsiaTheme="minorEastAsia" w:hAnsiTheme="minorHAnsi" w:cstheme="minorBidi"/>
          <w:szCs w:val="22"/>
        </w:rPr>
      </w:pPr>
      <w:r>
        <w:t>164N.</w:t>
      </w:r>
      <w:r>
        <w:tab/>
        <w:t>Responsibilities of owner if sheep or goat dies on or while being moved to farming property</w:t>
      </w:r>
      <w:r>
        <w:tab/>
      </w:r>
      <w:r>
        <w:fldChar w:fldCharType="begin"/>
      </w:r>
      <w:r>
        <w:instrText xml:space="preserve"> PAGEREF _Toc185866465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Purchasers of sheep and goats</w:t>
      </w:r>
    </w:p>
    <w:p>
      <w:pPr>
        <w:pStyle w:val="TOC8"/>
        <w:rPr>
          <w:rFonts w:asciiTheme="minorHAnsi" w:eastAsiaTheme="minorEastAsia" w:hAnsiTheme="minorHAnsi" w:cstheme="minorBidi"/>
          <w:szCs w:val="22"/>
        </w:rPr>
      </w:pPr>
      <w:r>
        <w:t>164O.</w:t>
      </w:r>
      <w:r>
        <w:tab/>
        <w:t>Responsibilities of purchasers of sheep and goats</w:t>
      </w:r>
      <w:r>
        <w:tab/>
      </w:r>
      <w:r>
        <w:fldChar w:fldCharType="begin"/>
      </w:r>
      <w:r>
        <w:instrText xml:space="preserve"> PAGEREF _Toc185866467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Property operators</w:t>
      </w:r>
    </w:p>
    <w:p>
      <w:pPr>
        <w:pStyle w:val="TOC6"/>
        <w:tabs>
          <w:tab w:val="right" w:leader="dot" w:pos="7077"/>
        </w:tabs>
        <w:rPr>
          <w:rFonts w:asciiTheme="minorHAnsi" w:eastAsiaTheme="minorEastAsia" w:hAnsiTheme="minorHAnsi" w:cstheme="minorBidi"/>
          <w:b w:val="0"/>
          <w:sz w:val="22"/>
          <w:szCs w:val="22"/>
        </w:rPr>
      </w:pPr>
      <w:r>
        <w:t>Subdivision 1 — General provisions relating to property operators</w:t>
      </w:r>
    </w:p>
    <w:p>
      <w:pPr>
        <w:pStyle w:val="TOC8"/>
        <w:rPr>
          <w:rFonts w:asciiTheme="minorHAnsi" w:eastAsiaTheme="minorEastAsia" w:hAnsiTheme="minorHAnsi" w:cstheme="minorBidi"/>
          <w:szCs w:val="22"/>
        </w:rPr>
      </w:pPr>
      <w:r>
        <w:t>164P.</w:t>
      </w:r>
      <w:r>
        <w:tab/>
        <w:t>Sheep and goats not to be delivered to property without relevant PIC</w:t>
      </w:r>
      <w:r>
        <w:tab/>
      </w:r>
      <w:r>
        <w:fldChar w:fldCharType="begin"/>
      </w:r>
      <w:r>
        <w:instrText xml:space="preserve"> PAGEREF _Toc185866470 \h </w:instrText>
      </w:r>
      <w:r>
        <w:fldChar w:fldCharType="separate"/>
      </w:r>
      <w:r>
        <w:t>129</w:t>
      </w:r>
      <w:r>
        <w:fldChar w:fldCharType="end"/>
      </w:r>
    </w:p>
    <w:p>
      <w:pPr>
        <w:pStyle w:val="TOC8"/>
        <w:rPr>
          <w:rFonts w:asciiTheme="minorHAnsi" w:eastAsiaTheme="minorEastAsia" w:hAnsiTheme="minorHAnsi" w:cstheme="minorBidi"/>
          <w:szCs w:val="22"/>
        </w:rPr>
      </w:pPr>
      <w:r>
        <w:t>164Q.</w:t>
      </w:r>
      <w:r>
        <w:tab/>
        <w:t>Responsibility of property operator if sheep or goat dies on or while being moved to property</w:t>
      </w:r>
      <w:r>
        <w:tab/>
      </w:r>
      <w:r>
        <w:fldChar w:fldCharType="begin"/>
      </w:r>
      <w:r>
        <w:instrText xml:space="preserve"> PAGEREF _Toc185866471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Pounds</w:t>
      </w:r>
    </w:p>
    <w:p>
      <w:pPr>
        <w:pStyle w:val="TOC8"/>
        <w:rPr>
          <w:rFonts w:asciiTheme="minorHAnsi" w:eastAsiaTheme="minorEastAsia" w:hAnsiTheme="minorHAnsi" w:cstheme="minorBidi"/>
          <w:szCs w:val="22"/>
        </w:rPr>
      </w:pPr>
      <w:r>
        <w:t>164R.</w:t>
      </w:r>
      <w:r>
        <w:tab/>
        <w:t>Responsibilities of pound operator if no NLIS device applied to sheep or goat</w:t>
      </w:r>
      <w:r>
        <w:tab/>
      </w:r>
      <w:r>
        <w:fldChar w:fldCharType="begin"/>
      </w:r>
      <w:r>
        <w:instrText xml:space="preserve"> PAGEREF _Toc185866473 \h </w:instrText>
      </w:r>
      <w:r>
        <w:fldChar w:fldCharType="separate"/>
      </w:r>
      <w:r>
        <w:t>130</w:t>
      </w:r>
      <w:r>
        <w:fldChar w:fldCharType="end"/>
      </w:r>
    </w:p>
    <w:p>
      <w:pPr>
        <w:pStyle w:val="TOC8"/>
        <w:rPr>
          <w:rFonts w:asciiTheme="minorHAnsi" w:eastAsiaTheme="minorEastAsia" w:hAnsiTheme="minorHAnsi" w:cstheme="minorBidi"/>
          <w:szCs w:val="22"/>
        </w:rPr>
      </w:pPr>
      <w:r>
        <w:t>164S.</w:t>
      </w:r>
      <w:r>
        <w:tab/>
        <w:t>Responsibility of pound operator if sheep or goat born at or while being moved to pound</w:t>
      </w:r>
      <w:r>
        <w:tab/>
      </w:r>
      <w:r>
        <w:fldChar w:fldCharType="begin"/>
      </w:r>
      <w:r>
        <w:instrText xml:space="preserve"> PAGEREF _Toc185866474 \h </w:instrText>
      </w:r>
      <w:r>
        <w:fldChar w:fldCharType="separate"/>
      </w:r>
      <w:r>
        <w:t>131</w:t>
      </w:r>
      <w:r>
        <w:fldChar w:fldCharType="end"/>
      </w:r>
    </w:p>
    <w:p>
      <w:pPr>
        <w:pStyle w:val="TOC8"/>
        <w:rPr>
          <w:rFonts w:asciiTheme="minorHAnsi" w:eastAsiaTheme="minorEastAsia" w:hAnsiTheme="minorHAnsi" w:cstheme="minorBidi"/>
          <w:szCs w:val="22"/>
        </w:rPr>
      </w:pPr>
      <w:r>
        <w:t>164T.</w:t>
      </w:r>
      <w:r>
        <w:tab/>
        <w:t>Responsibility of pound operator if NLIS device applied to sheep or goat</w:t>
      </w:r>
      <w:r>
        <w:tab/>
      </w:r>
      <w:r>
        <w:fldChar w:fldCharType="begin"/>
      </w:r>
      <w:r>
        <w:instrText xml:space="preserve"> PAGEREF _Toc185866475 \h </w:instrText>
      </w:r>
      <w:r>
        <w:fldChar w:fldCharType="separate"/>
      </w:r>
      <w:r>
        <w:t>131</w:t>
      </w:r>
      <w:r>
        <w:fldChar w:fldCharType="end"/>
      </w:r>
    </w:p>
    <w:p>
      <w:pPr>
        <w:pStyle w:val="TOC8"/>
        <w:rPr>
          <w:rFonts w:asciiTheme="minorHAnsi" w:eastAsiaTheme="minorEastAsia" w:hAnsiTheme="minorHAnsi" w:cstheme="minorBidi"/>
          <w:szCs w:val="22"/>
        </w:rPr>
      </w:pPr>
      <w:r>
        <w:t>164U.</w:t>
      </w:r>
      <w:r>
        <w:tab/>
        <w:t>Responsibilities of pound operator if sheep or goat moved from pound</w:t>
      </w:r>
      <w:r>
        <w:tab/>
      </w:r>
      <w:r>
        <w:fldChar w:fldCharType="begin"/>
      </w:r>
      <w:r>
        <w:instrText xml:space="preserve"> PAGEREF _Toc185866476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Holding yards</w:t>
      </w:r>
    </w:p>
    <w:p>
      <w:pPr>
        <w:pStyle w:val="TOC8"/>
        <w:rPr>
          <w:rFonts w:asciiTheme="minorHAnsi" w:eastAsiaTheme="minorEastAsia" w:hAnsiTheme="minorHAnsi" w:cstheme="minorBidi"/>
          <w:szCs w:val="22"/>
        </w:rPr>
      </w:pPr>
      <w:r>
        <w:t>164V.</w:t>
      </w:r>
      <w:r>
        <w:tab/>
        <w:t>Responsibility of holding yard operator if no NLIS device applied to sheep or goat</w:t>
      </w:r>
      <w:r>
        <w:tab/>
      </w:r>
      <w:r>
        <w:fldChar w:fldCharType="begin"/>
      </w:r>
      <w:r>
        <w:instrText xml:space="preserve"> PAGEREF _Toc185866478 \h </w:instrText>
      </w:r>
      <w:r>
        <w:fldChar w:fldCharType="separate"/>
      </w:r>
      <w:r>
        <w:t>133</w:t>
      </w:r>
      <w:r>
        <w:fldChar w:fldCharType="end"/>
      </w:r>
    </w:p>
    <w:p>
      <w:pPr>
        <w:pStyle w:val="TOC8"/>
        <w:rPr>
          <w:rFonts w:asciiTheme="minorHAnsi" w:eastAsiaTheme="minorEastAsia" w:hAnsiTheme="minorHAnsi" w:cstheme="minorBidi"/>
          <w:szCs w:val="22"/>
        </w:rPr>
      </w:pPr>
      <w:r>
        <w:t>164W.</w:t>
      </w:r>
      <w:r>
        <w:tab/>
        <w:t>Directions by inspectors</w:t>
      </w:r>
      <w:r>
        <w:tab/>
      </w:r>
      <w:r>
        <w:fldChar w:fldCharType="begin"/>
      </w:r>
      <w:r>
        <w:instrText xml:space="preserve"> PAGEREF _Toc185866479 \h </w:instrText>
      </w:r>
      <w:r>
        <w:fldChar w:fldCharType="separate"/>
      </w:r>
      <w:r>
        <w:t>134</w:t>
      </w:r>
      <w:r>
        <w:fldChar w:fldCharType="end"/>
      </w:r>
    </w:p>
    <w:p>
      <w:pPr>
        <w:pStyle w:val="TOC8"/>
        <w:rPr>
          <w:rFonts w:asciiTheme="minorHAnsi" w:eastAsiaTheme="minorEastAsia" w:hAnsiTheme="minorHAnsi" w:cstheme="minorBidi"/>
          <w:szCs w:val="22"/>
        </w:rPr>
      </w:pPr>
      <w:r>
        <w:t>164X.</w:t>
      </w:r>
      <w:r>
        <w:tab/>
        <w:t>Responsibility of holding yard operator if sheep or goat born at or while being moved to holding yard</w:t>
      </w:r>
      <w:r>
        <w:tab/>
      </w:r>
      <w:r>
        <w:fldChar w:fldCharType="begin"/>
      </w:r>
      <w:r>
        <w:instrText xml:space="preserve"> PAGEREF _Toc185866480 \h </w:instrText>
      </w:r>
      <w:r>
        <w:fldChar w:fldCharType="separate"/>
      </w:r>
      <w:r>
        <w:t>134</w:t>
      </w:r>
      <w:r>
        <w:fldChar w:fldCharType="end"/>
      </w:r>
    </w:p>
    <w:p>
      <w:pPr>
        <w:pStyle w:val="TOC8"/>
        <w:rPr>
          <w:rFonts w:asciiTheme="minorHAnsi" w:eastAsiaTheme="minorEastAsia" w:hAnsiTheme="minorHAnsi" w:cstheme="minorBidi"/>
          <w:szCs w:val="22"/>
        </w:rPr>
      </w:pPr>
      <w:r>
        <w:t>164Y.</w:t>
      </w:r>
      <w:r>
        <w:tab/>
        <w:t>Responsibility of holding yard operator if consignment held for less than 48 hours and moved from holding yard in a single consignment</w:t>
      </w:r>
      <w:r>
        <w:tab/>
      </w:r>
      <w:r>
        <w:fldChar w:fldCharType="begin"/>
      </w:r>
      <w:r>
        <w:instrText xml:space="preserve"> PAGEREF _Toc185866481 \h </w:instrText>
      </w:r>
      <w:r>
        <w:fldChar w:fldCharType="separate"/>
      </w:r>
      <w:r>
        <w:t>134</w:t>
      </w:r>
      <w:r>
        <w:fldChar w:fldCharType="end"/>
      </w:r>
    </w:p>
    <w:p>
      <w:pPr>
        <w:pStyle w:val="TOC8"/>
        <w:rPr>
          <w:rFonts w:asciiTheme="minorHAnsi" w:eastAsiaTheme="minorEastAsia" w:hAnsiTheme="minorHAnsi" w:cstheme="minorBidi"/>
          <w:szCs w:val="22"/>
        </w:rPr>
      </w:pPr>
      <w:r>
        <w:t>164Z.</w:t>
      </w:r>
      <w:r>
        <w:tab/>
        <w:t>Responsibility of holding yard operator if sheep or goat held for less than 48 hours and moved from holding yard in different consignment</w:t>
      </w:r>
      <w:r>
        <w:tab/>
      </w:r>
      <w:r>
        <w:fldChar w:fldCharType="begin"/>
      </w:r>
      <w:r>
        <w:instrText xml:space="preserve"> PAGEREF _Toc185866482 \h </w:instrText>
      </w:r>
      <w:r>
        <w:fldChar w:fldCharType="separate"/>
      </w:r>
      <w:r>
        <w:t>135</w:t>
      </w:r>
      <w:r>
        <w:fldChar w:fldCharType="end"/>
      </w:r>
    </w:p>
    <w:p>
      <w:pPr>
        <w:pStyle w:val="TOC8"/>
        <w:rPr>
          <w:rFonts w:asciiTheme="minorHAnsi" w:eastAsiaTheme="minorEastAsia" w:hAnsiTheme="minorHAnsi" w:cstheme="minorBidi"/>
          <w:szCs w:val="22"/>
        </w:rPr>
      </w:pPr>
      <w:r>
        <w:t>164ZA.</w:t>
      </w:r>
      <w:r>
        <w:tab/>
        <w:t>Responsibility of holding yard operator if sheep or goat held for more than 48 hours</w:t>
      </w:r>
      <w:r>
        <w:tab/>
      </w:r>
      <w:r>
        <w:fldChar w:fldCharType="begin"/>
      </w:r>
      <w:r>
        <w:instrText xml:space="preserve"> PAGEREF _Toc185866483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Saleyards</w:t>
      </w:r>
    </w:p>
    <w:p>
      <w:pPr>
        <w:pStyle w:val="TOC8"/>
        <w:rPr>
          <w:rFonts w:asciiTheme="minorHAnsi" w:eastAsiaTheme="minorEastAsia" w:hAnsiTheme="minorHAnsi" w:cstheme="minorBidi"/>
          <w:szCs w:val="22"/>
        </w:rPr>
      </w:pPr>
      <w:r>
        <w:t>164ZB.</w:t>
      </w:r>
      <w:r>
        <w:tab/>
        <w:t>When saleyard to be treated as holding yard</w:t>
      </w:r>
      <w:r>
        <w:tab/>
      </w:r>
      <w:r>
        <w:fldChar w:fldCharType="begin"/>
      </w:r>
      <w:r>
        <w:instrText xml:space="preserve"> PAGEREF _Toc185866485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164ZC.</w:t>
      </w:r>
      <w:r>
        <w:tab/>
        <w:t>Responsibilities of saleyard operator if no NLIS device applied to sheep or goat</w:t>
      </w:r>
      <w:r>
        <w:tab/>
      </w:r>
      <w:r>
        <w:fldChar w:fldCharType="begin"/>
      </w:r>
      <w:r>
        <w:instrText xml:space="preserve"> PAGEREF _Toc185866486 \h </w:instrText>
      </w:r>
      <w:r>
        <w:fldChar w:fldCharType="separate"/>
      </w:r>
      <w:r>
        <w:t>137</w:t>
      </w:r>
      <w:r>
        <w:fldChar w:fldCharType="end"/>
      </w:r>
    </w:p>
    <w:p>
      <w:pPr>
        <w:pStyle w:val="TOC8"/>
        <w:rPr>
          <w:rFonts w:asciiTheme="minorHAnsi" w:eastAsiaTheme="minorEastAsia" w:hAnsiTheme="minorHAnsi" w:cstheme="minorBidi"/>
          <w:szCs w:val="22"/>
        </w:rPr>
      </w:pPr>
      <w:r>
        <w:t>164ZD.</w:t>
      </w:r>
      <w:r>
        <w:tab/>
        <w:t>Directions by inspectors</w:t>
      </w:r>
      <w:r>
        <w:tab/>
      </w:r>
      <w:r>
        <w:fldChar w:fldCharType="begin"/>
      </w:r>
      <w:r>
        <w:instrText xml:space="preserve"> PAGEREF _Toc185866487 \h </w:instrText>
      </w:r>
      <w:r>
        <w:fldChar w:fldCharType="separate"/>
      </w:r>
      <w:r>
        <w:t>137</w:t>
      </w:r>
      <w:r>
        <w:fldChar w:fldCharType="end"/>
      </w:r>
    </w:p>
    <w:p>
      <w:pPr>
        <w:pStyle w:val="TOC8"/>
        <w:rPr>
          <w:rFonts w:asciiTheme="minorHAnsi" w:eastAsiaTheme="minorEastAsia" w:hAnsiTheme="minorHAnsi" w:cstheme="minorBidi"/>
          <w:szCs w:val="22"/>
        </w:rPr>
      </w:pPr>
      <w:r>
        <w:t>164ZE.</w:t>
      </w:r>
      <w:r>
        <w:tab/>
        <w:t>Responsibility of saleyard operator if sheep or goat born at or while being moved to saleyard</w:t>
      </w:r>
      <w:r>
        <w:tab/>
      </w:r>
      <w:r>
        <w:fldChar w:fldCharType="begin"/>
      </w:r>
      <w:r>
        <w:instrText xml:space="preserve"> PAGEREF _Toc185866488 \h </w:instrText>
      </w:r>
      <w:r>
        <w:fldChar w:fldCharType="separate"/>
      </w:r>
      <w:r>
        <w:t>138</w:t>
      </w:r>
      <w:r>
        <w:fldChar w:fldCharType="end"/>
      </w:r>
    </w:p>
    <w:p>
      <w:pPr>
        <w:pStyle w:val="TOC8"/>
        <w:rPr>
          <w:rFonts w:asciiTheme="minorHAnsi" w:eastAsiaTheme="minorEastAsia" w:hAnsiTheme="minorHAnsi" w:cstheme="minorBidi"/>
          <w:szCs w:val="22"/>
        </w:rPr>
      </w:pPr>
      <w:r>
        <w:t>164ZF.</w:t>
      </w:r>
      <w:r>
        <w:tab/>
        <w:t>Responsibility of saleyard operator if sheep or goat moved from saleyard</w:t>
      </w:r>
      <w:r>
        <w:tab/>
      </w:r>
      <w:r>
        <w:fldChar w:fldCharType="begin"/>
      </w:r>
      <w:r>
        <w:instrText xml:space="preserve"> PAGEREF _Toc185866489 \h </w:instrText>
      </w:r>
      <w:r>
        <w:fldChar w:fldCharType="separate"/>
      </w:r>
      <w:r>
        <w:t>138</w:t>
      </w:r>
      <w:r>
        <w:fldChar w:fldCharType="end"/>
      </w:r>
    </w:p>
    <w:p>
      <w:pPr>
        <w:pStyle w:val="TOC8"/>
        <w:rPr>
          <w:rFonts w:asciiTheme="minorHAnsi" w:eastAsiaTheme="minorEastAsia" w:hAnsiTheme="minorHAnsi" w:cstheme="minorBidi"/>
          <w:szCs w:val="22"/>
        </w:rPr>
      </w:pPr>
      <w:r>
        <w:t>164ZG.</w:t>
      </w:r>
      <w:r>
        <w:tab/>
        <w:t>Information to be recorded in NLIS database by saleyard operator</w:t>
      </w:r>
      <w:r>
        <w:tab/>
      </w:r>
      <w:r>
        <w:fldChar w:fldCharType="begin"/>
      </w:r>
      <w:r>
        <w:instrText xml:space="preserve"> PAGEREF _Toc185866490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Abattoirs</w:t>
      </w:r>
    </w:p>
    <w:p>
      <w:pPr>
        <w:pStyle w:val="TOC8"/>
        <w:rPr>
          <w:rFonts w:asciiTheme="minorHAnsi" w:eastAsiaTheme="minorEastAsia" w:hAnsiTheme="minorHAnsi" w:cstheme="minorBidi"/>
          <w:szCs w:val="22"/>
        </w:rPr>
      </w:pPr>
      <w:r>
        <w:t>164ZH.</w:t>
      </w:r>
      <w:r>
        <w:tab/>
        <w:t>Responsibilities of abattoir operator if no NLIS device applied to sheep or goat</w:t>
      </w:r>
      <w:r>
        <w:tab/>
      </w:r>
      <w:r>
        <w:fldChar w:fldCharType="begin"/>
      </w:r>
      <w:r>
        <w:instrText xml:space="preserve"> PAGEREF _Toc185866492 \h </w:instrText>
      </w:r>
      <w:r>
        <w:fldChar w:fldCharType="separate"/>
      </w:r>
      <w:r>
        <w:t>140</w:t>
      </w:r>
      <w:r>
        <w:fldChar w:fldCharType="end"/>
      </w:r>
    </w:p>
    <w:p>
      <w:pPr>
        <w:pStyle w:val="TOC8"/>
        <w:rPr>
          <w:rFonts w:asciiTheme="minorHAnsi" w:eastAsiaTheme="minorEastAsia" w:hAnsiTheme="minorHAnsi" w:cstheme="minorBidi"/>
          <w:szCs w:val="22"/>
        </w:rPr>
      </w:pPr>
      <w:r>
        <w:t>164ZI.</w:t>
      </w:r>
      <w:r>
        <w:tab/>
        <w:t>Directions by inspectors</w:t>
      </w:r>
      <w:r>
        <w:tab/>
      </w:r>
      <w:r>
        <w:fldChar w:fldCharType="begin"/>
      </w:r>
      <w:r>
        <w:instrText xml:space="preserve"> PAGEREF _Toc185866493 \h </w:instrText>
      </w:r>
      <w:r>
        <w:fldChar w:fldCharType="separate"/>
      </w:r>
      <w:r>
        <w:t>141</w:t>
      </w:r>
      <w:r>
        <w:fldChar w:fldCharType="end"/>
      </w:r>
    </w:p>
    <w:p>
      <w:pPr>
        <w:pStyle w:val="TOC8"/>
        <w:rPr>
          <w:rFonts w:asciiTheme="minorHAnsi" w:eastAsiaTheme="minorEastAsia" w:hAnsiTheme="minorHAnsi" w:cstheme="minorBidi"/>
          <w:szCs w:val="22"/>
        </w:rPr>
      </w:pPr>
      <w:r>
        <w:t>164ZJ.</w:t>
      </w:r>
      <w:r>
        <w:tab/>
        <w:t>Responsibility of abattoir operator if sheep or goat born at or while being moved to abattoir</w:t>
      </w:r>
      <w:r>
        <w:tab/>
      </w:r>
      <w:r>
        <w:fldChar w:fldCharType="begin"/>
      </w:r>
      <w:r>
        <w:instrText xml:space="preserve"> PAGEREF _Toc185866494 \h </w:instrText>
      </w:r>
      <w:r>
        <w:fldChar w:fldCharType="separate"/>
      </w:r>
      <w:r>
        <w:t>141</w:t>
      </w:r>
      <w:r>
        <w:fldChar w:fldCharType="end"/>
      </w:r>
    </w:p>
    <w:p>
      <w:pPr>
        <w:pStyle w:val="TOC8"/>
        <w:rPr>
          <w:rFonts w:asciiTheme="minorHAnsi" w:eastAsiaTheme="minorEastAsia" w:hAnsiTheme="minorHAnsi" w:cstheme="minorBidi"/>
          <w:szCs w:val="22"/>
        </w:rPr>
      </w:pPr>
      <w:r>
        <w:t>164ZK.</w:t>
      </w:r>
      <w:r>
        <w:tab/>
        <w:t>Responsibility of abattoir operator if sheep or goat moved to abattoir</w:t>
      </w:r>
      <w:r>
        <w:tab/>
      </w:r>
      <w:r>
        <w:fldChar w:fldCharType="begin"/>
      </w:r>
      <w:r>
        <w:instrText xml:space="preserve"> PAGEREF _Toc185866495 \h </w:instrText>
      </w:r>
      <w:r>
        <w:fldChar w:fldCharType="separate"/>
      </w:r>
      <w:r>
        <w:t>142</w:t>
      </w:r>
      <w:r>
        <w:fldChar w:fldCharType="end"/>
      </w:r>
    </w:p>
    <w:p>
      <w:pPr>
        <w:pStyle w:val="TOC8"/>
        <w:rPr>
          <w:rFonts w:asciiTheme="minorHAnsi" w:eastAsiaTheme="minorEastAsia" w:hAnsiTheme="minorHAnsi" w:cstheme="minorBidi"/>
          <w:szCs w:val="22"/>
        </w:rPr>
      </w:pPr>
      <w:r>
        <w:t>164ZL.</w:t>
      </w:r>
      <w:r>
        <w:tab/>
        <w:t>Responsibility of abattoir operator after sheep or goat slaughtered</w:t>
      </w:r>
      <w:r>
        <w:tab/>
      </w:r>
      <w:r>
        <w:fldChar w:fldCharType="begin"/>
      </w:r>
      <w:r>
        <w:instrText xml:space="preserve"> PAGEREF _Toc185866496 \h </w:instrText>
      </w:r>
      <w:r>
        <w:fldChar w:fldCharType="separate"/>
      </w:r>
      <w:r>
        <w:t>142</w:t>
      </w:r>
      <w:r>
        <w:fldChar w:fldCharType="end"/>
      </w:r>
    </w:p>
    <w:p>
      <w:pPr>
        <w:pStyle w:val="TOC8"/>
        <w:rPr>
          <w:rFonts w:asciiTheme="minorHAnsi" w:eastAsiaTheme="minorEastAsia" w:hAnsiTheme="minorHAnsi" w:cstheme="minorBidi"/>
          <w:szCs w:val="22"/>
        </w:rPr>
      </w:pPr>
      <w:r>
        <w:t>164ZM.</w:t>
      </w:r>
      <w:r>
        <w:tab/>
        <w:t>Responsibilities of abattoir operator if live sheep or goat moved from abattoir</w:t>
      </w:r>
      <w:r>
        <w:tab/>
      </w:r>
      <w:r>
        <w:fldChar w:fldCharType="begin"/>
      </w:r>
      <w:r>
        <w:instrText xml:space="preserve"> PAGEREF _Toc185866497 \h </w:instrText>
      </w:r>
      <w:r>
        <w:fldChar w:fldCharType="separate"/>
      </w:r>
      <w:r>
        <w:t>142</w:t>
      </w:r>
      <w:r>
        <w:fldChar w:fldCharType="end"/>
      </w:r>
    </w:p>
    <w:p>
      <w:pPr>
        <w:pStyle w:val="TOC8"/>
        <w:rPr>
          <w:rFonts w:asciiTheme="minorHAnsi" w:eastAsiaTheme="minorEastAsia" w:hAnsiTheme="minorHAnsi" w:cstheme="minorBidi"/>
          <w:szCs w:val="22"/>
        </w:rPr>
      </w:pPr>
      <w:r>
        <w:t>164ZN.</w:t>
      </w:r>
      <w:r>
        <w:tab/>
        <w:t>Slaughtered sheep and goats moved to pet food processing plants</w:t>
      </w:r>
      <w:r>
        <w:tab/>
      </w:r>
      <w:r>
        <w:fldChar w:fldCharType="begin"/>
      </w:r>
      <w:r>
        <w:instrText xml:space="preserve"> PAGEREF _Toc185866498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6 — Export depots</w:t>
      </w:r>
    </w:p>
    <w:p>
      <w:pPr>
        <w:pStyle w:val="TOC8"/>
        <w:rPr>
          <w:rFonts w:asciiTheme="minorHAnsi" w:eastAsiaTheme="minorEastAsia" w:hAnsiTheme="minorHAnsi" w:cstheme="minorBidi"/>
          <w:szCs w:val="22"/>
        </w:rPr>
      </w:pPr>
      <w:r>
        <w:t>164ZO.</w:t>
      </w:r>
      <w:r>
        <w:tab/>
        <w:t>Responsibilities of export depot operator if no NLIS device applied to sheep or goat</w:t>
      </w:r>
      <w:r>
        <w:tab/>
      </w:r>
      <w:r>
        <w:fldChar w:fldCharType="begin"/>
      </w:r>
      <w:r>
        <w:instrText xml:space="preserve"> PAGEREF _Toc185866500 \h </w:instrText>
      </w:r>
      <w:r>
        <w:fldChar w:fldCharType="separate"/>
      </w:r>
      <w:r>
        <w:t>144</w:t>
      </w:r>
      <w:r>
        <w:fldChar w:fldCharType="end"/>
      </w:r>
    </w:p>
    <w:p>
      <w:pPr>
        <w:pStyle w:val="TOC8"/>
        <w:rPr>
          <w:rFonts w:asciiTheme="minorHAnsi" w:eastAsiaTheme="minorEastAsia" w:hAnsiTheme="minorHAnsi" w:cstheme="minorBidi"/>
          <w:szCs w:val="22"/>
        </w:rPr>
      </w:pPr>
      <w:r>
        <w:t>164ZP.</w:t>
      </w:r>
      <w:r>
        <w:tab/>
        <w:t>Directions by inspectors</w:t>
      </w:r>
      <w:r>
        <w:tab/>
      </w:r>
      <w:r>
        <w:fldChar w:fldCharType="begin"/>
      </w:r>
      <w:r>
        <w:instrText xml:space="preserve"> PAGEREF _Toc185866501 \h </w:instrText>
      </w:r>
      <w:r>
        <w:fldChar w:fldCharType="separate"/>
      </w:r>
      <w:r>
        <w:t>145</w:t>
      </w:r>
      <w:r>
        <w:fldChar w:fldCharType="end"/>
      </w:r>
    </w:p>
    <w:p>
      <w:pPr>
        <w:pStyle w:val="TOC8"/>
        <w:rPr>
          <w:rFonts w:asciiTheme="minorHAnsi" w:eastAsiaTheme="minorEastAsia" w:hAnsiTheme="minorHAnsi" w:cstheme="minorBidi"/>
          <w:szCs w:val="22"/>
        </w:rPr>
      </w:pPr>
      <w:r>
        <w:t>164ZQ.</w:t>
      </w:r>
      <w:r>
        <w:tab/>
        <w:t>Responsibility of export depot operator if sheep or goat born at or while being moved to export depot</w:t>
      </w:r>
      <w:r>
        <w:tab/>
      </w:r>
      <w:r>
        <w:fldChar w:fldCharType="begin"/>
      </w:r>
      <w:r>
        <w:instrText xml:space="preserve"> PAGEREF _Toc185866502 \h </w:instrText>
      </w:r>
      <w:r>
        <w:fldChar w:fldCharType="separate"/>
      </w:r>
      <w:r>
        <w:t>145</w:t>
      </w:r>
      <w:r>
        <w:fldChar w:fldCharType="end"/>
      </w:r>
    </w:p>
    <w:p>
      <w:pPr>
        <w:pStyle w:val="TOC8"/>
        <w:rPr>
          <w:rFonts w:asciiTheme="minorHAnsi" w:eastAsiaTheme="minorEastAsia" w:hAnsiTheme="minorHAnsi" w:cstheme="minorBidi"/>
          <w:szCs w:val="22"/>
        </w:rPr>
      </w:pPr>
      <w:r>
        <w:t>164ZR.</w:t>
      </w:r>
      <w:r>
        <w:tab/>
        <w:t>Responsibility of export depot operator if sheep or goat moved to export depot</w:t>
      </w:r>
      <w:r>
        <w:tab/>
      </w:r>
      <w:r>
        <w:fldChar w:fldCharType="begin"/>
      </w:r>
      <w:r>
        <w:instrText xml:space="preserve"> PAGEREF _Toc185866503 \h </w:instrText>
      </w:r>
      <w:r>
        <w:fldChar w:fldCharType="separate"/>
      </w:r>
      <w:r>
        <w:t>146</w:t>
      </w:r>
      <w:r>
        <w:fldChar w:fldCharType="end"/>
      </w:r>
    </w:p>
    <w:p>
      <w:pPr>
        <w:pStyle w:val="TOC8"/>
        <w:rPr>
          <w:rFonts w:asciiTheme="minorHAnsi" w:eastAsiaTheme="minorEastAsia" w:hAnsiTheme="minorHAnsi" w:cstheme="minorBidi"/>
          <w:szCs w:val="22"/>
        </w:rPr>
      </w:pPr>
      <w:r>
        <w:t>164ZS.</w:t>
      </w:r>
      <w:r>
        <w:tab/>
        <w:t>Responsibilities of export depot operator if sheep or goat exported or otherwise moved from export depot</w:t>
      </w:r>
      <w:r>
        <w:tab/>
      </w:r>
      <w:r>
        <w:fldChar w:fldCharType="begin"/>
      </w:r>
      <w:r>
        <w:instrText xml:space="preserve"> PAGEREF _Toc185866504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Carriers of sheep and goats</w:t>
      </w:r>
    </w:p>
    <w:p>
      <w:pPr>
        <w:pStyle w:val="TOC8"/>
        <w:rPr>
          <w:rFonts w:asciiTheme="minorHAnsi" w:eastAsiaTheme="minorEastAsia" w:hAnsiTheme="minorHAnsi" w:cstheme="minorBidi"/>
          <w:szCs w:val="22"/>
        </w:rPr>
      </w:pPr>
      <w:r>
        <w:t>164ZT.</w:t>
      </w:r>
      <w:r>
        <w:tab/>
        <w:t>Responsibilities of carriers</w:t>
      </w:r>
      <w:r>
        <w:tab/>
      </w:r>
      <w:r>
        <w:fldChar w:fldCharType="begin"/>
      </w:r>
      <w:r>
        <w:instrText xml:space="preserve"> PAGEREF _Toc185866506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Other NLIS requirements for sheep and goats</w:t>
      </w:r>
    </w:p>
    <w:p>
      <w:pPr>
        <w:pStyle w:val="TOC8"/>
        <w:rPr>
          <w:rFonts w:asciiTheme="minorHAnsi" w:eastAsiaTheme="minorEastAsia" w:hAnsiTheme="minorHAnsi" w:cstheme="minorBidi"/>
          <w:szCs w:val="22"/>
        </w:rPr>
      </w:pPr>
      <w:r>
        <w:t>164ZU.</w:t>
      </w:r>
      <w:r>
        <w:tab/>
        <w:t>Imported sheep and goats</w:t>
      </w:r>
      <w:r>
        <w:tab/>
      </w:r>
      <w:r>
        <w:fldChar w:fldCharType="begin"/>
      </w:r>
      <w:r>
        <w:instrText xml:space="preserve"> PAGEREF _Toc185866508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164ZV.</w:t>
      </w:r>
      <w:r>
        <w:tab/>
        <w:t>Sheep and goats from pound</w:t>
      </w:r>
      <w:r>
        <w:tab/>
      </w:r>
      <w:r>
        <w:fldChar w:fldCharType="begin"/>
      </w:r>
      <w:r>
        <w:instrText xml:space="preserve"> PAGEREF _Toc185866509 \h </w:instrText>
      </w:r>
      <w:r>
        <w:fldChar w:fldCharType="separate"/>
      </w:r>
      <w:r>
        <w:t>148</w:t>
      </w:r>
      <w:r>
        <w:fldChar w:fldCharType="end"/>
      </w:r>
    </w:p>
    <w:p>
      <w:pPr>
        <w:pStyle w:val="TOC8"/>
        <w:rPr>
          <w:rFonts w:asciiTheme="minorHAnsi" w:eastAsiaTheme="minorEastAsia" w:hAnsiTheme="minorHAnsi" w:cstheme="minorBidi"/>
          <w:szCs w:val="22"/>
        </w:rPr>
      </w:pPr>
      <w:r>
        <w:t>164ZW.</w:t>
      </w:r>
      <w:r>
        <w:tab/>
        <w:t>Dead stray sheep and goats</w:t>
      </w:r>
      <w:r>
        <w:tab/>
      </w:r>
      <w:r>
        <w:fldChar w:fldCharType="begin"/>
      </w:r>
      <w:r>
        <w:instrText xml:space="preserve"> PAGEREF _Toc185866510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_Toc185866513 \h </w:instrText>
      </w:r>
      <w:r>
        <w:fldChar w:fldCharType="separate"/>
      </w:r>
      <w:r>
        <w:t>150</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_Toc185866514 \h </w:instrText>
      </w:r>
      <w:r>
        <w:fldChar w:fldCharType="separate"/>
      </w:r>
      <w:r>
        <w:t>151</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_Toc185866515 \h </w:instrText>
      </w:r>
      <w:r>
        <w:fldChar w:fldCharType="separate"/>
      </w:r>
      <w:r>
        <w:t>151</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_Toc185866516 \h </w:instrText>
      </w:r>
      <w:r>
        <w:fldChar w:fldCharType="separate"/>
      </w:r>
      <w:r>
        <w:t>152</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_Toc185866517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_Toc185866519 \h </w:instrText>
      </w:r>
      <w:r>
        <w:fldChar w:fldCharType="separate"/>
      </w:r>
      <w:r>
        <w:t>152</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_Toc185866520 \h </w:instrText>
      </w:r>
      <w:r>
        <w:fldChar w:fldCharType="separate"/>
      </w:r>
      <w:r>
        <w:t>154</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_Toc185866521 \h </w:instrText>
      </w:r>
      <w:r>
        <w:fldChar w:fldCharType="separate"/>
      </w:r>
      <w:r>
        <w:t>154</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_Toc185866522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_Toc185866524 \h </w:instrText>
      </w:r>
      <w:r>
        <w:fldChar w:fldCharType="separate"/>
      </w:r>
      <w:r>
        <w:t>155</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_Toc185866525 \h </w:instrText>
      </w:r>
      <w:r>
        <w:fldChar w:fldCharType="separate"/>
      </w:r>
      <w:r>
        <w:t>157</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_Toc185866526 \h </w:instrText>
      </w:r>
      <w:r>
        <w:fldChar w:fldCharType="separate"/>
      </w:r>
      <w:r>
        <w:t>157</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_Toc185866527 \h </w:instrText>
      </w:r>
      <w:r>
        <w:fldChar w:fldCharType="separate"/>
      </w:r>
      <w:r>
        <w:t>157</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_Toc185866528 \h </w:instrText>
      </w:r>
      <w:r>
        <w:fldChar w:fldCharType="separate"/>
      </w:r>
      <w:r>
        <w:t>158</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_Toc185866529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_Toc185866531 \h </w:instrText>
      </w:r>
      <w:r>
        <w:fldChar w:fldCharType="separate"/>
      </w:r>
      <w:r>
        <w:t>159</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_Toc185866532 \h </w:instrText>
      </w:r>
      <w:r>
        <w:fldChar w:fldCharType="separate"/>
      </w:r>
      <w:r>
        <w:t>159</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_Toc185866533 \h </w:instrText>
      </w:r>
      <w:r>
        <w:fldChar w:fldCharType="separate"/>
      </w:r>
      <w:r>
        <w:t>159</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_Toc185866534 \h </w:instrText>
      </w:r>
      <w:r>
        <w:fldChar w:fldCharType="separate"/>
      </w:r>
      <w:r>
        <w:t>160</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_Toc185866535 \h </w:instrText>
      </w:r>
      <w:r>
        <w:fldChar w:fldCharType="separate"/>
      </w:r>
      <w:r>
        <w:t>162</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_Toc185866536 \h </w:instrText>
      </w:r>
      <w:r>
        <w:fldChar w:fldCharType="separate"/>
      </w:r>
      <w:r>
        <w:t>163</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_Toc185866537 \h </w:instrText>
      </w:r>
      <w:r>
        <w:fldChar w:fldCharType="separate"/>
      </w:r>
      <w:r>
        <w:t>164</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_Toc185866538 \h </w:instrText>
      </w:r>
      <w:r>
        <w:fldChar w:fldCharType="separate"/>
      </w:r>
      <w:r>
        <w:t>165</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_Toc185866539 \h </w:instrText>
      </w:r>
      <w:r>
        <w:fldChar w:fldCharType="separate"/>
      </w:r>
      <w:r>
        <w:t>166</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_Toc185866540 \h </w:instrText>
      </w:r>
      <w:r>
        <w:fldChar w:fldCharType="separate"/>
      </w:r>
      <w:r>
        <w:t>166</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_Toc185866541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198.</w:t>
      </w:r>
      <w:r>
        <w:tab/>
        <w:t>Movement of animals if transport documents retained by inspector</w:t>
      </w:r>
      <w:r>
        <w:tab/>
      </w:r>
      <w:r>
        <w:fldChar w:fldCharType="begin"/>
      </w:r>
      <w:r>
        <w:instrText xml:space="preserve"> PAGEREF _Toc185866542 \h </w:instrText>
      </w:r>
      <w:r>
        <w:fldChar w:fldCharType="separate"/>
      </w:r>
      <w:r>
        <w:t>169</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_Toc185866543 \h </w:instrText>
      </w:r>
      <w:r>
        <w:fldChar w:fldCharType="separate"/>
      </w:r>
      <w:r>
        <w:t>170</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_Toc185866544 \h </w:instrText>
      </w:r>
      <w:r>
        <w:fldChar w:fldCharType="separate"/>
      </w:r>
      <w:r>
        <w:t>170</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_Toc185866545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_Toc185866547 \h </w:instrText>
      </w:r>
      <w:r>
        <w:fldChar w:fldCharType="separate"/>
      </w:r>
      <w:r>
        <w:t>173</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_Toc185866548 \h </w:instrText>
      </w:r>
      <w:r>
        <w:fldChar w:fldCharType="separate"/>
      </w:r>
      <w:r>
        <w:t>173</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_Toc185866549 \h </w:instrText>
      </w:r>
      <w:r>
        <w:fldChar w:fldCharType="separate"/>
      </w:r>
      <w:r>
        <w:t>173</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_Toc185866550 \h </w:instrText>
      </w:r>
      <w:r>
        <w:fldChar w:fldCharType="separate"/>
      </w:r>
      <w:r>
        <w:t>174</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_Toc185866551 \h </w:instrText>
      </w:r>
      <w:r>
        <w:fldChar w:fldCharType="separate"/>
      </w:r>
      <w:r>
        <w:t>174</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_Toc185866552 \h </w:instrText>
      </w:r>
      <w:r>
        <w:fldChar w:fldCharType="separate"/>
      </w:r>
      <w:r>
        <w:t>174</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_Toc185866553 \h </w:instrText>
      </w:r>
      <w:r>
        <w:fldChar w:fldCharType="separate"/>
      </w:r>
      <w:r>
        <w:t>175</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_Toc185866554 \h </w:instrText>
      </w:r>
      <w:r>
        <w:fldChar w:fldCharType="separate"/>
      </w:r>
      <w:r>
        <w:t>175</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_Toc185866555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_Toc185866557 \h </w:instrText>
      </w:r>
      <w:r>
        <w:fldChar w:fldCharType="separate"/>
      </w:r>
      <w:r>
        <w:t>177</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_Toc185866558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_Toc185866561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_Toc185866563 \h </w:instrText>
      </w:r>
      <w:r>
        <w:fldChar w:fldCharType="separate"/>
      </w:r>
      <w:r>
        <w:t>179</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_Toc185866564 \h </w:instrText>
      </w:r>
      <w:r>
        <w:fldChar w:fldCharType="separate"/>
      </w:r>
      <w:r>
        <w:t>179</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_Toc185866565 \h </w:instrText>
      </w:r>
      <w:r>
        <w:fldChar w:fldCharType="separate"/>
      </w:r>
      <w:r>
        <w:t>180</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_Toc185866566 \h </w:instrText>
      </w:r>
      <w:r>
        <w:fldChar w:fldCharType="separate"/>
      </w:r>
      <w:r>
        <w:t>181</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 xml:space="preserve">Division 3 — Transitional provisions for the </w:t>
      </w:r>
      <w:r>
        <w:rPr>
          <w:i/>
        </w:rPr>
        <w:t>Biosecurity and Agriculture Management (Identification and Movement of Stock and Apiaries) Amendment Regulations 2024</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_Toc185866568 \h </w:instrText>
      </w:r>
      <w:r>
        <w:fldChar w:fldCharType="separate"/>
      </w:r>
      <w:r>
        <w:t>181</w:t>
      </w:r>
      <w:r>
        <w:fldChar w:fldCharType="end"/>
      </w:r>
    </w:p>
    <w:p>
      <w:pPr>
        <w:pStyle w:val="TOC8"/>
        <w:rPr>
          <w:rFonts w:asciiTheme="minorHAnsi" w:eastAsiaTheme="minorEastAsia" w:hAnsiTheme="minorHAnsi" w:cstheme="minorBidi"/>
          <w:szCs w:val="22"/>
        </w:rPr>
      </w:pPr>
      <w:r>
        <w:t>217B.</w:t>
      </w:r>
      <w:r>
        <w:tab/>
        <w:t>Sheep or goats born before commencement day</w:t>
      </w:r>
      <w:r>
        <w:tab/>
      </w:r>
      <w:r>
        <w:fldChar w:fldCharType="begin"/>
      </w:r>
      <w:r>
        <w:instrText xml:space="preserve"> PAGEREF _Toc185866569 \h </w:instrText>
      </w:r>
      <w:r>
        <w:fldChar w:fldCharType="separate"/>
      </w:r>
      <w:r>
        <w:t>182</w:t>
      </w:r>
      <w:r>
        <w:fldChar w:fldCharType="end"/>
      </w:r>
    </w:p>
    <w:p>
      <w:pPr>
        <w:pStyle w:val="TOC8"/>
        <w:rPr>
          <w:rFonts w:asciiTheme="minorHAnsi" w:eastAsiaTheme="minorEastAsia" w:hAnsiTheme="minorHAnsi" w:cstheme="minorBidi"/>
          <w:szCs w:val="22"/>
        </w:rPr>
      </w:pPr>
      <w:r>
        <w:t>217C.</w:t>
      </w:r>
      <w:r>
        <w:tab/>
        <w:t>Amendments related to saleyards and abattoirs</w:t>
      </w:r>
      <w:r>
        <w:tab/>
      </w:r>
      <w:r>
        <w:fldChar w:fldCharType="begin"/>
      </w:r>
      <w:r>
        <w:instrText xml:space="preserve"> PAGEREF _Toc185866570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_Toc185866573 \h </w:instrText>
      </w:r>
      <w:r>
        <w:fldChar w:fldCharType="separate"/>
      </w:r>
      <w:r>
        <w:t>184</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_Toc185866574 \h </w:instrText>
      </w:r>
      <w:r>
        <w:fldChar w:fldCharType="separate"/>
      </w:r>
      <w:r>
        <w:t>184</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_Toc185866575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_Toc185866577 \h </w:instrText>
      </w:r>
      <w:r>
        <w:fldChar w:fldCharType="separate"/>
      </w:r>
      <w:r>
        <w:t>185</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_Toc185866578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_Toc185866580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2" w:name="_Toc185837520"/>
      <w:bookmarkStart w:id="3" w:name="_Toc185857126"/>
      <w:bookmarkStart w:id="4" w:name="_Toc185857471"/>
      <w:bookmarkStart w:id="5" w:name="_Toc1858662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586623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7" w:name="_Toc18586624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8" w:name="_Toc185866241"/>
      <w:r>
        <w:rPr>
          <w:rStyle w:val="CharSectno"/>
        </w:rPr>
        <w:t>3</w:t>
      </w:r>
      <w:r>
        <w:rPr>
          <w:snapToGrid w:val="0"/>
        </w:rPr>
        <w:t>.</w:t>
      </w:r>
      <w:r>
        <w:rPr>
          <w:snapToGrid w:val="0"/>
        </w:rPr>
        <w:tab/>
        <w:t>Terms used</w:t>
      </w:r>
      <w:bookmarkEnd w:id="8"/>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lastRenderedPageBreak/>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lastRenderedPageBreak/>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lastRenderedPageBreak/>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lastRenderedPageBreak/>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9" w:name="_Toc185866242"/>
      <w:r>
        <w:rPr>
          <w:rStyle w:val="CharSectno"/>
        </w:rPr>
        <w:t>4</w:t>
      </w:r>
      <w:r>
        <w:t>.</w:t>
      </w:r>
      <w:r>
        <w:tab/>
        <w:t>References to animals and stock</w:t>
      </w:r>
      <w:bookmarkEnd w:id="9"/>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lastRenderedPageBreak/>
        <w:tab/>
        <w:t>[Regulation 4 inserted: Gazette 27 Jun 2019 p. 2408</w:t>
      </w:r>
      <w:r>
        <w:noBreakHyphen/>
        <w:t>9; amended: SL 2022/17 r. 5.]</w:t>
      </w:r>
    </w:p>
    <w:p>
      <w:pPr>
        <w:pStyle w:val="Heading5"/>
      </w:pPr>
      <w:bookmarkStart w:id="10" w:name="_Toc185866243"/>
      <w:r>
        <w:rPr>
          <w:rStyle w:val="CharSectno"/>
        </w:rPr>
        <w:t>5</w:t>
      </w:r>
      <w:r>
        <w:t>.</w:t>
      </w:r>
      <w:r>
        <w:tab/>
        <w:t>Meaning of consignment</w:t>
      </w:r>
      <w:bookmarkEnd w:id="10"/>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1" w:name="_Toc185866244"/>
      <w:r>
        <w:rPr>
          <w:rStyle w:val="CharSectno"/>
        </w:rPr>
        <w:t>6</w:t>
      </w:r>
      <w:r>
        <w:t>.</w:t>
      </w:r>
      <w:r>
        <w:tab/>
        <w:t>Meaning of owner of stock</w:t>
      </w:r>
      <w:bookmarkEnd w:id="11"/>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2" w:name="_Toc185837527"/>
      <w:bookmarkStart w:id="13" w:name="_Toc185857133"/>
      <w:bookmarkStart w:id="14" w:name="_Toc185857478"/>
      <w:bookmarkStart w:id="15" w:name="_Toc185866245"/>
      <w:r>
        <w:rPr>
          <w:rStyle w:val="CharPartNo"/>
        </w:rPr>
        <w:lastRenderedPageBreak/>
        <w:t>Part 2</w:t>
      </w:r>
      <w:r>
        <w:t> — </w:t>
      </w:r>
      <w:r>
        <w:rPr>
          <w:rStyle w:val="CharPartText"/>
        </w:rPr>
        <w:t>Registration</w:t>
      </w:r>
      <w:bookmarkEnd w:id="12"/>
      <w:bookmarkEnd w:id="13"/>
      <w:bookmarkEnd w:id="14"/>
      <w:bookmarkEnd w:id="15"/>
    </w:p>
    <w:p>
      <w:pPr>
        <w:pStyle w:val="Heading3"/>
      </w:pPr>
      <w:bookmarkStart w:id="16" w:name="_Toc185837528"/>
      <w:bookmarkStart w:id="17" w:name="_Toc185857134"/>
      <w:bookmarkStart w:id="18" w:name="_Toc185857479"/>
      <w:bookmarkStart w:id="19" w:name="_Toc185866246"/>
      <w:r>
        <w:rPr>
          <w:rStyle w:val="CharDivNo"/>
        </w:rPr>
        <w:t>Division 1</w:t>
      </w:r>
      <w:r>
        <w:t> — </w:t>
      </w:r>
      <w:r>
        <w:rPr>
          <w:rStyle w:val="CharDivText"/>
        </w:rPr>
        <w:t>Owners and purchasers of stock</w:t>
      </w:r>
      <w:bookmarkEnd w:id="16"/>
      <w:bookmarkEnd w:id="17"/>
      <w:bookmarkEnd w:id="18"/>
      <w:bookmarkEnd w:id="19"/>
    </w:p>
    <w:p>
      <w:pPr>
        <w:pStyle w:val="Heading5"/>
      </w:pPr>
      <w:bookmarkStart w:id="20" w:name="_Toc185866247"/>
      <w:r>
        <w:rPr>
          <w:rStyle w:val="CharSectno"/>
        </w:rPr>
        <w:t>7</w:t>
      </w:r>
      <w:r>
        <w:t>.</w:t>
      </w:r>
      <w:r>
        <w:tab/>
        <w:t>Owners and purchasers of stock to be registered</w:t>
      </w:r>
      <w:bookmarkEnd w:id="20"/>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21" w:name="_Toc185866248"/>
      <w:r>
        <w:rPr>
          <w:rStyle w:val="CharSectno"/>
        </w:rPr>
        <w:t>8</w:t>
      </w:r>
      <w:r>
        <w:t>.</w:t>
      </w:r>
      <w:r>
        <w:tab/>
        <w:t>Director General may allot identifiers, PICs and BICs as required</w:t>
      </w:r>
      <w:bookmarkEnd w:id="21"/>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lastRenderedPageBreak/>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2" w:name="_Toc185866249"/>
      <w:r>
        <w:rPr>
          <w:rStyle w:val="CharSectno"/>
        </w:rPr>
        <w:t>9</w:t>
      </w:r>
      <w:r>
        <w:t>.</w:t>
      </w:r>
      <w:r>
        <w:tab/>
        <w:t>Review</w:t>
      </w:r>
      <w:bookmarkEnd w:id="22"/>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3" w:name="_Toc185837532"/>
      <w:bookmarkStart w:id="24" w:name="_Toc185857138"/>
      <w:bookmarkStart w:id="25" w:name="_Toc185857483"/>
      <w:bookmarkStart w:id="26" w:name="_Toc185866250"/>
      <w:r>
        <w:rPr>
          <w:rStyle w:val="CharDivNo"/>
        </w:rPr>
        <w:t>Division 2</w:t>
      </w:r>
      <w:r>
        <w:t> — </w:t>
      </w:r>
      <w:r>
        <w:rPr>
          <w:rStyle w:val="CharDivText"/>
        </w:rPr>
        <w:t>Non</w:t>
      </w:r>
      <w:r>
        <w:rPr>
          <w:rStyle w:val="CharDivText"/>
        </w:rPr>
        <w:noBreakHyphen/>
        <w:t>farming property operators</w:t>
      </w:r>
      <w:bookmarkEnd w:id="23"/>
      <w:bookmarkEnd w:id="24"/>
      <w:bookmarkEnd w:id="25"/>
      <w:bookmarkEnd w:id="26"/>
    </w:p>
    <w:p>
      <w:pPr>
        <w:pStyle w:val="Heading5"/>
      </w:pPr>
      <w:bookmarkStart w:id="27" w:name="_Toc185866251"/>
      <w:r>
        <w:rPr>
          <w:rStyle w:val="CharSectno"/>
        </w:rPr>
        <w:t>10</w:t>
      </w:r>
      <w:r>
        <w:t>.</w:t>
      </w:r>
      <w:r>
        <w:tab/>
        <w:t>Non</w:t>
      </w:r>
      <w:r>
        <w:noBreakHyphen/>
        <w:t>farming property operators to be registered</w:t>
      </w:r>
      <w:bookmarkEnd w:id="27"/>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lastRenderedPageBreak/>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28" w:name="_Toc185866252"/>
      <w:r>
        <w:rPr>
          <w:rStyle w:val="CharSectno"/>
        </w:rPr>
        <w:t>11</w:t>
      </w:r>
      <w:r>
        <w:t>.</w:t>
      </w:r>
      <w:r>
        <w:tab/>
        <w:t>Director General may allot PICs as required</w:t>
      </w:r>
      <w:bookmarkEnd w:id="28"/>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29" w:name="_Toc185866253"/>
      <w:r>
        <w:rPr>
          <w:rStyle w:val="CharSectno"/>
        </w:rPr>
        <w:t>12</w:t>
      </w:r>
      <w:r>
        <w:t>.</w:t>
      </w:r>
      <w:r>
        <w:tab/>
        <w:t>Review</w:t>
      </w:r>
      <w:bookmarkEnd w:id="29"/>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lastRenderedPageBreak/>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30" w:name="_Toc185837536"/>
      <w:bookmarkStart w:id="31" w:name="_Toc185857142"/>
      <w:bookmarkStart w:id="32" w:name="_Toc185857487"/>
      <w:bookmarkStart w:id="33" w:name="_Toc185866254"/>
      <w:r>
        <w:rPr>
          <w:rStyle w:val="CharDivNo"/>
        </w:rPr>
        <w:t>Division 3</w:t>
      </w:r>
      <w:r>
        <w:t> — </w:t>
      </w:r>
      <w:r>
        <w:rPr>
          <w:rStyle w:val="CharDivText"/>
        </w:rPr>
        <w:t>Beekeepers</w:t>
      </w:r>
      <w:bookmarkEnd w:id="30"/>
      <w:bookmarkEnd w:id="31"/>
      <w:bookmarkEnd w:id="32"/>
      <w:bookmarkEnd w:id="33"/>
    </w:p>
    <w:p>
      <w:pPr>
        <w:pStyle w:val="Heading5"/>
      </w:pPr>
      <w:bookmarkStart w:id="34" w:name="_Toc185866255"/>
      <w:r>
        <w:rPr>
          <w:rStyle w:val="CharSectno"/>
        </w:rPr>
        <w:t>13</w:t>
      </w:r>
      <w:r>
        <w:t>.</w:t>
      </w:r>
      <w:r>
        <w:tab/>
        <w:t>Beekeepers to be registered</w:t>
      </w:r>
      <w:bookmarkEnd w:id="34"/>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lastRenderedPageBreak/>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35" w:name="_Toc185866256"/>
      <w:r>
        <w:rPr>
          <w:rStyle w:val="CharSectno"/>
        </w:rPr>
        <w:t>14</w:t>
      </w:r>
      <w:r>
        <w:t>.</w:t>
      </w:r>
      <w:r>
        <w:tab/>
        <w:t>Director General may allot identifiers as required</w:t>
      </w:r>
      <w:bookmarkEnd w:id="35"/>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36" w:name="_Toc185866257"/>
      <w:r>
        <w:rPr>
          <w:rStyle w:val="CharSectno"/>
        </w:rPr>
        <w:t>15</w:t>
      </w:r>
      <w:r>
        <w:t>.</w:t>
      </w:r>
      <w:r>
        <w:tab/>
        <w:t>Review</w:t>
      </w:r>
      <w:bookmarkEnd w:id="36"/>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7" w:name="_Toc185837540"/>
      <w:bookmarkStart w:id="38" w:name="_Toc185857146"/>
      <w:bookmarkStart w:id="39" w:name="_Toc185857491"/>
      <w:bookmarkStart w:id="40" w:name="_Toc185866258"/>
      <w:r>
        <w:rPr>
          <w:rStyle w:val="CharDivNo"/>
        </w:rPr>
        <w:t>Division 4</w:t>
      </w:r>
      <w:r>
        <w:t> — </w:t>
      </w:r>
      <w:r>
        <w:rPr>
          <w:rStyle w:val="CharDivText"/>
        </w:rPr>
        <w:t>The register</w:t>
      </w:r>
      <w:bookmarkEnd w:id="37"/>
      <w:bookmarkEnd w:id="38"/>
      <w:bookmarkEnd w:id="39"/>
      <w:bookmarkEnd w:id="40"/>
    </w:p>
    <w:p>
      <w:pPr>
        <w:pStyle w:val="Heading5"/>
      </w:pPr>
      <w:bookmarkStart w:id="41" w:name="_Toc185866259"/>
      <w:r>
        <w:rPr>
          <w:rStyle w:val="CharSectno"/>
        </w:rPr>
        <w:t>16</w:t>
      </w:r>
      <w:r>
        <w:t>.</w:t>
      </w:r>
      <w:r>
        <w:tab/>
        <w:t>Register to be kept</w:t>
      </w:r>
      <w:bookmarkEnd w:id="41"/>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lastRenderedPageBreak/>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lastRenderedPageBreak/>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42" w:name="_Toc185866260"/>
      <w:r>
        <w:rPr>
          <w:rStyle w:val="CharSectno"/>
        </w:rPr>
        <w:lastRenderedPageBreak/>
        <w:t>17</w:t>
      </w:r>
      <w:r>
        <w:t>.</w:t>
      </w:r>
      <w:r>
        <w:tab/>
        <w:t>Access to register</w:t>
      </w:r>
      <w:bookmarkEnd w:id="42"/>
    </w:p>
    <w:p>
      <w:pPr>
        <w:pStyle w:val="Subsection"/>
        <w:keepNext/>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43" w:name="_Toc185866261"/>
      <w:r>
        <w:rPr>
          <w:rStyle w:val="CharSectno"/>
        </w:rPr>
        <w:t>18</w:t>
      </w:r>
      <w:r>
        <w:t>.</w:t>
      </w:r>
      <w:r>
        <w:tab/>
        <w:t>Director General to be notified if owner moves stock to a farming property without relevant PIC</w:t>
      </w:r>
      <w:bookmarkEnd w:id="43"/>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44" w:name="_Toc185866262"/>
      <w:r>
        <w:rPr>
          <w:rStyle w:val="CharSectno"/>
        </w:rPr>
        <w:t>19</w:t>
      </w:r>
      <w:r>
        <w:t>.</w:t>
      </w:r>
      <w:r>
        <w:tab/>
        <w:t>Director General to be notified of change of address</w:t>
      </w:r>
      <w:bookmarkEnd w:id="44"/>
    </w:p>
    <w:p>
      <w:pPr>
        <w:pStyle w:val="Subsection"/>
      </w:pPr>
      <w:r>
        <w:tab/>
        <w:t>(1)</w:t>
      </w:r>
      <w:r>
        <w:tab/>
        <w:t>A registered owner of stock, registered non</w:t>
      </w:r>
      <w:r>
        <w:noBreakHyphen/>
        <w:t xml:space="preserve">farming property operator or registered beekeeper must, within 7 days of </w:t>
      </w:r>
      <w:r>
        <w:lastRenderedPageBreak/>
        <w:t>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45" w:name="_Toc185837545"/>
      <w:bookmarkStart w:id="46" w:name="_Toc185857151"/>
      <w:bookmarkStart w:id="47" w:name="_Toc185857496"/>
      <w:bookmarkStart w:id="48" w:name="_Toc185866263"/>
      <w:r>
        <w:rPr>
          <w:rStyle w:val="CharDivNo"/>
        </w:rPr>
        <w:t>Division 5</w:t>
      </w:r>
      <w:r>
        <w:t> — </w:t>
      </w:r>
      <w:r>
        <w:rPr>
          <w:rStyle w:val="CharDivText"/>
        </w:rPr>
        <w:t>Certificates of registration</w:t>
      </w:r>
      <w:bookmarkEnd w:id="45"/>
      <w:bookmarkEnd w:id="46"/>
      <w:bookmarkEnd w:id="47"/>
      <w:bookmarkEnd w:id="48"/>
    </w:p>
    <w:p>
      <w:pPr>
        <w:pStyle w:val="Heading5"/>
      </w:pPr>
      <w:bookmarkStart w:id="49" w:name="_Toc185866264"/>
      <w:r>
        <w:rPr>
          <w:rStyle w:val="CharSectno"/>
        </w:rPr>
        <w:t>20</w:t>
      </w:r>
      <w:r>
        <w:t>.</w:t>
      </w:r>
      <w:r>
        <w:tab/>
        <w:t>Certificates of registration</w:t>
      </w:r>
      <w:bookmarkEnd w:id="49"/>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 xml:space="preserve">farming property operator, the Director General </w:t>
      </w:r>
      <w:r>
        <w:lastRenderedPageBreak/>
        <w:t>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50" w:name="_Toc185837547"/>
      <w:bookmarkStart w:id="51" w:name="_Toc185857153"/>
      <w:bookmarkStart w:id="52" w:name="_Toc185857498"/>
      <w:bookmarkStart w:id="53" w:name="_Toc185866265"/>
      <w:r>
        <w:rPr>
          <w:rStyle w:val="CharDivNo"/>
        </w:rPr>
        <w:t>Division 6</w:t>
      </w:r>
      <w:r>
        <w:t> — </w:t>
      </w:r>
      <w:r>
        <w:rPr>
          <w:rStyle w:val="CharDivText"/>
        </w:rPr>
        <w:t>Term of registration, renewals and cancellations</w:t>
      </w:r>
      <w:bookmarkEnd w:id="50"/>
      <w:bookmarkEnd w:id="51"/>
      <w:bookmarkEnd w:id="52"/>
      <w:bookmarkEnd w:id="53"/>
    </w:p>
    <w:p>
      <w:pPr>
        <w:pStyle w:val="Heading5"/>
      </w:pPr>
      <w:bookmarkStart w:id="54" w:name="_Toc185866266"/>
      <w:r>
        <w:rPr>
          <w:rStyle w:val="CharSectno"/>
        </w:rPr>
        <w:t>21</w:t>
      </w:r>
      <w:r>
        <w:t>.</w:t>
      </w:r>
      <w:r>
        <w:tab/>
        <w:t>Term used: registration</w:t>
      </w:r>
      <w:bookmarkEnd w:id="54"/>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55" w:name="_Toc185866267"/>
      <w:r>
        <w:rPr>
          <w:rStyle w:val="CharSectno"/>
        </w:rPr>
        <w:t>22</w:t>
      </w:r>
      <w:r>
        <w:t>.</w:t>
      </w:r>
      <w:r>
        <w:tab/>
        <w:t>Term of registration</w:t>
      </w:r>
      <w:bookmarkEnd w:id="55"/>
    </w:p>
    <w:p>
      <w:pPr>
        <w:pStyle w:val="Subsection"/>
      </w:pPr>
      <w:r>
        <w:tab/>
      </w:r>
      <w:r>
        <w:tab/>
        <w:t>Unless cancelled under regulation 24, a registration expires 3 years after the day on which it is granted or renewed under these regulations.</w:t>
      </w:r>
    </w:p>
    <w:p>
      <w:pPr>
        <w:pStyle w:val="Heading5"/>
      </w:pPr>
      <w:bookmarkStart w:id="56" w:name="_Toc185866268"/>
      <w:r>
        <w:rPr>
          <w:rStyle w:val="CharSectno"/>
        </w:rPr>
        <w:t>23</w:t>
      </w:r>
      <w:r>
        <w:t>.</w:t>
      </w:r>
      <w:r>
        <w:tab/>
        <w:t>Renewal of registration</w:t>
      </w:r>
      <w:bookmarkEnd w:id="56"/>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lastRenderedPageBreak/>
        <w:tab/>
        <w:t>(3)</w:t>
      </w:r>
      <w:r>
        <w:tab/>
        <w:t>If a person makes an application under subregulation (1) to renew a registration, the Director General may renew, or refuse to renew, the registration.</w:t>
      </w:r>
    </w:p>
    <w:p>
      <w:pPr>
        <w:pStyle w:val="Heading5"/>
      </w:pPr>
      <w:bookmarkStart w:id="57" w:name="_Toc185866269"/>
      <w:r>
        <w:rPr>
          <w:rStyle w:val="CharSectno"/>
        </w:rPr>
        <w:t>24</w:t>
      </w:r>
      <w:r>
        <w:t>.</w:t>
      </w:r>
      <w:r>
        <w:tab/>
        <w:t>Cancellation of registration</w:t>
      </w:r>
      <w:bookmarkEnd w:id="57"/>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8" w:name="_Toc185866270"/>
      <w:r>
        <w:rPr>
          <w:rStyle w:val="CharSectno"/>
        </w:rPr>
        <w:lastRenderedPageBreak/>
        <w:t>25</w:t>
      </w:r>
      <w:r>
        <w:t>.</w:t>
      </w:r>
      <w:r>
        <w:tab/>
        <w:t>Effect of expiry or cancellation of registration</w:t>
      </w:r>
      <w:bookmarkEnd w:id="58"/>
    </w:p>
    <w:p>
      <w:pPr>
        <w:pStyle w:val="Subsection"/>
        <w:keepNext/>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59" w:name="_Toc185866271"/>
      <w:r>
        <w:rPr>
          <w:rStyle w:val="CharSectno"/>
        </w:rPr>
        <w:t>26</w:t>
      </w:r>
      <w:r>
        <w:t>.</w:t>
      </w:r>
      <w:r>
        <w:tab/>
        <w:t>Review</w:t>
      </w:r>
      <w:bookmarkEnd w:id="59"/>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60" w:name="_Toc185837554"/>
      <w:bookmarkStart w:id="61" w:name="_Toc185857160"/>
      <w:bookmarkStart w:id="62" w:name="_Toc185857505"/>
      <w:bookmarkStart w:id="63" w:name="_Toc185866272"/>
      <w:r>
        <w:rPr>
          <w:rStyle w:val="CharDivNo"/>
        </w:rPr>
        <w:t>Division 7</w:t>
      </w:r>
      <w:r>
        <w:t> — </w:t>
      </w:r>
      <w:r>
        <w:rPr>
          <w:rStyle w:val="CharDivText"/>
        </w:rPr>
        <w:t>Transfer of registered identifiers and PICs</w:t>
      </w:r>
      <w:bookmarkEnd w:id="60"/>
      <w:bookmarkEnd w:id="61"/>
      <w:bookmarkEnd w:id="62"/>
      <w:bookmarkEnd w:id="63"/>
    </w:p>
    <w:p>
      <w:pPr>
        <w:pStyle w:val="Heading5"/>
      </w:pPr>
      <w:bookmarkStart w:id="64" w:name="_Toc185866273"/>
      <w:r>
        <w:rPr>
          <w:rStyle w:val="CharSectno"/>
        </w:rPr>
        <w:t>27</w:t>
      </w:r>
      <w:r>
        <w:t>.</w:t>
      </w:r>
      <w:r>
        <w:tab/>
        <w:t>Transfer of registered identifiers and PICs</w:t>
      </w:r>
      <w:bookmarkEnd w:id="64"/>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lastRenderedPageBreak/>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65" w:name="_Toc185866274"/>
      <w:r>
        <w:rPr>
          <w:rStyle w:val="CharSectno"/>
        </w:rPr>
        <w:lastRenderedPageBreak/>
        <w:t>28</w:t>
      </w:r>
      <w:r>
        <w:t>.</w:t>
      </w:r>
      <w:r>
        <w:tab/>
        <w:t>Mortgagee’s right to use and transfer registered identifiers</w:t>
      </w:r>
      <w:bookmarkEnd w:id="65"/>
    </w:p>
    <w:p>
      <w:pPr>
        <w:pStyle w:val="Subsection"/>
        <w:keepNext/>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 xml:space="preserve">no transfer of ownership of a registered identifier relating to the stock or apiary over which the mortgage </w:t>
      </w:r>
      <w:r>
        <w:lastRenderedPageBreak/>
        <w:t>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66" w:name="_Toc185837557"/>
      <w:bookmarkStart w:id="67" w:name="_Toc185857163"/>
      <w:bookmarkStart w:id="68" w:name="_Toc185857508"/>
      <w:bookmarkStart w:id="69" w:name="_Toc185866275"/>
      <w:r>
        <w:rPr>
          <w:rStyle w:val="CharPartNo"/>
        </w:rPr>
        <w:lastRenderedPageBreak/>
        <w:t>Part 3</w:t>
      </w:r>
      <w:r>
        <w:t> — </w:t>
      </w:r>
      <w:r>
        <w:rPr>
          <w:rStyle w:val="CharPartText"/>
        </w:rPr>
        <w:t>Identifiers for stock</w:t>
      </w:r>
      <w:bookmarkEnd w:id="66"/>
      <w:bookmarkEnd w:id="67"/>
      <w:bookmarkEnd w:id="68"/>
      <w:bookmarkEnd w:id="69"/>
    </w:p>
    <w:p>
      <w:pPr>
        <w:pStyle w:val="Heading3"/>
      </w:pPr>
      <w:bookmarkStart w:id="70" w:name="_Toc185837558"/>
      <w:bookmarkStart w:id="71" w:name="_Toc185857164"/>
      <w:bookmarkStart w:id="72" w:name="_Toc185857509"/>
      <w:bookmarkStart w:id="73" w:name="_Toc185866276"/>
      <w:r>
        <w:rPr>
          <w:rStyle w:val="CharDivNo"/>
        </w:rPr>
        <w:t>Division 1</w:t>
      </w:r>
      <w:r>
        <w:t> — </w:t>
      </w:r>
      <w:r>
        <w:rPr>
          <w:rStyle w:val="CharDivText"/>
        </w:rPr>
        <w:t>Registered identifiers for stock</w:t>
      </w:r>
      <w:bookmarkEnd w:id="70"/>
      <w:bookmarkEnd w:id="71"/>
      <w:bookmarkEnd w:id="72"/>
      <w:bookmarkEnd w:id="73"/>
    </w:p>
    <w:p>
      <w:pPr>
        <w:pStyle w:val="Heading5"/>
      </w:pPr>
      <w:bookmarkStart w:id="74" w:name="_Toc185866277"/>
      <w:r>
        <w:rPr>
          <w:rStyle w:val="CharSectno"/>
        </w:rPr>
        <w:t>29</w:t>
      </w:r>
      <w:r>
        <w:t>.</w:t>
      </w:r>
      <w:r>
        <w:tab/>
        <w:t>Term used: certificate of registration</w:t>
      </w:r>
      <w:bookmarkEnd w:id="74"/>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75" w:name="_Toc185866278"/>
      <w:r>
        <w:rPr>
          <w:rStyle w:val="CharSectno"/>
        </w:rPr>
        <w:t>30</w:t>
      </w:r>
      <w:r>
        <w:t>.</w:t>
      </w:r>
      <w:r>
        <w:tab/>
        <w:t>Registered identifiers for application as brand</w:t>
      </w:r>
      <w:bookmarkEnd w:id="75"/>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76" w:name="_Toc185866279"/>
      <w:r>
        <w:rPr>
          <w:rStyle w:val="CharSectno"/>
        </w:rPr>
        <w:t>31</w:t>
      </w:r>
      <w:r>
        <w:t>.</w:t>
      </w:r>
      <w:r>
        <w:tab/>
        <w:t>Registered identifiers for application as earmark</w:t>
      </w:r>
      <w:bookmarkEnd w:id="76"/>
    </w:p>
    <w:p>
      <w:pPr>
        <w:pStyle w:val="Subsection"/>
      </w:pPr>
      <w:r>
        <w:tab/>
      </w:r>
      <w:r>
        <w:tab/>
        <w:t>A registered identifier for application as an earmark to stock must consist of 2 symbols as allotted.</w:t>
      </w:r>
    </w:p>
    <w:p>
      <w:pPr>
        <w:pStyle w:val="Heading5"/>
      </w:pPr>
      <w:bookmarkStart w:id="77" w:name="_Toc185866280"/>
      <w:r>
        <w:rPr>
          <w:rStyle w:val="CharSectno"/>
        </w:rPr>
        <w:t>32</w:t>
      </w:r>
      <w:r>
        <w:t>.</w:t>
      </w:r>
      <w:r>
        <w:tab/>
        <w:t>Limit of one brand and one earmark for each relevant PIC</w:t>
      </w:r>
      <w:bookmarkEnd w:id="77"/>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78" w:name="_Toc185866281"/>
      <w:r>
        <w:rPr>
          <w:rStyle w:val="CharSectno"/>
        </w:rPr>
        <w:t>33</w:t>
      </w:r>
      <w:r>
        <w:t>.</w:t>
      </w:r>
      <w:r>
        <w:tab/>
        <w:t>Confusing or misleading identifiers</w:t>
      </w:r>
      <w:bookmarkEnd w:id="78"/>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79" w:name="_Toc185866282"/>
      <w:r>
        <w:rPr>
          <w:rStyle w:val="CharSectno"/>
        </w:rPr>
        <w:t>34</w:t>
      </w:r>
      <w:r>
        <w:t>.</w:t>
      </w:r>
      <w:r>
        <w:tab/>
        <w:t>Cross</w:t>
      </w:r>
      <w:r>
        <w:noBreakHyphen/>
        <w:t>border farming properties</w:t>
      </w:r>
      <w:bookmarkEnd w:id="79"/>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80" w:name="_Toc185866283"/>
      <w:r>
        <w:rPr>
          <w:rStyle w:val="CharSectno"/>
        </w:rPr>
        <w:lastRenderedPageBreak/>
        <w:t>35</w:t>
      </w:r>
      <w:r>
        <w:t>.</w:t>
      </w:r>
      <w:r>
        <w:tab/>
        <w:t>Special identifiers</w:t>
      </w:r>
      <w:bookmarkEnd w:id="80"/>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81" w:name="_Toc185866284"/>
      <w:r>
        <w:rPr>
          <w:rStyle w:val="CharSectno"/>
        </w:rPr>
        <w:t>36</w:t>
      </w:r>
      <w:r>
        <w:t>.</w:t>
      </w:r>
      <w:r>
        <w:tab/>
        <w:t>Exclusive use of registered identifiers</w:t>
      </w:r>
      <w:bookmarkEnd w:id="81"/>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82" w:name="_Toc185866285"/>
      <w:r>
        <w:rPr>
          <w:rStyle w:val="CharSectno"/>
        </w:rPr>
        <w:t>37</w:t>
      </w:r>
      <w:r>
        <w:t>.</w:t>
      </w:r>
      <w:r>
        <w:tab/>
        <w:t>Registered identifiers to be used to identify stock on property with corresponding PIC</w:t>
      </w:r>
      <w:bookmarkEnd w:id="82"/>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83" w:name="_Toc185866286"/>
      <w:r>
        <w:rPr>
          <w:rStyle w:val="CharSectno"/>
        </w:rPr>
        <w:t>38</w:t>
      </w:r>
      <w:r>
        <w:t>.</w:t>
      </w:r>
      <w:r>
        <w:tab/>
      </w:r>
      <w:r>
        <w:rPr>
          <w:snapToGrid w:val="0"/>
        </w:rPr>
        <w:t>Permit to use registered identifier to identify stock on property without corresponding PIC</w:t>
      </w:r>
      <w:bookmarkEnd w:id="83"/>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84" w:name="_Toc185866287"/>
      <w:r>
        <w:rPr>
          <w:rStyle w:val="CharSectno"/>
        </w:rPr>
        <w:lastRenderedPageBreak/>
        <w:t>39</w:t>
      </w:r>
      <w:r>
        <w:t>.</w:t>
      </w:r>
      <w:r>
        <w:tab/>
        <w:t>When unused identifiers and identification equipment to be given to inspector</w:t>
      </w:r>
      <w:bookmarkEnd w:id="84"/>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85" w:name="_Toc185866288"/>
      <w:r>
        <w:rPr>
          <w:rStyle w:val="CharSectno"/>
        </w:rPr>
        <w:t>40</w:t>
      </w:r>
      <w:r>
        <w:t>.</w:t>
      </w:r>
      <w:r>
        <w:tab/>
        <w:t>Possession of identifiers and identification equipment</w:t>
      </w:r>
      <w:bookmarkEnd w:id="85"/>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lastRenderedPageBreak/>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86" w:name="_Toc185866289"/>
      <w:r>
        <w:rPr>
          <w:rStyle w:val="CharSectno"/>
        </w:rPr>
        <w:t>41</w:t>
      </w:r>
      <w:r>
        <w:t>.</w:t>
      </w:r>
      <w:r>
        <w:tab/>
        <w:t>False representations relating to registered identifiers</w:t>
      </w:r>
      <w:bookmarkEnd w:id="86"/>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87" w:name="_Toc185866290"/>
      <w:r>
        <w:rPr>
          <w:rStyle w:val="CharSectno"/>
        </w:rPr>
        <w:t>42</w:t>
      </w:r>
      <w:r>
        <w:t>.</w:t>
      </w:r>
      <w:r>
        <w:tab/>
        <w:t>Unauthorised removal of registered identifier from live animal</w:t>
      </w:r>
      <w:bookmarkEnd w:id="87"/>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88" w:name="_Toc185837573"/>
      <w:bookmarkStart w:id="89" w:name="_Toc185857179"/>
      <w:bookmarkStart w:id="90" w:name="_Toc185857524"/>
      <w:bookmarkStart w:id="91" w:name="_Toc185866291"/>
      <w:r>
        <w:rPr>
          <w:rStyle w:val="CharDivNo"/>
        </w:rPr>
        <w:t>Division 2</w:t>
      </w:r>
      <w:r>
        <w:t> — </w:t>
      </w:r>
      <w:r>
        <w:rPr>
          <w:rStyle w:val="CharDivText"/>
        </w:rPr>
        <w:t>Approved identification systems</w:t>
      </w:r>
      <w:bookmarkEnd w:id="88"/>
      <w:bookmarkEnd w:id="89"/>
      <w:bookmarkEnd w:id="90"/>
      <w:bookmarkEnd w:id="91"/>
    </w:p>
    <w:p>
      <w:pPr>
        <w:pStyle w:val="Heading5"/>
      </w:pPr>
      <w:bookmarkStart w:id="92" w:name="_Toc185866292"/>
      <w:r>
        <w:rPr>
          <w:rStyle w:val="CharSectno"/>
        </w:rPr>
        <w:t>43</w:t>
      </w:r>
      <w:r>
        <w:t>.</w:t>
      </w:r>
      <w:r>
        <w:tab/>
        <w:t>Approved identifiers and databases</w:t>
      </w:r>
      <w:bookmarkEnd w:id="92"/>
    </w:p>
    <w:p>
      <w:pPr>
        <w:pStyle w:val="Subsection"/>
      </w:pPr>
      <w:r>
        <w:tab/>
        <w:t>(1)</w:t>
      </w:r>
      <w:r>
        <w:tab/>
        <w:t xml:space="preserve">The Director General may approve, for the purposes of identifying stock under these regulations, a type of identifier (an </w:t>
      </w:r>
      <w:r>
        <w:rPr>
          <w:rStyle w:val="CharDefText"/>
        </w:rPr>
        <w:lastRenderedPageBreak/>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93" w:name="_Toc185866293"/>
      <w:r>
        <w:rPr>
          <w:rStyle w:val="CharSectno"/>
        </w:rPr>
        <w:t>44</w:t>
      </w:r>
      <w:r>
        <w:t>.</w:t>
      </w:r>
      <w:r>
        <w:tab/>
        <w:t>Use of approved identifiers</w:t>
      </w:r>
      <w:bookmarkEnd w:id="93"/>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lastRenderedPageBreak/>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94" w:name="_Toc185866294"/>
      <w:r>
        <w:rPr>
          <w:rStyle w:val="CharSectno"/>
        </w:rPr>
        <w:t>45</w:t>
      </w:r>
      <w:r>
        <w:t>.</w:t>
      </w:r>
      <w:r>
        <w:tab/>
        <w:t>False representations relating to approved identifiers</w:t>
      </w:r>
      <w:bookmarkEnd w:id="94"/>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95" w:name="_Toc185866295"/>
      <w:r>
        <w:rPr>
          <w:rStyle w:val="CharSectno"/>
        </w:rPr>
        <w:t>46</w:t>
      </w:r>
      <w:r>
        <w:t>.</w:t>
      </w:r>
      <w:r>
        <w:tab/>
        <w:t>Unauthorised removal of approved identifier from live animal</w:t>
      </w:r>
      <w:bookmarkEnd w:id="95"/>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96" w:name="_Toc185837578"/>
      <w:bookmarkStart w:id="97" w:name="_Toc185857184"/>
      <w:bookmarkStart w:id="98" w:name="_Toc185857529"/>
      <w:bookmarkStart w:id="99" w:name="_Toc185866296"/>
      <w:r>
        <w:rPr>
          <w:rStyle w:val="CharDivNo"/>
        </w:rPr>
        <w:t>Division 3</w:t>
      </w:r>
      <w:r>
        <w:t> — </w:t>
      </w:r>
      <w:r>
        <w:rPr>
          <w:rStyle w:val="CharDivText"/>
        </w:rPr>
        <w:t>NLIS identifiers</w:t>
      </w:r>
      <w:bookmarkEnd w:id="96"/>
      <w:bookmarkEnd w:id="97"/>
      <w:bookmarkEnd w:id="98"/>
      <w:bookmarkEnd w:id="99"/>
    </w:p>
    <w:p>
      <w:pPr>
        <w:pStyle w:val="Heading4"/>
      </w:pPr>
      <w:bookmarkStart w:id="100" w:name="_Toc185837579"/>
      <w:bookmarkStart w:id="101" w:name="_Toc185857185"/>
      <w:bookmarkStart w:id="102" w:name="_Toc185857530"/>
      <w:bookmarkStart w:id="103" w:name="_Toc185866297"/>
      <w:r>
        <w:t>Subdivision 1 — NLIS devices</w:t>
      </w:r>
      <w:bookmarkEnd w:id="100"/>
      <w:bookmarkEnd w:id="101"/>
      <w:bookmarkEnd w:id="102"/>
      <w:bookmarkEnd w:id="103"/>
    </w:p>
    <w:p>
      <w:pPr>
        <w:pStyle w:val="Heading5"/>
      </w:pPr>
      <w:bookmarkStart w:id="104" w:name="_Toc185866298"/>
      <w:r>
        <w:rPr>
          <w:rStyle w:val="CharSectno"/>
        </w:rPr>
        <w:t>47</w:t>
      </w:r>
      <w:r>
        <w:t>.</w:t>
      </w:r>
      <w:r>
        <w:tab/>
        <w:t>Meaning of NLIS device</w:t>
      </w:r>
      <w:bookmarkEnd w:id="104"/>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lastRenderedPageBreak/>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105" w:name="_Toc185866299"/>
      <w:r>
        <w:rPr>
          <w:rStyle w:val="CharSectno"/>
        </w:rPr>
        <w:t>48</w:t>
      </w:r>
      <w:r>
        <w:t>.</w:t>
      </w:r>
      <w:r>
        <w:tab/>
        <w:t>Applying NLIS devices to stock</w:t>
      </w:r>
      <w:bookmarkEnd w:id="105"/>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lastRenderedPageBreak/>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to a sheep other than — </w:t>
      </w:r>
    </w:p>
    <w:p>
      <w:pPr>
        <w:pStyle w:val="Indenta"/>
      </w:pPr>
      <w:r>
        <w:tab/>
        <w:t>(a)</w:t>
      </w:r>
      <w:r>
        <w:tab/>
        <w:t>in the left ear of a male sheep; or</w:t>
      </w:r>
    </w:p>
    <w:p>
      <w:pPr>
        <w:pStyle w:val="Indenta"/>
      </w:pPr>
      <w:r>
        <w:tab/>
        <w:t>(b)</w:t>
      </w:r>
      <w:r>
        <w:tab/>
        <w:t>in the right ear of a female sheep.</w:t>
      </w:r>
    </w:p>
    <w:p>
      <w:pPr>
        <w:pStyle w:val="Penstart"/>
      </w:pPr>
      <w:r>
        <w:tab/>
        <w:t>Penalty for this subregulation: a fine of $2 000.</w:t>
      </w:r>
    </w:p>
    <w:p>
      <w:pPr>
        <w:pStyle w:val="Subsection"/>
      </w:pPr>
      <w:r>
        <w:tab/>
        <w:t>(4)</w:t>
      </w:r>
      <w:r>
        <w:tab/>
        <w:t>A person must not apply an NLIS device to a goat other than —</w:t>
      </w:r>
    </w:p>
    <w:p>
      <w:pPr>
        <w:pStyle w:val="Indenta"/>
      </w:pPr>
      <w:r>
        <w:tab/>
        <w:t>(a)</w:t>
      </w:r>
      <w:r>
        <w:tab/>
        <w:t>in the left ear of a male goat; or</w:t>
      </w:r>
    </w:p>
    <w:p>
      <w:pPr>
        <w:pStyle w:val="Indenta"/>
      </w:pPr>
      <w:r>
        <w:tab/>
        <w:t>(b)</w:t>
      </w:r>
      <w:r>
        <w:tab/>
        <w:t>in the right ear of a female goat; or</w:t>
      </w:r>
    </w:p>
    <w:p>
      <w:pPr>
        <w:pStyle w:val="Indenta"/>
      </w:pPr>
      <w:r>
        <w:tab/>
        <w:t>(c)</w:t>
      </w:r>
      <w:r>
        <w:tab/>
        <w:t>around a leg of the goat.</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lastRenderedPageBreak/>
        <w:tab/>
        <w:t>[Regulation 48 amended: Gazette 27 Jun 2019 p. 2412; SL 2024/264 r. 4.]</w:t>
      </w:r>
    </w:p>
    <w:p>
      <w:pPr>
        <w:pStyle w:val="Heading5"/>
      </w:pPr>
      <w:bookmarkStart w:id="106" w:name="_Toc185866300"/>
      <w:r>
        <w:rPr>
          <w:rStyle w:val="CharSectno"/>
        </w:rPr>
        <w:t>49</w:t>
      </w:r>
      <w:r>
        <w:t>.</w:t>
      </w:r>
      <w:r>
        <w:tab/>
        <w:t>When unused NLIS devices to be given to inspector</w:t>
      </w:r>
      <w:bookmarkEnd w:id="106"/>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107" w:name="_Toc185866301"/>
      <w:r>
        <w:rPr>
          <w:rStyle w:val="CharSectno"/>
        </w:rPr>
        <w:t>50</w:t>
      </w:r>
      <w:r>
        <w:t>.</w:t>
      </w:r>
      <w:r>
        <w:tab/>
        <w:t>False representations relating to NLIS devices</w:t>
      </w:r>
      <w:bookmarkEnd w:id="107"/>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08" w:name="_Toc185837584"/>
      <w:bookmarkStart w:id="109" w:name="_Toc185857190"/>
      <w:bookmarkStart w:id="110" w:name="_Toc185857535"/>
      <w:bookmarkStart w:id="111" w:name="_Toc185866302"/>
      <w:r>
        <w:lastRenderedPageBreak/>
        <w:t>Subdivision 2 — NLIS tags</w:t>
      </w:r>
      <w:bookmarkEnd w:id="108"/>
      <w:bookmarkEnd w:id="109"/>
      <w:bookmarkEnd w:id="110"/>
      <w:bookmarkEnd w:id="111"/>
    </w:p>
    <w:p>
      <w:pPr>
        <w:pStyle w:val="Heading5"/>
      </w:pPr>
      <w:bookmarkStart w:id="112" w:name="_Toc185866303"/>
      <w:r>
        <w:rPr>
          <w:rStyle w:val="CharSectno"/>
        </w:rPr>
        <w:t>51</w:t>
      </w:r>
      <w:r>
        <w:t>.</w:t>
      </w:r>
      <w:r>
        <w:tab/>
        <w:t>Meaning of NLIS tag</w:t>
      </w:r>
      <w:bookmarkEnd w:id="112"/>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13" w:name="_Toc185866304"/>
      <w:r>
        <w:rPr>
          <w:rStyle w:val="CharSectno"/>
        </w:rPr>
        <w:t>52</w:t>
      </w:r>
      <w:r>
        <w:t>.</w:t>
      </w:r>
      <w:r>
        <w:tab/>
        <w:t>Applying NLIS tags to stock</w:t>
      </w:r>
      <w:bookmarkEnd w:id="113"/>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 xml:space="preserve">the person is, or is acting on behalf of, its owner or is otherwise required or empowered by these regulations to </w:t>
      </w:r>
      <w:r>
        <w:lastRenderedPageBreak/>
        <w:t>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Ednotesubsection"/>
      </w:pPr>
      <w:r>
        <w:tab/>
        <w:t>[(2), (3)</w:t>
      </w:r>
      <w:r>
        <w:tab/>
        <w:t>deleted]</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 SL 2024/264 r. 5.]</w:t>
      </w:r>
    </w:p>
    <w:p>
      <w:pPr>
        <w:pStyle w:val="Heading5"/>
      </w:pPr>
      <w:bookmarkStart w:id="114" w:name="_Toc185866305"/>
      <w:r>
        <w:rPr>
          <w:rStyle w:val="CharSectno"/>
        </w:rPr>
        <w:t>53</w:t>
      </w:r>
      <w:r>
        <w:t>.</w:t>
      </w:r>
      <w:r>
        <w:tab/>
        <w:t>False representations relating to NLIS tags</w:t>
      </w:r>
      <w:bookmarkEnd w:id="114"/>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15" w:name="_Toc185837588"/>
      <w:bookmarkStart w:id="116" w:name="_Toc185857194"/>
      <w:bookmarkStart w:id="117" w:name="_Toc185857539"/>
      <w:bookmarkStart w:id="118" w:name="_Toc185866306"/>
      <w:r>
        <w:lastRenderedPageBreak/>
        <w:t>Subdivision 3 — Removal and disposal of NLIS identifiers</w:t>
      </w:r>
      <w:bookmarkEnd w:id="115"/>
      <w:bookmarkEnd w:id="116"/>
      <w:bookmarkEnd w:id="117"/>
      <w:bookmarkEnd w:id="118"/>
    </w:p>
    <w:p>
      <w:pPr>
        <w:pStyle w:val="Heading5"/>
      </w:pPr>
      <w:bookmarkStart w:id="119" w:name="_Toc185866307"/>
      <w:r>
        <w:rPr>
          <w:rStyle w:val="CharSectno"/>
        </w:rPr>
        <w:t>54</w:t>
      </w:r>
      <w:r>
        <w:t>.</w:t>
      </w:r>
      <w:r>
        <w:tab/>
        <w:t>Removal of NLIS identifiers</w:t>
      </w:r>
      <w:bookmarkEnd w:id="119"/>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20" w:name="_Toc185866308"/>
      <w:r>
        <w:rPr>
          <w:rStyle w:val="CharSectno"/>
        </w:rPr>
        <w:t>55</w:t>
      </w:r>
      <w:r>
        <w:t>.</w:t>
      </w:r>
      <w:r>
        <w:tab/>
        <w:t>Replacing NLIS identifiers</w:t>
      </w:r>
      <w:bookmarkEnd w:id="120"/>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lastRenderedPageBreak/>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21" w:name="_Toc185866309"/>
      <w:r>
        <w:rPr>
          <w:rStyle w:val="CharSectno"/>
        </w:rPr>
        <w:t>56</w:t>
      </w:r>
      <w:r>
        <w:t>.</w:t>
      </w:r>
      <w:r>
        <w:tab/>
        <w:t>Disposal of NLIS identifiers</w:t>
      </w:r>
      <w:bookmarkEnd w:id="121"/>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22" w:name="_Toc185866310"/>
      <w:r>
        <w:rPr>
          <w:rStyle w:val="CharSectno"/>
        </w:rPr>
        <w:t>57</w:t>
      </w:r>
      <w:r>
        <w:t>.</w:t>
      </w:r>
      <w:r>
        <w:tab/>
        <w:t>NLIS identifiers not to be damaged or defaced</w:t>
      </w:r>
      <w:bookmarkEnd w:id="122"/>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23" w:name="_Toc185837593"/>
      <w:bookmarkStart w:id="124" w:name="_Toc185857199"/>
      <w:bookmarkStart w:id="125" w:name="_Toc185857544"/>
      <w:bookmarkStart w:id="126" w:name="_Toc185866311"/>
      <w:r>
        <w:t>Subdivision 4 — The NLIS database</w:t>
      </w:r>
      <w:bookmarkEnd w:id="123"/>
      <w:bookmarkEnd w:id="124"/>
      <w:bookmarkEnd w:id="125"/>
      <w:bookmarkEnd w:id="126"/>
    </w:p>
    <w:p>
      <w:pPr>
        <w:pStyle w:val="Heading5"/>
      </w:pPr>
      <w:bookmarkStart w:id="127" w:name="_Toc185866312"/>
      <w:r>
        <w:rPr>
          <w:rStyle w:val="CharSectno"/>
        </w:rPr>
        <w:t>58</w:t>
      </w:r>
      <w:r>
        <w:t>.</w:t>
      </w:r>
      <w:r>
        <w:tab/>
        <w:t>The NLIS database</w:t>
      </w:r>
      <w:bookmarkEnd w:id="127"/>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lastRenderedPageBreak/>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lastRenderedPageBreak/>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28" w:name="_Toc185837595"/>
      <w:bookmarkStart w:id="129" w:name="_Toc185857201"/>
      <w:bookmarkStart w:id="130" w:name="_Toc185857546"/>
      <w:bookmarkStart w:id="131" w:name="_Toc185866313"/>
      <w:r>
        <w:rPr>
          <w:rStyle w:val="CharDivNo"/>
        </w:rPr>
        <w:t>Division 4</w:t>
      </w:r>
      <w:r>
        <w:t> — </w:t>
      </w:r>
      <w:r>
        <w:rPr>
          <w:rStyle w:val="CharDivText"/>
        </w:rPr>
        <w:t>Manufacture and supply of identifiers</w:t>
      </w:r>
      <w:bookmarkEnd w:id="128"/>
      <w:bookmarkEnd w:id="129"/>
      <w:bookmarkEnd w:id="130"/>
      <w:bookmarkEnd w:id="131"/>
    </w:p>
    <w:p>
      <w:pPr>
        <w:pStyle w:val="Heading4"/>
      </w:pPr>
      <w:bookmarkStart w:id="132" w:name="_Toc185837596"/>
      <w:bookmarkStart w:id="133" w:name="_Toc185857202"/>
      <w:bookmarkStart w:id="134" w:name="_Toc185857547"/>
      <w:bookmarkStart w:id="135" w:name="_Toc185866314"/>
      <w:r>
        <w:t>Subdivision 1 — Approved devices, approved identification equipment and approved manufacturers</w:t>
      </w:r>
      <w:bookmarkEnd w:id="132"/>
      <w:bookmarkEnd w:id="133"/>
      <w:bookmarkEnd w:id="134"/>
      <w:bookmarkEnd w:id="135"/>
    </w:p>
    <w:p>
      <w:pPr>
        <w:pStyle w:val="Heading5"/>
      </w:pPr>
      <w:bookmarkStart w:id="136" w:name="_Toc185866315"/>
      <w:r>
        <w:rPr>
          <w:rStyle w:val="CharSectno"/>
        </w:rPr>
        <w:t>59</w:t>
      </w:r>
      <w:r>
        <w:t>.</w:t>
      </w:r>
      <w:r>
        <w:tab/>
        <w:t>Approved devices and approved identification equipment</w:t>
      </w:r>
      <w:bookmarkEnd w:id="136"/>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37" w:name="_Toc185866316"/>
      <w:r>
        <w:rPr>
          <w:rStyle w:val="CharSectno"/>
        </w:rPr>
        <w:lastRenderedPageBreak/>
        <w:t>60</w:t>
      </w:r>
      <w:r>
        <w:t>.</w:t>
      </w:r>
      <w:r>
        <w:tab/>
        <w:t>Approved manufacturers</w:t>
      </w:r>
      <w:bookmarkEnd w:id="137"/>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38" w:name="_Toc185866317"/>
      <w:r>
        <w:rPr>
          <w:rStyle w:val="CharSectno"/>
        </w:rPr>
        <w:t>61</w:t>
      </w:r>
      <w:r>
        <w:t>.</w:t>
      </w:r>
      <w:r>
        <w:tab/>
        <w:t>Review</w:t>
      </w:r>
      <w:bookmarkEnd w:id="138"/>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39" w:name="_Toc185837600"/>
      <w:bookmarkStart w:id="140" w:name="_Toc185857206"/>
      <w:bookmarkStart w:id="141" w:name="_Toc185857551"/>
      <w:bookmarkStart w:id="142" w:name="_Toc185866318"/>
      <w:r>
        <w:t>Subdivision 2 — Registered identifiers</w:t>
      </w:r>
      <w:bookmarkEnd w:id="139"/>
      <w:bookmarkEnd w:id="140"/>
      <w:bookmarkEnd w:id="141"/>
      <w:bookmarkEnd w:id="142"/>
    </w:p>
    <w:p>
      <w:pPr>
        <w:pStyle w:val="Heading5"/>
      </w:pPr>
      <w:bookmarkStart w:id="143" w:name="_Toc185866319"/>
      <w:r>
        <w:rPr>
          <w:rStyle w:val="CharSectno"/>
        </w:rPr>
        <w:t>62</w:t>
      </w:r>
      <w:r>
        <w:t>.</w:t>
      </w:r>
      <w:r>
        <w:tab/>
        <w:t>Manufacture and supply of identifiers and identification equipment for registered identifiers</w:t>
      </w:r>
      <w:bookmarkEnd w:id="143"/>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lastRenderedPageBreak/>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lastRenderedPageBreak/>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44" w:name="_Toc185837602"/>
      <w:bookmarkStart w:id="145" w:name="_Toc185857208"/>
      <w:bookmarkStart w:id="146" w:name="_Toc185857553"/>
      <w:bookmarkStart w:id="147" w:name="_Toc185866320"/>
      <w:r>
        <w:t>Subdivision 3 — NLIS identifiers</w:t>
      </w:r>
      <w:bookmarkEnd w:id="144"/>
      <w:bookmarkEnd w:id="145"/>
      <w:bookmarkEnd w:id="146"/>
      <w:bookmarkEnd w:id="147"/>
    </w:p>
    <w:p>
      <w:pPr>
        <w:pStyle w:val="Heading5"/>
      </w:pPr>
      <w:bookmarkStart w:id="148" w:name="_Toc185866321"/>
      <w:r>
        <w:rPr>
          <w:rStyle w:val="CharSectno"/>
        </w:rPr>
        <w:t>63</w:t>
      </w:r>
      <w:r>
        <w:t>.</w:t>
      </w:r>
      <w:r>
        <w:tab/>
        <w:t>Term used: manufacture</w:t>
      </w:r>
      <w:bookmarkEnd w:id="148"/>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49" w:name="_Toc185866322"/>
      <w:r>
        <w:rPr>
          <w:rStyle w:val="CharSectno"/>
        </w:rPr>
        <w:t>64</w:t>
      </w:r>
      <w:r>
        <w:t>.</w:t>
      </w:r>
      <w:r>
        <w:tab/>
        <w:t>Manufacture of NLIS devices</w:t>
      </w:r>
      <w:bookmarkEnd w:id="149"/>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lastRenderedPageBreak/>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50" w:name="_Toc185866323"/>
      <w:r>
        <w:rPr>
          <w:rStyle w:val="CharSectno"/>
        </w:rPr>
        <w:t>65</w:t>
      </w:r>
      <w:r>
        <w:t>.</w:t>
      </w:r>
      <w:r>
        <w:tab/>
        <w:t>Supply of NLIS devices by manufacturers</w:t>
      </w:r>
      <w:bookmarkEnd w:id="150"/>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lastRenderedPageBreak/>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51" w:name="_Toc185866324"/>
      <w:r>
        <w:rPr>
          <w:rStyle w:val="CharSectno"/>
        </w:rPr>
        <w:lastRenderedPageBreak/>
        <w:t>66</w:t>
      </w:r>
      <w:r>
        <w:t>.</w:t>
      </w:r>
      <w:r>
        <w:tab/>
        <w:t>Supply of NLIS devices by persons other than manufacturers</w:t>
      </w:r>
      <w:bookmarkEnd w:id="151"/>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52" w:name="_Toc185866325"/>
      <w:r>
        <w:rPr>
          <w:rStyle w:val="CharSectno"/>
        </w:rPr>
        <w:t>67</w:t>
      </w:r>
      <w:r>
        <w:t>.</w:t>
      </w:r>
      <w:r>
        <w:tab/>
        <w:t>Manufacture of NLIS tags</w:t>
      </w:r>
      <w:bookmarkEnd w:id="152"/>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lastRenderedPageBreak/>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lastRenderedPageBreak/>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53" w:name="_Toc185837608"/>
      <w:bookmarkStart w:id="154" w:name="_Toc185857214"/>
      <w:bookmarkStart w:id="155" w:name="_Toc185857559"/>
      <w:bookmarkStart w:id="156" w:name="_Toc185866326"/>
      <w:r>
        <w:rPr>
          <w:rStyle w:val="CharPartNo"/>
        </w:rPr>
        <w:lastRenderedPageBreak/>
        <w:t>Part 4</w:t>
      </w:r>
      <w:r>
        <w:rPr>
          <w:rStyle w:val="CharDivNo"/>
        </w:rPr>
        <w:t> </w:t>
      </w:r>
      <w:r>
        <w:t>—</w:t>
      </w:r>
      <w:r>
        <w:rPr>
          <w:rStyle w:val="CharDivText"/>
        </w:rPr>
        <w:t> </w:t>
      </w:r>
      <w:r>
        <w:rPr>
          <w:rStyle w:val="CharPartText"/>
        </w:rPr>
        <w:t>General provisions for identifying stock</w:t>
      </w:r>
      <w:bookmarkEnd w:id="153"/>
      <w:bookmarkEnd w:id="154"/>
      <w:bookmarkEnd w:id="155"/>
      <w:bookmarkEnd w:id="156"/>
    </w:p>
    <w:p>
      <w:pPr>
        <w:pStyle w:val="Heading5"/>
      </w:pPr>
      <w:bookmarkStart w:id="157" w:name="_Toc185866327"/>
      <w:r>
        <w:rPr>
          <w:rStyle w:val="CharSectno"/>
        </w:rPr>
        <w:t>68</w:t>
      </w:r>
      <w:r>
        <w:t>.</w:t>
      </w:r>
      <w:r>
        <w:tab/>
        <w:t>Term used: identifier</w:t>
      </w:r>
      <w:bookmarkEnd w:id="157"/>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58" w:name="_Toc185866328"/>
      <w:r>
        <w:rPr>
          <w:rStyle w:val="CharSectno"/>
        </w:rPr>
        <w:t>69</w:t>
      </w:r>
      <w:r>
        <w:t>.</w:t>
      </w:r>
      <w:r>
        <w:tab/>
        <w:t>Director General may exempt stock from identification requirements</w:t>
      </w:r>
      <w:bookmarkEnd w:id="158"/>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59" w:name="_Toc185866329"/>
      <w:r>
        <w:rPr>
          <w:rStyle w:val="CharSectno"/>
        </w:rPr>
        <w:t>70</w:t>
      </w:r>
      <w:r>
        <w:t>.</w:t>
      </w:r>
      <w:r>
        <w:tab/>
        <w:t>Identification exemption certificates</w:t>
      </w:r>
      <w:bookmarkEnd w:id="159"/>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60" w:name="_Toc185866330"/>
      <w:r>
        <w:rPr>
          <w:rStyle w:val="CharSectno"/>
        </w:rPr>
        <w:lastRenderedPageBreak/>
        <w:t>71</w:t>
      </w:r>
      <w:r>
        <w:t>.</w:t>
      </w:r>
      <w:r>
        <w:tab/>
        <w:t>When stock not properly identified</w:t>
      </w:r>
      <w:bookmarkEnd w:id="160"/>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61" w:name="_Toc185866331"/>
      <w:r>
        <w:rPr>
          <w:rStyle w:val="CharSectno"/>
        </w:rPr>
        <w:t>72</w:t>
      </w:r>
      <w:r>
        <w:t>.</w:t>
      </w:r>
      <w:r>
        <w:tab/>
        <w:t>Altered or damaged identifiers</w:t>
      </w:r>
      <w:bookmarkEnd w:id="161"/>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62" w:name="_Toc185866332"/>
      <w:r>
        <w:rPr>
          <w:rStyle w:val="CharSectno"/>
        </w:rPr>
        <w:t>73</w:t>
      </w:r>
      <w:r>
        <w:t>.</w:t>
      </w:r>
      <w:r>
        <w:tab/>
        <w:t>Possession of unidentified stock</w:t>
      </w:r>
      <w:bookmarkEnd w:id="162"/>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63" w:name="_Toc185866333"/>
      <w:r>
        <w:rPr>
          <w:rStyle w:val="CharSectno"/>
        </w:rPr>
        <w:lastRenderedPageBreak/>
        <w:t>74</w:t>
      </w:r>
      <w:r>
        <w:t>.</w:t>
      </w:r>
      <w:r>
        <w:tab/>
        <w:t>Things that may be confused with identifiers</w:t>
      </w:r>
      <w:bookmarkEnd w:id="163"/>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64" w:name="_Toc185837616"/>
      <w:bookmarkStart w:id="165" w:name="_Toc185857222"/>
      <w:bookmarkStart w:id="166" w:name="_Toc185857567"/>
      <w:bookmarkStart w:id="167" w:name="_Toc185866334"/>
      <w:r>
        <w:rPr>
          <w:rStyle w:val="CharPartNo"/>
        </w:rPr>
        <w:lastRenderedPageBreak/>
        <w:t>Part 5</w:t>
      </w:r>
      <w:r>
        <w:t> — </w:t>
      </w:r>
      <w:r>
        <w:rPr>
          <w:rStyle w:val="CharPartText"/>
        </w:rPr>
        <w:t>Identifying cattle and buffalo</w:t>
      </w:r>
      <w:bookmarkEnd w:id="164"/>
      <w:bookmarkEnd w:id="165"/>
      <w:bookmarkEnd w:id="166"/>
      <w:bookmarkEnd w:id="167"/>
    </w:p>
    <w:p>
      <w:pPr>
        <w:pStyle w:val="Heading3"/>
      </w:pPr>
      <w:bookmarkStart w:id="168" w:name="_Toc185837617"/>
      <w:bookmarkStart w:id="169" w:name="_Toc185857223"/>
      <w:bookmarkStart w:id="170" w:name="_Toc185857568"/>
      <w:bookmarkStart w:id="171" w:name="_Toc185866335"/>
      <w:r>
        <w:rPr>
          <w:rStyle w:val="CharDivNo"/>
        </w:rPr>
        <w:t>Division 1</w:t>
      </w:r>
      <w:r>
        <w:t> — </w:t>
      </w:r>
      <w:r>
        <w:rPr>
          <w:rStyle w:val="CharDivText"/>
        </w:rPr>
        <w:t>Terms used</w:t>
      </w:r>
      <w:bookmarkEnd w:id="168"/>
      <w:bookmarkEnd w:id="169"/>
      <w:bookmarkEnd w:id="170"/>
      <w:bookmarkEnd w:id="171"/>
    </w:p>
    <w:p>
      <w:pPr>
        <w:pStyle w:val="Heading5"/>
      </w:pPr>
      <w:bookmarkStart w:id="172" w:name="_Toc185866336"/>
      <w:r>
        <w:rPr>
          <w:rStyle w:val="CharSectno"/>
        </w:rPr>
        <w:t>75</w:t>
      </w:r>
      <w:r>
        <w:t>.</w:t>
      </w:r>
      <w:r>
        <w:tab/>
        <w:t>Terms used</w:t>
      </w:r>
      <w:bookmarkEnd w:id="172"/>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73" w:name="_Toc185837619"/>
      <w:bookmarkStart w:id="174" w:name="_Toc185857225"/>
      <w:bookmarkStart w:id="175" w:name="_Toc185857570"/>
      <w:bookmarkStart w:id="176" w:name="_Toc185866337"/>
      <w:r>
        <w:rPr>
          <w:rStyle w:val="CharDivNo"/>
        </w:rPr>
        <w:t>Division 2</w:t>
      </w:r>
      <w:r>
        <w:t> — </w:t>
      </w:r>
      <w:r>
        <w:rPr>
          <w:rStyle w:val="CharDivText"/>
        </w:rPr>
        <w:t>Owners of cattle or buffalo</w:t>
      </w:r>
      <w:bookmarkEnd w:id="173"/>
      <w:bookmarkEnd w:id="174"/>
      <w:bookmarkEnd w:id="175"/>
      <w:bookmarkEnd w:id="176"/>
    </w:p>
    <w:p>
      <w:pPr>
        <w:pStyle w:val="Heading4"/>
      </w:pPr>
      <w:bookmarkStart w:id="177" w:name="_Toc185837620"/>
      <w:bookmarkStart w:id="178" w:name="_Toc185857226"/>
      <w:bookmarkStart w:id="179" w:name="_Toc185857571"/>
      <w:bookmarkStart w:id="180" w:name="_Toc185866338"/>
      <w:r>
        <w:t>Subdivision 1 — Registered identifiers and approved identifiers</w:t>
      </w:r>
      <w:bookmarkEnd w:id="177"/>
      <w:bookmarkEnd w:id="178"/>
      <w:bookmarkEnd w:id="179"/>
      <w:bookmarkEnd w:id="180"/>
    </w:p>
    <w:p>
      <w:pPr>
        <w:pStyle w:val="Heading5"/>
      </w:pPr>
      <w:bookmarkStart w:id="181" w:name="_Toc185866339"/>
      <w:r>
        <w:rPr>
          <w:rStyle w:val="CharSectno"/>
        </w:rPr>
        <w:t>76</w:t>
      </w:r>
      <w:r>
        <w:t>.</w:t>
      </w:r>
      <w:r>
        <w:tab/>
        <w:t>Owners must identify cattle and buffalo</w:t>
      </w:r>
      <w:bookmarkEnd w:id="181"/>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182" w:name="_Toc185866340"/>
      <w:r>
        <w:rPr>
          <w:rStyle w:val="CharSectno"/>
        </w:rPr>
        <w:t>77</w:t>
      </w:r>
      <w:r>
        <w:t>.</w:t>
      </w:r>
      <w:r>
        <w:tab/>
        <w:t>Exemption for unweaned animals</w:t>
      </w:r>
      <w:bookmarkEnd w:id="182"/>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183" w:name="_Toc185866341"/>
      <w:r>
        <w:rPr>
          <w:rStyle w:val="CharSectno"/>
        </w:rPr>
        <w:t>78</w:t>
      </w:r>
      <w:r>
        <w:t>.</w:t>
      </w:r>
      <w:r>
        <w:tab/>
        <w:t>Requirements for brands</w:t>
      </w:r>
      <w:bookmarkEnd w:id="183"/>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w:t>
      </w:r>
      <w:r>
        <w:lastRenderedPageBreak/>
        <w:t>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184" w:name="_Toc185866342"/>
      <w:r>
        <w:rPr>
          <w:rStyle w:val="CharSectno"/>
        </w:rPr>
        <w:t>79</w:t>
      </w:r>
      <w:r>
        <w:t>.</w:t>
      </w:r>
      <w:r>
        <w:tab/>
        <w:t>Requirements for earmarks</w:t>
      </w:r>
      <w:bookmarkEnd w:id="184"/>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185" w:name="_Toc185866343"/>
      <w:r>
        <w:rPr>
          <w:rStyle w:val="CharSectno"/>
        </w:rPr>
        <w:t>80</w:t>
      </w:r>
      <w:r>
        <w:t>.</w:t>
      </w:r>
      <w:r>
        <w:tab/>
        <w:t>Age marks, cullmarks and other markings</w:t>
      </w:r>
      <w:bookmarkEnd w:id="185"/>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lastRenderedPageBreak/>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186" w:name="_Toc185866344"/>
      <w:r>
        <w:rPr>
          <w:rStyle w:val="CharSectno"/>
        </w:rPr>
        <w:t>81</w:t>
      </w:r>
      <w:r>
        <w:t>.</w:t>
      </w:r>
      <w:r>
        <w:tab/>
        <w:t>Spayed female animals must be marked</w:t>
      </w:r>
      <w:bookmarkEnd w:id="186"/>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187" w:name="_Toc185837627"/>
      <w:bookmarkStart w:id="188" w:name="_Toc185857233"/>
      <w:bookmarkStart w:id="189" w:name="_Toc185857578"/>
      <w:bookmarkStart w:id="190" w:name="_Toc185866345"/>
      <w:r>
        <w:t>Subdivision 2 — NLIS requirements for cattle and buffalo</w:t>
      </w:r>
      <w:bookmarkEnd w:id="187"/>
      <w:bookmarkEnd w:id="188"/>
      <w:bookmarkEnd w:id="189"/>
      <w:bookmarkEnd w:id="190"/>
    </w:p>
    <w:p>
      <w:pPr>
        <w:pStyle w:val="Footnoteheading"/>
      </w:pPr>
      <w:r>
        <w:tab/>
        <w:t>[Heading amended: Gazette 27 Jun 2019 p. 2418.]</w:t>
      </w:r>
    </w:p>
    <w:p>
      <w:pPr>
        <w:pStyle w:val="Heading5"/>
        <w:spacing w:before="180"/>
      </w:pPr>
      <w:bookmarkStart w:id="191" w:name="_Toc185866346"/>
      <w:r>
        <w:rPr>
          <w:rStyle w:val="CharSectno"/>
        </w:rPr>
        <w:t>82</w:t>
      </w:r>
      <w:r>
        <w:t>.</w:t>
      </w:r>
      <w:r>
        <w:tab/>
        <w:t>Responsibilities of owner before moving cattle or buffalo</w:t>
      </w:r>
      <w:bookmarkEnd w:id="191"/>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lastRenderedPageBreak/>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92" w:name="_Toc185866347"/>
      <w:r>
        <w:rPr>
          <w:rStyle w:val="CharSectno"/>
        </w:rPr>
        <w:t>83</w:t>
      </w:r>
      <w:r>
        <w:t>.</w:t>
      </w:r>
      <w:r>
        <w:tab/>
        <w:t>Exemptions from NLIS identification</w:t>
      </w:r>
      <w:bookmarkEnd w:id="192"/>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lastRenderedPageBreak/>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193" w:name="_Toc185866348"/>
      <w:r>
        <w:rPr>
          <w:rStyle w:val="CharSectno"/>
        </w:rPr>
        <w:t>84</w:t>
      </w:r>
      <w:r>
        <w:t>.</w:t>
      </w:r>
      <w:r>
        <w:tab/>
        <w:t>Responsibilities of owner after moving animal</w:t>
      </w:r>
      <w:bookmarkEnd w:id="193"/>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lastRenderedPageBreak/>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194" w:name="_Toc185837631"/>
      <w:bookmarkStart w:id="195" w:name="_Toc185857237"/>
      <w:bookmarkStart w:id="196" w:name="_Toc185857582"/>
      <w:bookmarkStart w:id="197" w:name="_Toc185866349"/>
      <w:r>
        <w:rPr>
          <w:rStyle w:val="CharDivNo"/>
        </w:rPr>
        <w:t>Division 3</w:t>
      </w:r>
      <w:r>
        <w:t> — NLIS</w:t>
      </w:r>
      <w:r>
        <w:rPr>
          <w:rStyle w:val="CharDivText"/>
        </w:rPr>
        <w:t xml:space="preserve"> requirements for cattle and buffalo</w:t>
      </w:r>
      <w:bookmarkEnd w:id="194"/>
      <w:bookmarkEnd w:id="195"/>
      <w:bookmarkEnd w:id="196"/>
      <w:bookmarkEnd w:id="197"/>
    </w:p>
    <w:p>
      <w:pPr>
        <w:pStyle w:val="Footnoteheading"/>
      </w:pPr>
      <w:r>
        <w:tab/>
        <w:t>[Heading amended: Gazette 27 Jun 2019 p. 2418.]</w:t>
      </w:r>
    </w:p>
    <w:p>
      <w:pPr>
        <w:pStyle w:val="Heading4"/>
        <w:spacing w:before="200"/>
      </w:pPr>
      <w:bookmarkStart w:id="198" w:name="_Toc185837632"/>
      <w:bookmarkStart w:id="199" w:name="_Toc185857238"/>
      <w:bookmarkStart w:id="200" w:name="_Toc185857583"/>
      <w:bookmarkStart w:id="201" w:name="_Toc185866350"/>
      <w:r>
        <w:t>Subdivision 1 — Imported animals, animals from a pound and dead stray animals</w:t>
      </w:r>
      <w:bookmarkEnd w:id="198"/>
      <w:bookmarkEnd w:id="199"/>
      <w:bookmarkEnd w:id="200"/>
      <w:bookmarkEnd w:id="201"/>
    </w:p>
    <w:p>
      <w:pPr>
        <w:pStyle w:val="Heading5"/>
      </w:pPr>
      <w:bookmarkStart w:id="202" w:name="_Toc185866351"/>
      <w:r>
        <w:rPr>
          <w:rStyle w:val="CharSectno"/>
        </w:rPr>
        <w:t>85</w:t>
      </w:r>
      <w:r>
        <w:t>.</w:t>
      </w:r>
      <w:r>
        <w:tab/>
        <w:t>Imported cattle and buffalo</w:t>
      </w:r>
      <w:bookmarkEnd w:id="202"/>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03" w:name="_Toc185866352"/>
      <w:r>
        <w:rPr>
          <w:rStyle w:val="CharSectno"/>
        </w:rPr>
        <w:t>86</w:t>
      </w:r>
      <w:r>
        <w:t>.</w:t>
      </w:r>
      <w:r>
        <w:tab/>
        <w:t>Cattle and buffalo from a pound</w:t>
      </w:r>
      <w:bookmarkEnd w:id="203"/>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04" w:name="_Toc185866353"/>
      <w:r>
        <w:rPr>
          <w:rStyle w:val="CharSectno"/>
        </w:rPr>
        <w:t>87</w:t>
      </w:r>
      <w:r>
        <w:t>.</w:t>
      </w:r>
      <w:r>
        <w:tab/>
        <w:t>Dead stray cattle and buffalo</w:t>
      </w:r>
      <w:bookmarkEnd w:id="20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lastRenderedPageBreak/>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205" w:name="_Toc185837636"/>
      <w:bookmarkStart w:id="206" w:name="_Toc185857242"/>
      <w:bookmarkStart w:id="207" w:name="_Toc185857587"/>
      <w:bookmarkStart w:id="208" w:name="_Toc185866354"/>
      <w:r>
        <w:t>Subdivision 2 — Carriers and purchasers</w:t>
      </w:r>
      <w:bookmarkEnd w:id="205"/>
      <w:bookmarkEnd w:id="206"/>
      <w:bookmarkEnd w:id="207"/>
      <w:bookmarkEnd w:id="208"/>
    </w:p>
    <w:p>
      <w:pPr>
        <w:pStyle w:val="Heading5"/>
      </w:pPr>
      <w:bookmarkStart w:id="209" w:name="_Toc185866355"/>
      <w:r>
        <w:rPr>
          <w:rStyle w:val="CharSectno"/>
        </w:rPr>
        <w:t>88</w:t>
      </w:r>
      <w:r>
        <w:t>.</w:t>
      </w:r>
      <w:r>
        <w:tab/>
        <w:t>Responsibilities of carriers</w:t>
      </w:r>
      <w:bookmarkEnd w:id="209"/>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lastRenderedPageBreak/>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210" w:name="_Toc185866356"/>
      <w:r>
        <w:rPr>
          <w:rStyle w:val="CharSectno"/>
        </w:rPr>
        <w:t>89</w:t>
      </w:r>
      <w:r>
        <w:t>.</w:t>
      </w:r>
      <w:r>
        <w:tab/>
        <w:t>Responsibilities of purchasers</w:t>
      </w:r>
      <w:bookmarkEnd w:id="210"/>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lastRenderedPageBreak/>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211" w:name="_Toc185837639"/>
      <w:bookmarkStart w:id="212" w:name="_Toc185857245"/>
      <w:bookmarkStart w:id="213" w:name="_Toc185857590"/>
      <w:bookmarkStart w:id="214" w:name="_Toc185866357"/>
      <w:r>
        <w:t>Subdivision 3 — General provisions relating to property operators</w:t>
      </w:r>
      <w:bookmarkEnd w:id="211"/>
      <w:bookmarkEnd w:id="212"/>
      <w:bookmarkEnd w:id="213"/>
      <w:bookmarkEnd w:id="214"/>
    </w:p>
    <w:p>
      <w:pPr>
        <w:pStyle w:val="Heading5"/>
      </w:pPr>
      <w:bookmarkStart w:id="215" w:name="_Toc185866358"/>
      <w:r>
        <w:rPr>
          <w:rStyle w:val="CharSectno"/>
        </w:rPr>
        <w:t>90</w:t>
      </w:r>
      <w:r>
        <w:t>.</w:t>
      </w:r>
      <w:r>
        <w:tab/>
        <w:t>Cattle or buffalo not to be delivered to property without relevant PIC</w:t>
      </w:r>
      <w:bookmarkEnd w:id="21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16" w:name="_Toc185866359"/>
      <w:r>
        <w:rPr>
          <w:rStyle w:val="CharSectno"/>
        </w:rPr>
        <w:t>91</w:t>
      </w:r>
      <w:r>
        <w:t>.</w:t>
      </w:r>
      <w:r>
        <w:tab/>
        <w:t>Responsibilities of property operator if animal dies on or while being moved to property other than pound</w:t>
      </w:r>
      <w:bookmarkEnd w:id="216"/>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lastRenderedPageBreak/>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217" w:name="_Toc185837642"/>
      <w:bookmarkStart w:id="218" w:name="_Toc185857248"/>
      <w:bookmarkStart w:id="219" w:name="_Toc185857593"/>
      <w:bookmarkStart w:id="220" w:name="_Toc185866360"/>
      <w:r>
        <w:t>Subdivision 4 — Pounds</w:t>
      </w:r>
      <w:bookmarkEnd w:id="217"/>
      <w:bookmarkEnd w:id="218"/>
      <w:bookmarkEnd w:id="219"/>
      <w:bookmarkEnd w:id="220"/>
    </w:p>
    <w:p>
      <w:pPr>
        <w:pStyle w:val="Heading5"/>
      </w:pPr>
      <w:bookmarkStart w:id="221" w:name="_Toc185866361"/>
      <w:r>
        <w:rPr>
          <w:rStyle w:val="CharSectno"/>
        </w:rPr>
        <w:t>92</w:t>
      </w:r>
      <w:r>
        <w:t>.</w:t>
      </w:r>
      <w:r>
        <w:tab/>
        <w:t>Responsibilities of pound operator if no NLIS device applied to animal</w:t>
      </w:r>
      <w:bookmarkEnd w:id="221"/>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222" w:name="_Toc185866362"/>
      <w:r>
        <w:rPr>
          <w:rStyle w:val="CharSectno"/>
        </w:rPr>
        <w:t>93</w:t>
      </w:r>
      <w:r>
        <w:t>.</w:t>
      </w:r>
      <w:r>
        <w:tab/>
        <w:t>Responsibilities of pound operator if animal born at or while being moved to pound</w:t>
      </w:r>
      <w:bookmarkEnd w:id="22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223" w:name="_Toc185866363"/>
      <w:r>
        <w:rPr>
          <w:rStyle w:val="CharSectno"/>
        </w:rPr>
        <w:lastRenderedPageBreak/>
        <w:t>94</w:t>
      </w:r>
      <w:r>
        <w:t>.</w:t>
      </w:r>
      <w:r>
        <w:tab/>
        <w:t>Responsibilities of pound operator if NLIS device applied to animal</w:t>
      </w:r>
      <w:bookmarkEnd w:id="223"/>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224" w:name="_Toc185866364"/>
      <w:r>
        <w:rPr>
          <w:rStyle w:val="CharSectno"/>
        </w:rPr>
        <w:t>95</w:t>
      </w:r>
      <w:r>
        <w:t>.</w:t>
      </w:r>
      <w:r>
        <w:tab/>
        <w:t>Responsibilities of pound operator if animal moved from pound</w:t>
      </w:r>
      <w:bookmarkEnd w:id="224"/>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xml:space="preserve">, within 48 hours after the </w:t>
      </w:r>
      <w:r>
        <w:lastRenderedPageBreak/>
        <w:t>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225" w:name="_Toc185866365"/>
      <w:r>
        <w:rPr>
          <w:rStyle w:val="CharSectno"/>
        </w:rPr>
        <w:t>96</w:t>
      </w:r>
      <w:r>
        <w:t>.</w:t>
      </w:r>
      <w:r>
        <w:tab/>
        <w:t>Responsibilities of pound operator if animal dies on or while being moved to pound</w:t>
      </w:r>
      <w:bookmarkEnd w:id="225"/>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226" w:name="_Toc185837648"/>
      <w:bookmarkStart w:id="227" w:name="_Toc185857254"/>
      <w:bookmarkStart w:id="228" w:name="_Toc185857599"/>
      <w:bookmarkStart w:id="229" w:name="_Toc185866366"/>
      <w:r>
        <w:lastRenderedPageBreak/>
        <w:t>Subdivision 5 — Holding yards</w:t>
      </w:r>
      <w:bookmarkEnd w:id="226"/>
      <w:bookmarkEnd w:id="227"/>
      <w:bookmarkEnd w:id="228"/>
      <w:bookmarkEnd w:id="229"/>
    </w:p>
    <w:p>
      <w:pPr>
        <w:pStyle w:val="Heading5"/>
      </w:pPr>
      <w:bookmarkStart w:id="230" w:name="_Toc185866367"/>
      <w:r>
        <w:rPr>
          <w:rStyle w:val="CharSectno"/>
        </w:rPr>
        <w:t>97</w:t>
      </w:r>
      <w:r>
        <w:t>.</w:t>
      </w:r>
      <w:r>
        <w:tab/>
        <w:t>Responsibilities of holding yard operator if no NLIS device applied to animal</w:t>
      </w:r>
      <w:bookmarkEnd w:id="230"/>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231" w:name="_Toc185866368"/>
      <w:r>
        <w:rPr>
          <w:rStyle w:val="CharSectno"/>
        </w:rPr>
        <w:lastRenderedPageBreak/>
        <w:t>98</w:t>
      </w:r>
      <w:r>
        <w:t>.</w:t>
      </w:r>
      <w:r>
        <w:tab/>
        <w:t>Directions by inspectors</w:t>
      </w:r>
      <w:bookmarkEnd w:id="231"/>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232" w:name="_Toc185866369"/>
      <w:r>
        <w:rPr>
          <w:rStyle w:val="CharSectno"/>
        </w:rPr>
        <w:t>99</w:t>
      </w:r>
      <w:r>
        <w:t>.</w:t>
      </w:r>
      <w:r>
        <w:tab/>
        <w:t>Responsibilities of holding yard operator if animal born at or while being moved to holding yard</w:t>
      </w:r>
      <w:bookmarkEnd w:id="232"/>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33" w:name="_Toc185866370"/>
      <w:r>
        <w:rPr>
          <w:rStyle w:val="CharSectno"/>
        </w:rPr>
        <w:lastRenderedPageBreak/>
        <w:t>100</w:t>
      </w:r>
      <w:r>
        <w:t>.</w:t>
      </w:r>
      <w:r>
        <w:tab/>
        <w:t>Responsibilities of holding yard operator if consignment held for less than 48 hours and moved from holding yard in a single consignment</w:t>
      </w:r>
      <w:bookmarkEnd w:id="233"/>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34" w:name="_Toc185866371"/>
      <w:r>
        <w:rPr>
          <w:rStyle w:val="CharSectno"/>
        </w:rPr>
        <w:t>101</w:t>
      </w:r>
      <w:r>
        <w:t>.</w:t>
      </w:r>
      <w:r>
        <w:tab/>
        <w:t>Responsibilities of holding yard operator if animal held for less than 48 hours and moved from holding yard in different consignment</w:t>
      </w:r>
      <w:bookmarkEnd w:id="234"/>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lastRenderedPageBreak/>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35" w:name="_Toc185866372"/>
      <w:r>
        <w:rPr>
          <w:rStyle w:val="CharSectno"/>
        </w:rPr>
        <w:t>102</w:t>
      </w:r>
      <w:r>
        <w:t>.</w:t>
      </w:r>
      <w:r>
        <w:tab/>
        <w:t>Responsibilities of holding yard operator if animal held for more than 48 hours</w:t>
      </w:r>
      <w:bookmarkEnd w:id="235"/>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36" w:name="_Toc185837655"/>
      <w:bookmarkStart w:id="237" w:name="_Toc185857261"/>
      <w:bookmarkStart w:id="238" w:name="_Toc185857606"/>
      <w:bookmarkStart w:id="239" w:name="_Toc185866373"/>
      <w:r>
        <w:t>Subdivision 6 — Saleyards</w:t>
      </w:r>
      <w:bookmarkEnd w:id="236"/>
      <w:bookmarkEnd w:id="237"/>
      <w:bookmarkEnd w:id="238"/>
      <w:bookmarkEnd w:id="239"/>
    </w:p>
    <w:p>
      <w:pPr>
        <w:pStyle w:val="Heading5"/>
      </w:pPr>
      <w:bookmarkStart w:id="240" w:name="_Toc185866374"/>
      <w:r>
        <w:rPr>
          <w:rStyle w:val="CharSectno"/>
        </w:rPr>
        <w:t>103</w:t>
      </w:r>
      <w:r>
        <w:t>.</w:t>
      </w:r>
      <w:r>
        <w:tab/>
        <w:t>When saleyard to be treated as holding yard</w:t>
      </w:r>
      <w:bookmarkEnd w:id="240"/>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lastRenderedPageBreak/>
        <w:tab/>
      </w:r>
      <w:r>
        <w:tab/>
        <w:t>regulations 97 to 99 apply, with any necessary modifications, to the movement of the cattle or buffalo as if the saleyard were a holding yard.</w:t>
      </w:r>
    </w:p>
    <w:p>
      <w:pPr>
        <w:pStyle w:val="Heading5"/>
      </w:pPr>
      <w:bookmarkStart w:id="241" w:name="_Toc185866375"/>
      <w:r>
        <w:rPr>
          <w:rStyle w:val="CharSectno"/>
        </w:rPr>
        <w:t>104</w:t>
      </w:r>
      <w:r>
        <w:t>.</w:t>
      </w:r>
      <w:r>
        <w:tab/>
        <w:t>Responsibilities of saleyard operator if no NLIS device applied to animal</w:t>
      </w:r>
      <w:bookmarkEnd w:id="241"/>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42" w:name="_Toc185866376"/>
      <w:r>
        <w:rPr>
          <w:rStyle w:val="CharSectno"/>
        </w:rPr>
        <w:t>105</w:t>
      </w:r>
      <w:r>
        <w:t>.</w:t>
      </w:r>
      <w:r>
        <w:tab/>
        <w:t>Directions by inspectors</w:t>
      </w:r>
      <w:bookmarkEnd w:id="242"/>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43" w:name="_Toc185866377"/>
      <w:r>
        <w:rPr>
          <w:rStyle w:val="CharSectno"/>
        </w:rPr>
        <w:t>106</w:t>
      </w:r>
      <w:r>
        <w:t>.</w:t>
      </w:r>
      <w:r>
        <w:tab/>
        <w:t>Responsibilities of saleyard operator if animal born at or while being moved to saleyard</w:t>
      </w:r>
      <w:bookmarkEnd w:id="243"/>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44" w:name="_Toc185866378"/>
      <w:r>
        <w:rPr>
          <w:rStyle w:val="CharSectno"/>
        </w:rPr>
        <w:t>107</w:t>
      </w:r>
      <w:r>
        <w:t>.</w:t>
      </w:r>
      <w:r>
        <w:tab/>
        <w:t>Responsibilities of saleyard operator if NLIS device applied to animal</w:t>
      </w:r>
      <w:bookmarkEnd w:id="244"/>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45" w:name="_Toc185866379"/>
      <w:r>
        <w:rPr>
          <w:rStyle w:val="CharSectno"/>
        </w:rPr>
        <w:t>108</w:t>
      </w:r>
      <w:r>
        <w:t>.</w:t>
      </w:r>
      <w:r>
        <w:tab/>
        <w:t>Responsibilities of saleyard operator if animal moved from saleyard</w:t>
      </w:r>
      <w:bookmarkEnd w:id="245"/>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xml:space="preserve">, within 48 hours after the </w:t>
      </w:r>
      <w:r>
        <w:lastRenderedPageBreak/>
        <w:t>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46" w:name="_Toc185837662"/>
      <w:bookmarkStart w:id="247" w:name="_Toc185857268"/>
      <w:bookmarkStart w:id="248" w:name="_Toc185857613"/>
      <w:bookmarkStart w:id="249" w:name="_Toc185866380"/>
      <w:r>
        <w:t>Subdivision 7 — Abattoirs</w:t>
      </w:r>
      <w:bookmarkEnd w:id="246"/>
      <w:bookmarkEnd w:id="247"/>
      <w:bookmarkEnd w:id="248"/>
      <w:bookmarkEnd w:id="249"/>
    </w:p>
    <w:p>
      <w:pPr>
        <w:pStyle w:val="Heading5"/>
      </w:pPr>
      <w:bookmarkStart w:id="250" w:name="_Toc185866381"/>
      <w:r>
        <w:rPr>
          <w:rStyle w:val="CharSectno"/>
        </w:rPr>
        <w:t>109</w:t>
      </w:r>
      <w:r>
        <w:t>.</w:t>
      </w:r>
      <w:r>
        <w:tab/>
        <w:t>Responsibilities of abattoir operator if no NLIS device is applied to animal</w:t>
      </w:r>
      <w:bookmarkEnd w:id="250"/>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lastRenderedPageBreak/>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lastRenderedPageBreak/>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51" w:name="_Toc185866382"/>
      <w:r>
        <w:rPr>
          <w:rStyle w:val="CharSectno"/>
        </w:rPr>
        <w:t>110</w:t>
      </w:r>
      <w:r>
        <w:t>.</w:t>
      </w:r>
      <w:r>
        <w:tab/>
        <w:t>Directions by inspectors</w:t>
      </w:r>
      <w:bookmarkEnd w:id="251"/>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52" w:name="_Toc185866383"/>
      <w:r>
        <w:rPr>
          <w:rStyle w:val="CharSectno"/>
        </w:rPr>
        <w:lastRenderedPageBreak/>
        <w:t>111</w:t>
      </w:r>
      <w:r>
        <w:t>.</w:t>
      </w:r>
      <w:r>
        <w:tab/>
        <w:t>Responsibilities of abattoir operator if animal born at or while being moved to abattoir</w:t>
      </w:r>
      <w:bookmarkEnd w:id="252"/>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53" w:name="_Toc185866384"/>
      <w:r>
        <w:rPr>
          <w:rStyle w:val="CharSectno"/>
        </w:rPr>
        <w:t>112</w:t>
      </w:r>
      <w:r>
        <w:t>.</w:t>
      </w:r>
      <w:r>
        <w:tab/>
      </w:r>
      <w:r>
        <w:rPr>
          <w:snapToGrid w:val="0"/>
        </w:rPr>
        <w:t>Responsibilities of abattoir operator if NLIS device applied to animal</w:t>
      </w:r>
      <w:bookmarkEnd w:id="253"/>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lastRenderedPageBreak/>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lastRenderedPageBreak/>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54" w:name="_Toc185866385"/>
      <w:r>
        <w:rPr>
          <w:rStyle w:val="CharSectno"/>
        </w:rPr>
        <w:t>113</w:t>
      </w:r>
      <w:r>
        <w:t>.</w:t>
      </w:r>
      <w:r>
        <w:tab/>
        <w:t>Responsibilities of abattoir operator if animal exempt from NLIS identification</w:t>
      </w:r>
      <w:bookmarkEnd w:id="254"/>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lastRenderedPageBreak/>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55" w:name="_Toc185866386"/>
      <w:r>
        <w:rPr>
          <w:rStyle w:val="CharSectno"/>
        </w:rPr>
        <w:t>114</w:t>
      </w:r>
      <w:r>
        <w:t>.</w:t>
      </w:r>
      <w:r>
        <w:tab/>
      </w:r>
      <w:r>
        <w:rPr>
          <w:snapToGrid w:val="0"/>
        </w:rPr>
        <w:t>Slaughtered animals moved to pet food processing plants</w:t>
      </w:r>
      <w:bookmarkEnd w:id="255"/>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lastRenderedPageBreak/>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56" w:name="_Toc185837669"/>
      <w:bookmarkStart w:id="257" w:name="_Toc185857275"/>
      <w:bookmarkStart w:id="258" w:name="_Toc185857620"/>
      <w:bookmarkStart w:id="259" w:name="_Toc185866387"/>
      <w:r>
        <w:t>Subdivision 8 — Export depots</w:t>
      </w:r>
      <w:bookmarkEnd w:id="256"/>
      <w:bookmarkEnd w:id="257"/>
      <w:bookmarkEnd w:id="258"/>
      <w:bookmarkEnd w:id="259"/>
    </w:p>
    <w:p>
      <w:pPr>
        <w:pStyle w:val="Heading5"/>
      </w:pPr>
      <w:bookmarkStart w:id="260" w:name="_Toc185866388"/>
      <w:r>
        <w:rPr>
          <w:rStyle w:val="CharSectno"/>
        </w:rPr>
        <w:t>115</w:t>
      </w:r>
      <w:r>
        <w:t>.</w:t>
      </w:r>
      <w:r>
        <w:tab/>
        <w:t>Responsibilities of export depot operator if no NLIS device applied to animal</w:t>
      </w:r>
      <w:bookmarkEnd w:id="260"/>
    </w:p>
    <w:p>
      <w:pPr>
        <w:pStyle w:val="Subsection"/>
        <w:keepNext/>
      </w:pPr>
      <w:r>
        <w:tab/>
        <w:t>(1)</w:t>
      </w:r>
      <w:r>
        <w:tab/>
      </w:r>
      <w:r>
        <w:rPr>
          <w:snapToGrid w:val="0"/>
        </w:rPr>
        <w:t>Unless</w:t>
      </w:r>
      <w:r>
        <w:t xml:space="preserve"> an inspector in a particular case approves otherwise, if an animal to which an NLIS device is not applied is moved to an </w:t>
      </w:r>
      <w:r>
        <w:lastRenderedPageBreak/>
        <w:t xml:space="preserve">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lastRenderedPageBreak/>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61" w:name="_Toc185866389"/>
      <w:r>
        <w:rPr>
          <w:rStyle w:val="CharSectno"/>
        </w:rPr>
        <w:t>116</w:t>
      </w:r>
      <w:r>
        <w:t>.</w:t>
      </w:r>
      <w:r>
        <w:tab/>
        <w:t>Directions by inspectors</w:t>
      </w:r>
      <w:bookmarkEnd w:id="261"/>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62" w:name="_Toc185866390"/>
      <w:r>
        <w:rPr>
          <w:rStyle w:val="CharSectno"/>
        </w:rPr>
        <w:t>117</w:t>
      </w:r>
      <w:r>
        <w:t>.</w:t>
      </w:r>
      <w:r>
        <w:tab/>
        <w:t>Responsibilities of export depot operator if animal born at or while being moved to export depot</w:t>
      </w:r>
      <w:bookmarkEnd w:id="262"/>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lastRenderedPageBreak/>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63" w:name="_Toc185866391"/>
      <w:r>
        <w:rPr>
          <w:rStyle w:val="CharSectno"/>
        </w:rPr>
        <w:t>118</w:t>
      </w:r>
      <w:r>
        <w:t>.</w:t>
      </w:r>
      <w:r>
        <w:tab/>
        <w:t>Other responsibilities of export depot operators</w:t>
      </w:r>
      <w:bookmarkEnd w:id="263"/>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lastRenderedPageBreak/>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keepNext/>
      </w:pPr>
      <w:r>
        <w:tab/>
        <w:t>(6)</w:t>
      </w:r>
      <w:r>
        <w:tab/>
        <w:t xml:space="preserve">An export depot operator must not, without the approval of an inspector, move or permit to be moved from the export depot an </w:t>
      </w:r>
      <w:r>
        <w:lastRenderedPageBreak/>
        <w:t>animal to which an NLIS device is applied unless the device is functioning.</w:t>
      </w:r>
    </w:p>
    <w:p>
      <w:pPr>
        <w:pStyle w:val="Penstart"/>
        <w:keepNext/>
      </w:pPr>
      <w:r>
        <w:tab/>
        <w:t>Penalty for this subregulation: a fine of $5 000.</w:t>
      </w:r>
    </w:p>
    <w:p>
      <w:pPr>
        <w:pStyle w:val="Footnotesection"/>
      </w:pPr>
      <w:r>
        <w:tab/>
        <w:t>[Regulation 118 amended: Gazette 27 Jun 2019 p. 2423; SL 2021/204 r. 14.]</w:t>
      </w:r>
    </w:p>
    <w:p>
      <w:pPr>
        <w:pStyle w:val="Heading2"/>
      </w:pPr>
      <w:bookmarkStart w:id="264" w:name="_Toc185837674"/>
      <w:bookmarkStart w:id="265" w:name="_Toc185857280"/>
      <w:bookmarkStart w:id="266" w:name="_Toc185857625"/>
      <w:bookmarkStart w:id="267" w:name="_Toc185866392"/>
      <w:r>
        <w:rPr>
          <w:rStyle w:val="CharPartNo"/>
        </w:rPr>
        <w:lastRenderedPageBreak/>
        <w:t>Part 6</w:t>
      </w:r>
      <w:r>
        <w:t> — </w:t>
      </w:r>
      <w:r>
        <w:rPr>
          <w:rStyle w:val="CharPartText"/>
        </w:rPr>
        <w:t>Identifying pigs</w:t>
      </w:r>
      <w:bookmarkEnd w:id="264"/>
      <w:bookmarkEnd w:id="265"/>
      <w:bookmarkEnd w:id="266"/>
      <w:bookmarkEnd w:id="267"/>
    </w:p>
    <w:p>
      <w:pPr>
        <w:pStyle w:val="Footnoteheading"/>
      </w:pPr>
      <w:r>
        <w:tab/>
        <w:t>[Heading amended: Gazette 27 Jun 2019 p. 2424; SL 2024/264 r. 13.]</w:t>
      </w:r>
    </w:p>
    <w:p>
      <w:pPr>
        <w:pStyle w:val="Ednotedivision"/>
      </w:pPr>
      <w:bookmarkStart w:id="268" w:name="_Toc185837675"/>
      <w:r>
        <w:t>[Division 1 (r. 119) deleted: SL 2024/264 r. 6.]</w:t>
      </w:r>
    </w:p>
    <w:p>
      <w:pPr>
        <w:pStyle w:val="Heading3"/>
      </w:pPr>
      <w:bookmarkStart w:id="269" w:name="_Toc185837677"/>
      <w:bookmarkStart w:id="270" w:name="_Toc185857281"/>
      <w:bookmarkStart w:id="271" w:name="_Toc185857626"/>
      <w:bookmarkStart w:id="272" w:name="_Toc185866393"/>
      <w:bookmarkEnd w:id="268"/>
      <w:r>
        <w:rPr>
          <w:rStyle w:val="CharDivNo"/>
        </w:rPr>
        <w:t>Division 2</w:t>
      </w:r>
      <w:r>
        <w:t> — </w:t>
      </w:r>
      <w:r>
        <w:rPr>
          <w:rStyle w:val="CharDivText"/>
        </w:rPr>
        <w:t>Owners of pigs</w:t>
      </w:r>
      <w:bookmarkEnd w:id="269"/>
      <w:bookmarkEnd w:id="270"/>
      <w:bookmarkEnd w:id="271"/>
      <w:bookmarkEnd w:id="272"/>
    </w:p>
    <w:p>
      <w:pPr>
        <w:pStyle w:val="Footnoteheading"/>
      </w:pPr>
      <w:r>
        <w:tab/>
        <w:t>[Heading amended: Gazette 27 Jun 2019 p. 2424; SL 2024/264 r. 13.]</w:t>
      </w:r>
    </w:p>
    <w:p>
      <w:pPr>
        <w:pStyle w:val="Ednotesubdivision"/>
      </w:pPr>
      <w:bookmarkStart w:id="273" w:name="_Toc185837678"/>
      <w:r>
        <w:t>[Subdivisions 1 (r. 120-123) and 2 (r. 124-127) deleted: SL 2024/264 r. 7.]</w:t>
      </w:r>
    </w:p>
    <w:p>
      <w:pPr>
        <w:pStyle w:val="Heading4"/>
      </w:pPr>
      <w:bookmarkStart w:id="274" w:name="_Toc185837688"/>
      <w:bookmarkStart w:id="275" w:name="_Toc185857282"/>
      <w:bookmarkStart w:id="276" w:name="_Toc185857627"/>
      <w:bookmarkStart w:id="277" w:name="_Toc185866394"/>
      <w:bookmarkEnd w:id="273"/>
      <w:r>
        <w:t>Subdivision 2A — Identifiers for pigs</w:t>
      </w:r>
      <w:bookmarkEnd w:id="274"/>
      <w:bookmarkEnd w:id="275"/>
      <w:bookmarkEnd w:id="276"/>
      <w:bookmarkEnd w:id="277"/>
    </w:p>
    <w:p>
      <w:pPr>
        <w:pStyle w:val="Footnoteheading"/>
      </w:pPr>
      <w:r>
        <w:tab/>
        <w:t>[Heading inserted: Gazette 27 Jun 2019 p. 2428.]</w:t>
      </w:r>
    </w:p>
    <w:p>
      <w:pPr>
        <w:pStyle w:val="Heading5"/>
      </w:pPr>
      <w:bookmarkStart w:id="278" w:name="_Toc185866395"/>
      <w:r>
        <w:rPr>
          <w:rStyle w:val="CharSectno"/>
        </w:rPr>
        <w:t>127A</w:t>
      </w:r>
      <w:r>
        <w:t>.</w:t>
      </w:r>
      <w:r>
        <w:tab/>
        <w:t>Owners to identify pigs</w:t>
      </w:r>
      <w:bookmarkEnd w:id="278"/>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lastRenderedPageBreak/>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79" w:name="_Toc185866396"/>
      <w:r>
        <w:rPr>
          <w:rStyle w:val="CharSectno"/>
        </w:rPr>
        <w:t>127B</w:t>
      </w:r>
      <w:r>
        <w:t>.</w:t>
      </w:r>
      <w:r>
        <w:tab/>
        <w:t>Exemption for unweaned pigs</w:t>
      </w:r>
      <w:bookmarkEnd w:id="279"/>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280" w:name="_Toc185866397"/>
      <w:r>
        <w:rPr>
          <w:rStyle w:val="CharSectno"/>
        </w:rPr>
        <w:t>127C</w:t>
      </w:r>
      <w:r>
        <w:t>.</w:t>
      </w:r>
      <w:r>
        <w:tab/>
        <w:t>Requirements for slap brands</w:t>
      </w:r>
      <w:bookmarkEnd w:id="280"/>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lastRenderedPageBreak/>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281" w:name="_Toc185837692"/>
      <w:bookmarkStart w:id="282" w:name="_Toc185857286"/>
      <w:bookmarkStart w:id="283" w:name="_Toc185857631"/>
      <w:bookmarkStart w:id="284" w:name="_Toc185866398"/>
      <w:r>
        <w:t>Subdivision 3 — NLIS requirements for pigs</w:t>
      </w:r>
      <w:bookmarkEnd w:id="281"/>
      <w:bookmarkEnd w:id="282"/>
      <w:bookmarkEnd w:id="283"/>
      <w:bookmarkEnd w:id="284"/>
      <w:r>
        <w:t xml:space="preserve"> </w:t>
      </w:r>
    </w:p>
    <w:p>
      <w:pPr>
        <w:pStyle w:val="Footnoteheading"/>
        <w:keepNext/>
      </w:pPr>
      <w:r>
        <w:tab/>
        <w:t>[Heading inserted: Gazette 27 Jun 2019 p. 2429; amended: SL 2024/264 r. 13.]</w:t>
      </w:r>
    </w:p>
    <w:p>
      <w:pPr>
        <w:pStyle w:val="Ednotesection"/>
        <w:rPr>
          <w:i w:val="0"/>
        </w:rPr>
      </w:pPr>
      <w:r>
        <w:t>[</w:t>
      </w:r>
      <w:r>
        <w:rPr>
          <w:b/>
          <w:bCs/>
        </w:rPr>
        <w:t>128, 129.</w:t>
      </w:r>
      <w:r>
        <w:t xml:space="preserve"> </w:t>
      </w:r>
      <w:r>
        <w:tab/>
        <w:t>Deleted: SL 2024/264 r. 8.]</w:t>
      </w:r>
    </w:p>
    <w:p>
      <w:pPr>
        <w:pStyle w:val="Heading5"/>
      </w:pPr>
      <w:bookmarkStart w:id="285" w:name="_Toc185866399"/>
      <w:r>
        <w:rPr>
          <w:rStyle w:val="CharSectno"/>
        </w:rPr>
        <w:t>129A</w:t>
      </w:r>
      <w:r>
        <w:t>.</w:t>
      </w:r>
      <w:r>
        <w:tab/>
        <w:t>Responsibilities of owner before moving pigs</w:t>
      </w:r>
      <w:bookmarkEnd w:id="285"/>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lastRenderedPageBreak/>
        <w:tab/>
        <w:t>Penalty for this subregulation: a fine of $5 000.</w:t>
      </w:r>
    </w:p>
    <w:p>
      <w:pPr>
        <w:pStyle w:val="Footnotesection"/>
      </w:pPr>
      <w:r>
        <w:tab/>
        <w:t>[Regulation 129A inserted: Gazette 27 Jun 2019 p. 2430</w:t>
      </w:r>
      <w:r>
        <w:noBreakHyphen/>
        <w:t>1.]</w:t>
      </w:r>
    </w:p>
    <w:p>
      <w:pPr>
        <w:pStyle w:val="Heading5"/>
      </w:pPr>
      <w:bookmarkStart w:id="286" w:name="_Toc185866400"/>
      <w:r>
        <w:rPr>
          <w:rStyle w:val="CharSectno"/>
        </w:rPr>
        <w:t>129B</w:t>
      </w:r>
      <w:r>
        <w:t>.</w:t>
      </w:r>
      <w:r>
        <w:tab/>
        <w:t>Exemptions from identification of pigs</w:t>
      </w:r>
      <w:bookmarkEnd w:id="286"/>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287" w:name="_Toc185866401"/>
      <w:r>
        <w:rPr>
          <w:rStyle w:val="CharSectno"/>
        </w:rPr>
        <w:t>130</w:t>
      </w:r>
      <w:r>
        <w:t>.</w:t>
      </w:r>
      <w:r>
        <w:tab/>
      </w:r>
      <w:r>
        <w:rPr>
          <w:bCs/>
        </w:rPr>
        <w:t>Responsibilities of owner after moving pig</w:t>
      </w:r>
      <w:bookmarkEnd w:id="287"/>
    </w:p>
    <w:p>
      <w:pPr>
        <w:pStyle w:val="Subsection"/>
        <w:keepNext/>
        <w:rPr>
          <w:snapToGrid w:val="0"/>
        </w:rPr>
      </w:pPr>
      <w:r>
        <w:tab/>
        <w:t>(1)</w:t>
      </w:r>
      <w:r>
        <w:tab/>
        <w:t xml:space="preserve">Except as provided in subregulation (3), if an owner of a pig causes or permits a consignment of one or more pigs to be moved from a property on which the pig is, or pigs are, kept to a property without the same relevant PIC, </w:t>
      </w:r>
      <w:r>
        <w:rPr>
          <w:snapToGrid w:val="0"/>
        </w:rPr>
        <w:t xml:space="preserve">the owner must, within </w:t>
      </w:r>
      <w:r>
        <w:rPr>
          <w:snapToGrid w:val="0"/>
        </w:rPr>
        <w:lastRenderedPageBreak/>
        <w:t xml:space="preserve">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pig in a consignment to which an NLIS device is applied, if the owner, </w:t>
      </w:r>
      <w:r>
        <w:rPr>
          <w:snapToGrid w:val="0"/>
        </w:rPr>
        <w:t xml:space="preserve">within 48 hours </w:t>
      </w:r>
      <w:r>
        <w:t>after the pig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pig or pigs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 amended: SL 2024/264 r. 13.]</w:t>
      </w:r>
    </w:p>
    <w:p>
      <w:pPr>
        <w:pStyle w:val="Heading3"/>
      </w:pPr>
      <w:bookmarkStart w:id="288" w:name="_Toc185837698"/>
      <w:bookmarkStart w:id="289" w:name="_Toc185857290"/>
      <w:bookmarkStart w:id="290" w:name="_Toc185857635"/>
      <w:bookmarkStart w:id="291" w:name="_Toc185866402"/>
      <w:r>
        <w:rPr>
          <w:rStyle w:val="CharDivNo"/>
        </w:rPr>
        <w:lastRenderedPageBreak/>
        <w:t>Division 3</w:t>
      </w:r>
      <w:r>
        <w:t> — </w:t>
      </w:r>
      <w:r>
        <w:rPr>
          <w:rStyle w:val="CharDivText"/>
        </w:rPr>
        <w:t>Other NLIS requirements for pigs</w:t>
      </w:r>
      <w:bookmarkEnd w:id="288"/>
      <w:bookmarkEnd w:id="289"/>
      <w:bookmarkEnd w:id="290"/>
      <w:bookmarkEnd w:id="291"/>
    </w:p>
    <w:p>
      <w:pPr>
        <w:pStyle w:val="Footnoteheading"/>
      </w:pPr>
      <w:r>
        <w:tab/>
        <w:t>[Heading inserted: Gazette 27 Jun 2019 p. 2432; amended: SL 2024/264 r. 13.]</w:t>
      </w:r>
    </w:p>
    <w:p>
      <w:pPr>
        <w:pStyle w:val="Heading4"/>
      </w:pPr>
      <w:bookmarkStart w:id="292" w:name="_Toc185837699"/>
      <w:bookmarkStart w:id="293" w:name="_Toc185857291"/>
      <w:bookmarkStart w:id="294" w:name="_Toc185857636"/>
      <w:bookmarkStart w:id="295" w:name="_Toc185866403"/>
      <w:r>
        <w:t xml:space="preserve">Subdivision 1 — Imported pigs, pigs from a pound and dead stray </w:t>
      </w:r>
      <w:bookmarkEnd w:id="292"/>
      <w:r>
        <w:t>pigs</w:t>
      </w:r>
      <w:bookmarkEnd w:id="293"/>
      <w:bookmarkEnd w:id="294"/>
      <w:bookmarkEnd w:id="295"/>
    </w:p>
    <w:p>
      <w:pPr>
        <w:pStyle w:val="Footnoteheading"/>
      </w:pPr>
      <w:r>
        <w:tab/>
        <w:t>[Heading amended: SL 2024/264 r. 13.]</w:t>
      </w:r>
    </w:p>
    <w:p>
      <w:pPr>
        <w:pStyle w:val="Heading5"/>
      </w:pPr>
      <w:bookmarkStart w:id="296" w:name="_Toc185866404"/>
      <w:r>
        <w:rPr>
          <w:rStyle w:val="CharSectno"/>
        </w:rPr>
        <w:t>131</w:t>
      </w:r>
      <w:r>
        <w:t>.</w:t>
      </w:r>
      <w:r>
        <w:tab/>
      </w:r>
      <w:r>
        <w:rPr>
          <w:bCs/>
        </w:rPr>
        <w:t>Imported pigs</w:t>
      </w:r>
      <w:bookmarkEnd w:id="296"/>
    </w:p>
    <w:p>
      <w:pPr>
        <w:pStyle w:val="Subsection"/>
      </w:pPr>
      <w:r>
        <w:tab/>
      </w:r>
      <w:r>
        <w:tab/>
        <w:t>A person must not take possession or control of an imported pig unless the pig has an NLIS identifier applied to it.</w:t>
      </w:r>
    </w:p>
    <w:p>
      <w:pPr>
        <w:pStyle w:val="Penstart"/>
      </w:pPr>
      <w:r>
        <w:tab/>
        <w:t>Penalty: a fine of $5 000.</w:t>
      </w:r>
    </w:p>
    <w:p>
      <w:pPr>
        <w:pStyle w:val="Footnotesection"/>
      </w:pPr>
      <w:r>
        <w:tab/>
        <w:t>[Regulation 131 amended: SL 2024/264 r. 13.]</w:t>
      </w:r>
    </w:p>
    <w:p>
      <w:pPr>
        <w:pStyle w:val="Heading5"/>
      </w:pPr>
      <w:bookmarkStart w:id="297" w:name="_Toc185866405"/>
      <w:r>
        <w:rPr>
          <w:rStyle w:val="CharSectno"/>
        </w:rPr>
        <w:t>132</w:t>
      </w:r>
      <w:r>
        <w:t>.</w:t>
      </w:r>
      <w:r>
        <w:tab/>
      </w:r>
      <w:r>
        <w:rPr>
          <w:bCs/>
        </w:rPr>
        <w:t>Pigs from pound</w:t>
      </w:r>
      <w:bookmarkEnd w:id="297"/>
    </w:p>
    <w:p>
      <w:pPr>
        <w:pStyle w:val="Subsection"/>
      </w:pPr>
      <w:r>
        <w:tab/>
      </w:r>
      <w:r>
        <w:tab/>
        <w:t>A person must not take possession or control of a pig from a pound unless the pig has an NLIS identifier applied to it.</w:t>
      </w:r>
    </w:p>
    <w:p>
      <w:pPr>
        <w:pStyle w:val="Penstart"/>
      </w:pPr>
      <w:r>
        <w:tab/>
        <w:t>Penalty: a fine of $5 000.</w:t>
      </w:r>
    </w:p>
    <w:p>
      <w:pPr>
        <w:pStyle w:val="Footnotesection"/>
      </w:pPr>
      <w:r>
        <w:tab/>
        <w:t>[Regulation 132 amended: SL 2024/264 r. 13.]</w:t>
      </w:r>
    </w:p>
    <w:p>
      <w:pPr>
        <w:pStyle w:val="Heading5"/>
      </w:pPr>
      <w:bookmarkStart w:id="298" w:name="_Toc185866406"/>
      <w:r>
        <w:rPr>
          <w:rStyle w:val="CharSectno"/>
        </w:rPr>
        <w:t>133</w:t>
      </w:r>
      <w:r>
        <w:t>.</w:t>
      </w:r>
      <w:r>
        <w:tab/>
      </w:r>
      <w:r>
        <w:rPr>
          <w:bCs/>
        </w:rPr>
        <w:t>Dead stray pigs</w:t>
      </w:r>
      <w:bookmarkEnd w:id="298"/>
    </w:p>
    <w:p>
      <w:pPr>
        <w:pStyle w:val="Subsection"/>
        <w:keepNext/>
      </w:pPr>
      <w:r>
        <w:tab/>
        <w:t>(1)</w:t>
      </w:r>
      <w:r>
        <w:tab/>
        <w:t xml:space="preserve">In this regulation — </w:t>
      </w:r>
    </w:p>
    <w:p>
      <w:pPr>
        <w:pStyle w:val="Defstart"/>
      </w:pPr>
      <w:r>
        <w:tab/>
      </w:r>
      <w:r>
        <w:rPr>
          <w:rStyle w:val="CharDefText"/>
        </w:rPr>
        <w:t>NLIS identified pig</w:t>
      </w:r>
      <w:r>
        <w:t xml:space="preserve"> means a pig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pig or destroys an NLIS identified pig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lastRenderedPageBreak/>
        <w:tab/>
        <w:t>(3)</w:t>
      </w:r>
      <w:r>
        <w:tab/>
        <w:t xml:space="preserve">If this regulation applies, the local government must, within 48 hours after the NLIS identified pig is found dead or is destroyed, update the NLIS database in relation to the pig’s NLIS device by recording the following — </w:t>
      </w:r>
    </w:p>
    <w:p>
      <w:pPr>
        <w:pStyle w:val="Indenta"/>
      </w:pPr>
      <w:r>
        <w:tab/>
        <w:t>(a)</w:t>
      </w:r>
      <w:r>
        <w:tab/>
        <w:t>the PIC of the pound operated by the local government;</w:t>
      </w:r>
    </w:p>
    <w:p>
      <w:pPr>
        <w:pStyle w:val="Indenta"/>
      </w:pPr>
      <w:r>
        <w:tab/>
        <w:t>(b)</w:t>
      </w:r>
      <w:r>
        <w:tab/>
        <w:t>the date the pig was found dead or was destroyed.</w:t>
      </w:r>
    </w:p>
    <w:p>
      <w:pPr>
        <w:pStyle w:val="Penstart"/>
      </w:pPr>
      <w:r>
        <w:tab/>
        <w:t>Penalty for this subregulation: a fine of $2 000.</w:t>
      </w:r>
    </w:p>
    <w:p>
      <w:pPr>
        <w:pStyle w:val="Footnotesection"/>
      </w:pPr>
      <w:r>
        <w:tab/>
        <w:t>[Regulation 133 amended: SL 2021/204 r. 14; SL 2024/264 r. 13.]</w:t>
      </w:r>
    </w:p>
    <w:p>
      <w:pPr>
        <w:pStyle w:val="Heading4"/>
      </w:pPr>
      <w:bookmarkStart w:id="299" w:name="_Toc185837703"/>
      <w:bookmarkStart w:id="300" w:name="_Toc185857296"/>
      <w:bookmarkStart w:id="301" w:name="_Toc185857640"/>
      <w:bookmarkStart w:id="302" w:name="_Toc185866407"/>
      <w:r>
        <w:t>Subdivision 2 — Carriers and purchasers</w:t>
      </w:r>
      <w:bookmarkEnd w:id="299"/>
      <w:bookmarkEnd w:id="300"/>
      <w:bookmarkEnd w:id="301"/>
      <w:bookmarkEnd w:id="302"/>
    </w:p>
    <w:p>
      <w:pPr>
        <w:pStyle w:val="Heading5"/>
      </w:pPr>
      <w:bookmarkStart w:id="303" w:name="_Toc185866408"/>
      <w:r>
        <w:rPr>
          <w:rStyle w:val="CharSectno"/>
        </w:rPr>
        <w:t>134</w:t>
      </w:r>
      <w:r>
        <w:t>.</w:t>
      </w:r>
      <w:r>
        <w:tab/>
        <w:t>Responsibilities of carriers</w:t>
      </w:r>
      <w:bookmarkEnd w:id="303"/>
    </w:p>
    <w:p>
      <w:pPr>
        <w:pStyle w:val="Subsection"/>
      </w:pPr>
      <w:r>
        <w:tab/>
        <w:t>(1)</w:t>
      </w:r>
      <w:r>
        <w:tab/>
        <w:t>A carrier moving a pig from a property to a holding yard must, as soon as practicable after arriving there, endorse on the transport document relating to the pig —</w:t>
      </w:r>
    </w:p>
    <w:p>
      <w:pPr>
        <w:pStyle w:val="Indenta"/>
      </w:pPr>
      <w:r>
        <w:tab/>
        <w:t>(a)</w:t>
      </w:r>
      <w:r>
        <w:tab/>
        <w:t>the relevant PIC of the holding yard; and</w:t>
      </w:r>
    </w:p>
    <w:p>
      <w:pPr>
        <w:pStyle w:val="Indenta"/>
      </w:pPr>
      <w:r>
        <w:tab/>
        <w:t>(b)</w:t>
      </w:r>
      <w:r>
        <w:tab/>
        <w:t>the relevant PIC of the property to which the pig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w:t>
      </w:r>
      <w:r>
        <w:t>a pig</w:t>
      </w:r>
      <w:r>
        <w:rPr>
          <w:snapToGrid w:val="0"/>
        </w:rPr>
        <w:t xml:space="preserve"> to which an NLIS identifier is not applied, the carrier must keep the </w:t>
      </w:r>
      <w:r>
        <w:t>pig separate from —</w:t>
      </w:r>
    </w:p>
    <w:p>
      <w:pPr>
        <w:pStyle w:val="Indenta"/>
      </w:pPr>
      <w:r>
        <w:tab/>
        <w:t>(a)</w:t>
      </w:r>
      <w:r>
        <w:tab/>
        <w:t>any pig to which an NLIS identifier is applied; and</w:t>
      </w:r>
    </w:p>
    <w:p>
      <w:pPr>
        <w:pStyle w:val="Indenta"/>
      </w:pPr>
      <w:r>
        <w:tab/>
        <w:t>(b)</w:t>
      </w:r>
      <w:r>
        <w:tab/>
        <w:t>any pig being moved from another property.</w:t>
      </w:r>
    </w:p>
    <w:p>
      <w:pPr>
        <w:pStyle w:val="Penstart"/>
      </w:pPr>
      <w:r>
        <w:tab/>
        <w:t>Penalty for this subregulation: a fine of $2 000.</w:t>
      </w:r>
    </w:p>
    <w:p>
      <w:pPr>
        <w:pStyle w:val="Footnotesection"/>
      </w:pPr>
      <w:r>
        <w:tab/>
        <w:t>[Regulation 134 amended: SL 2021/204 r. 14; SL 2024/264 r. 13.]</w:t>
      </w:r>
    </w:p>
    <w:p>
      <w:pPr>
        <w:pStyle w:val="Heading5"/>
      </w:pPr>
      <w:bookmarkStart w:id="304" w:name="_Toc185866409"/>
      <w:r>
        <w:rPr>
          <w:rStyle w:val="CharSectno"/>
        </w:rPr>
        <w:lastRenderedPageBreak/>
        <w:t>135</w:t>
      </w:r>
      <w:r>
        <w:t>.</w:t>
      </w:r>
      <w:r>
        <w:tab/>
        <w:t>Responsibilities of purchasers</w:t>
      </w:r>
      <w:bookmarkEnd w:id="304"/>
    </w:p>
    <w:p>
      <w:pPr>
        <w:pStyle w:val="Subsection"/>
      </w:pPr>
      <w:r>
        <w:tab/>
        <w:t>(1)</w:t>
      </w:r>
      <w:r>
        <w:tab/>
        <w:t>A purchaser of a pig at a property, other than a saleyard, must, when requested by the property operator, give the</w:t>
      </w:r>
      <w:r>
        <w:rPr>
          <w:snapToGrid w:val="0"/>
        </w:rPr>
        <w:t xml:space="preserve"> relevant PIC of the property </w:t>
      </w:r>
      <w:r>
        <w:t>to which the pig is to be moved.</w:t>
      </w:r>
    </w:p>
    <w:p>
      <w:pPr>
        <w:pStyle w:val="Penstart"/>
      </w:pPr>
      <w:r>
        <w:tab/>
        <w:t>Penalty for this subregulation: a fine of $5 000.</w:t>
      </w:r>
    </w:p>
    <w:p>
      <w:pPr>
        <w:pStyle w:val="Subsection"/>
        <w:keepNext/>
      </w:pPr>
      <w:r>
        <w:tab/>
        <w:t>(2)</w:t>
      </w:r>
      <w:r>
        <w:tab/>
        <w:t>A purchaser of a pig at a saleyard must, when requested by the saleyard operator, give the saleyard operator either —</w:t>
      </w:r>
    </w:p>
    <w:p>
      <w:pPr>
        <w:pStyle w:val="Indenta"/>
      </w:pPr>
      <w:r>
        <w:tab/>
        <w:t>(a)</w:t>
      </w:r>
      <w:r>
        <w:tab/>
        <w:t>the relevant</w:t>
      </w:r>
      <w:r>
        <w:rPr>
          <w:snapToGrid w:val="0"/>
        </w:rPr>
        <w:t xml:space="preserve"> PIC of the property </w:t>
      </w:r>
      <w:r>
        <w:t>to which the pig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pigs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pig in a consignment to which an NLIS device is applied, if, within 48 hours after the pig is moved from the property, the purchaser updates the NLIS database in relation to the device by recording the information referred to in subregulation (3)(c) to (f).</w:t>
      </w:r>
    </w:p>
    <w:p>
      <w:pPr>
        <w:pStyle w:val="Subsection"/>
        <w:keepNext/>
        <w:rPr>
          <w:snapToGrid w:val="0"/>
        </w:rPr>
      </w:pPr>
      <w:r>
        <w:lastRenderedPageBreak/>
        <w:tab/>
        <w:t>(5)</w:t>
      </w:r>
      <w:r>
        <w:tab/>
        <w:t>If, in relation to the purchase of a consignment of one or more pigs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pig in a consignment to which an NLIS device is applied, if, within 24 hours after the pig is moved from the saleyard, the purchaser updates the NLIS database in relation to the device by recording the information referred to in subregulation (5)(c) to (f).</w:t>
      </w:r>
    </w:p>
    <w:p>
      <w:pPr>
        <w:pStyle w:val="Subsection"/>
        <w:keepNext/>
      </w:pPr>
      <w:r>
        <w:tab/>
        <w:t>(7)</w:t>
      </w:r>
      <w:r>
        <w:tab/>
        <w:t>A purchaser of a pig at a property must not take possession or control of the pig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 SL 2024/264 r. 13.]</w:t>
      </w:r>
    </w:p>
    <w:p>
      <w:pPr>
        <w:pStyle w:val="Heading4"/>
      </w:pPr>
      <w:bookmarkStart w:id="305" w:name="_Toc185837706"/>
      <w:bookmarkStart w:id="306" w:name="_Toc185857299"/>
      <w:bookmarkStart w:id="307" w:name="_Toc185857643"/>
      <w:bookmarkStart w:id="308" w:name="_Toc185866410"/>
      <w:r>
        <w:lastRenderedPageBreak/>
        <w:t>Subdivision 3 — General provisions relating to property operators</w:t>
      </w:r>
      <w:bookmarkEnd w:id="305"/>
      <w:bookmarkEnd w:id="306"/>
      <w:bookmarkEnd w:id="307"/>
      <w:bookmarkEnd w:id="308"/>
    </w:p>
    <w:p>
      <w:pPr>
        <w:pStyle w:val="Heading5"/>
      </w:pPr>
      <w:bookmarkStart w:id="309" w:name="_Toc185866411"/>
      <w:r>
        <w:rPr>
          <w:rStyle w:val="CharSectno"/>
        </w:rPr>
        <w:t>136</w:t>
      </w:r>
      <w:r>
        <w:t>.</w:t>
      </w:r>
      <w:r>
        <w:tab/>
      </w:r>
      <w:r>
        <w:rPr>
          <w:bCs/>
        </w:rPr>
        <w:t>Pigs not to be delivered to property without relevant PIC</w:t>
      </w:r>
      <w:bookmarkEnd w:id="309"/>
    </w:p>
    <w:p>
      <w:pPr>
        <w:pStyle w:val="Subsection"/>
      </w:pPr>
      <w:r>
        <w:tab/>
      </w:r>
      <w:r>
        <w:tab/>
        <w:t>The operator of a property must not cause or permit a pig to be moved to the property unless the operator is the registered owner of a relevant PIC for the property.</w:t>
      </w:r>
    </w:p>
    <w:p>
      <w:pPr>
        <w:pStyle w:val="Penstart"/>
      </w:pPr>
      <w:r>
        <w:tab/>
        <w:t>Penalty: a fine of $5 000.</w:t>
      </w:r>
    </w:p>
    <w:p>
      <w:pPr>
        <w:pStyle w:val="Footnotesection"/>
      </w:pPr>
      <w:r>
        <w:tab/>
        <w:t>[Regulation 136 amended: SL 2024/264 r. 13.]</w:t>
      </w:r>
    </w:p>
    <w:p>
      <w:pPr>
        <w:pStyle w:val="Heading5"/>
      </w:pPr>
      <w:bookmarkStart w:id="310" w:name="_Toc185866412"/>
      <w:r>
        <w:rPr>
          <w:rStyle w:val="CharSectno"/>
        </w:rPr>
        <w:t>137</w:t>
      </w:r>
      <w:r>
        <w:t>.</w:t>
      </w:r>
      <w:r>
        <w:tab/>
      </w:r>
      <w:r>
        <w:rPr>
          <w:bCs/>
        </w:rPr>
        <w:t>Responsibilities of property operator if pig dies on or while being moved to property</w:t>
      </w:r>
      <w:bookmarkEnd w:id="310"/>
    </w:p>
    <w:p>
      <w:pPr>
        <w:pStyle w:val="Subsection"/>
      </w:pPr>
      <w:r>
        <w:tab/>
        <w:t>(1)</w:t>
      </w:r>
      <w:r>
        <w:tab/>
        <w:t>This regulation does not apply to a pig that dies on the farming property on which it is kept or while being moved from a property to another property with the same relevant PIC.</w:t>
      </w:r>
    </w:p>
    <w:p>
      <w:pPr>
        <w:pStyle w:val="Subsection"/>
      </w:pPr>
      <w:r>
        <w:tab/>
        <w:t>(2)</w:t>
      </w:r>
      <w:r>
        <w:tab/>
        <w:t xml:space="preserve">If one or more pigs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pigs that died;</w:t>
      </w:r>
    </w:p>
    <w:p>
      <w:pPr>
        <w:pStyle w:val="Indenta"/>
      </w:pPr>
      <w:r>
        <w:tab/>
        <w:t>(c)</w:t>
      </w:r>
      <w:r>
        <w:tab/>
        <w:t>the relevant PIC of the last property at which the pig was kept;</w:t>
      </w:r>
    </w:p>
    <w:p>
      <w:pPr>
        <w:pStyle w:val="Indenta"/>
      </w:pPr>
      <w:r>
        <w:tab/>
        <w:t>(d)</w:t>
      </w:r>
      <w:r>
        <w:tab/>
        <w:t>the relevant PIC of the property on which the pig or pigs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pig.</w:t>
      </w:r>
    </w:p>
    <w:p>
      <w:pPr>
        <w:pStyle w:val="Penstart"/>
      </w:pPr>
      <w:r>
        <w:tab/>
        <w:t>Penalty for this subregulation: a fine of $2 000.</w:t>
      </w:r>
    </w:p>
    <w:p>
      <w:pPr>
        <w:pStyle w:val="Subsection"/>
      </w:pPr>
      <w:r>
        <w:tab/>
        <w:t>(3)</w:t>
      </w:r>
      <w:r>
        <w:tab/>
        <w:t xml:space="preserve">It is sufficient compliance with subregulation (2), in relation to any pig in a consignment to which an NLIS device is applied, if within </w:t>
      </w:r>
      <w:r>
        <w:rPr>
          <w:snapToGrid w:val="0"/>
        </w:rPr>
        <w:t>48 hours</w:t>
      </w:r>
      <w:r>
        <w:t xml:space="preserve"> after the death of the pig, the property operator </w:t>
      </w:r>
      <w:r>
        <w:lastRenderedPageBreak/>
        <w:t>updates the NLIS database in relation to the device by recording the information referred to in subregulation (2)(c) to (f).</w:t>
      </w:r>
    </w:p>
    <w:p>
      <w:pPr>
        <w:pStyle w:val="Footnotesection"/>
      </w:pPr>
      <w:r>
        <w:tab/>
        <w:t>[Regulation 137 amended: Gazette 27 Jun 2019 p. 2434</w:t>
      </w:r>
      <w:r>
        <w:noBreakHyphen/>
        <w:t>5; SL 2021/204 r. 14; SL 2024/264 r. 13.]</w:t>
      </w:r>
    </w:p>
    <w:p>
      <w:pPr>
        <w:pStyle w:val="Heading4"/>
      </w:pPr>
      <w:bookmarkStart w:id="311" w:name="_Toc185837709"/>
      <w:bookmarkStart w:id="312" w:name="_Toc185857302"/>
      <w:bookmarkStart w:id="313" w:name="_Toc185857646"/>
      <w:bookmarkStart w:id="314" w:name="_Toc185866413"/>
      <w:r>
        <w:t>Subdivision 4 — Pounds</w:t>
      </w:r>
      <w:bookmarkEnd w:id="311"/>
      <w:bookmarkEnd w:id="312"/>
      <w:bookmarkEnd w:id="313"/>
      <w:bookmarkEnd w:id="314"/>
    </w:p>
    <w:p>
      <w:pPr>
        <w:pStyle w:val="Heading5"/>
      </w:pPr>
      <w:bookmarkStart w:id="315" w:name="_Toc185866414"/>
      <w:r>
        <w:rPr>
          <w:rStyle w:val="CharSectno"/>
        </w:rPr>
        <w:t>138</w:t>
      </w:r>
      <w:r>
        <w:t>.</w:t>
      </w:r>
      <w:r>
        <w:tab/>
      </w:r>
      <w:r>
        <w:rPr>
          <w:bCs/>
        </w:rPr>
        <w:t>Responsibilities of pound operator if no NLIS device applied to pig</w:t>
      </w:r>
      <w:bookmarkEnd w:id="315"/>
    </w:p>
    <w:p>
      <w:pPr>
        <w:pStyle w:val="Subsection"/>
      </w:pPr>
      <w:r>
        <w:tab/>
        <w:t>(1)</w:t>
      </w:r>
      <w:r>
        <w:tab/>
        <w:t>This regulation does not apply to a pig to which an NLIS device is applied.</w:t>
      </w:r>
    </w:p>
    <w:p>
      <w:pPr>
        <w:pStyle w:val="Subsection"/>
      </w:pPr>
      <w:r>
        <w:tab/>
        <w:t>(2)</w:t>
      </w:r>
      <w:r>
        <w:tab/>
        <w:t>The operator of a pound may, before a pig is moved to the pound, apply, or cause to be applied, to the pig an NLIS post breeder tag.</w:t>
      </w:r>
    </w:p>
    <w:p>
      <w:pPr>
        <w:pStyle w:val="Subsection"/>
      </w:pPr>
      <w:r>
        <w:tab/>
        <w:t>(3)</w:t>
      </w:r>
      <w:r>
        <w:tab/>
        <w:t xml:space="preserve">Unless an inspector in a particular case approves otherwise, if a pig is moved to a pound before the pound operator has applied, or caused to be applied, to the pig an NLIS post breeder tag, the pound operator </w:t>
      </w:r>
      <w:r>
        <w:rPr>
          <w:snapToGrid w:val="0"/>
        </w:rPr>
        <w:t>must</w:t>
      </w:r>
      <w:r>
        <w:t>, within the period specified in subregulation (4), apply, or cause to be applied, to the pig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pig is moved to the pound and before it is moved from the pound.</w:t>
      </w:r>
    </w:p>
    <w:p>
      <w:pPr>
        <w:pStyle w:val="Footnotesection"/>
      </w:pPr>
      <w:r>
        <w:tab/>
        <w:t>[Regulation 138 amended: Gazette 27 Jun 2019 p. 2435; SL 2021/204 r. 14; SL 2024/264 r. 13.]</w:t>
      </w:r>
    </w:p>
    <w:p>
      <w:pPr>
        <w:pStyle w:val="Heading5"/>
      </w:pPr>
      <w:bookmarkStart w:id="316" w:name="_Toc185866415"/>
      <w:r>
        <w:rPr>
          <w:rStyle w:val="CharSectno"/>
        </w:rPr>
        <w:t>139</w:t>
      </w:r>
      <w:r>
        <w:t>.</w:t>
      </w:r>
      <w:r>
        <w:tab/>
      </w:r>
      <w:r>
        <w:rPr>
          <w:bCs/>
        </w:rPr>
        <w:t>Responsibilities of pound operator if pig born at or while being moved to pound</w:t>
      </w:r>
      <w:bookmarkEnd w:id="316"/>
    </w:p>
    <w:p>
      <w:pPr>
        <w:pStyle w:val="Subsection"/>
      </w:pPr>
      <w:r>
        <w:tab/>
      </w:r>
      <w:r>
        <w:tab/>
        <w:t xml:space="preserve">If a pig is born at, or while being moved to, a pound, the </w:t>
      </w:r>
      <w:r>
        <w:rPr>
          <w:snapToGrid w:val="0"/>
        </w:rPr>
        <w:t xml:space="preserve">pound operator </w:t>
      </w:r>
      <w:r>
        <w:t>must, as soon as practicable after its birth and before it is moved from the pound, apply, or cause to be applied, to the pig an NLIS post breeder tag.</w:t>
      </w:r>
    </w:p>
    <w:p>
      <w:pPr>
        <w:pStyle w:val="Penstart"/>
      </w:pPr>
      <w:r>
        <w:lastRenderedPageBreak/>
        <w:tab/>
        <w:t>Penalty: a fine of $2 000.</w:t>
      </w:r>
    </w:p>
    <w:p>
      <w:pPr>
        <w:pStyle w:val="Footnotesection"/>
      </w:pPr>
      <w:r>
        <w:tab/>
        <w:t>[Regulation 139 amended: SL 2024/264 r. 13.]</w:t>
      </w:r>
    </w:p>
    <w:p>
      <w:pPr>
        <w:pStyle w:val="Heading5"/>
      </w:pPr>
      <w:bookmarkStart w:id="317" w:name="_Toc185866416"/>
      <w:r>
        <w:rPr>
          <w:rStyle w:val="CharSectno"/>
        </w:rPr>
        <w:t>140</w:t>
      </w:r>
      <w:r>
        <w:t>.</w:t>
      </w:r>
      <w:r>
        <w:tab/>
      </w:r>
      <w:r>
        <w:rPr>
          <w:bCs/>
        </w:rPr>
        <w:t>Responsibilities of pound operator if NLIS device applied to pig</w:t>
      </w:r>
      <w:bookmarkEnd w:id="317"/>
    </w:p>
    <w:p>
      <w:pPr>
        <w:pStyle w:val="Subsection"/>
      </w:pPr>
      <w:r>
        <w:tab/>
        <w:t>(1)</w:t>
      </w:r>
      <w:r>
        <w:tab/>
        <w:t>If a pig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 xml:space="preserve">relating to the movement of the </w:t>
      </w:r>
      <w:r>
        <w:t>pig</w:t>
      </w:r>
      <w:r>
        <w:rPr>
          <w:snapToGrid w:val="0"/>
        </w:rPr>
        <w:t xml:space="preserve"> to the pound</w:t>
      </w:r>
      <w:r>
        <w:t>;</w:t>
      </w:r>
    </w:p>
    <w:p>
      <w:pPr>
        <w:pStyle w:val="Indenta"/>
      </w:pPr>
      <w:r>
        <w:tab/>
        <w:t>(c)</w:t>
      </w:r>
      <w:r>
        <w:tab/>
        <w:t>the date the pig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pig is moved to the pound and before it is moved from the pound.</w:t>
      </w:r>
    </w:p>
    <w:p>
      <w:pPr>
        <w:pStyle w:val="Footnotesection"/>
      </w:pPr>
      <w:r>
        <w:tab/>
        <w:t>[Regulation 140 amended: SL 2021/204 r. 14; SL 2024/264 r. 13.]</w:t>
      </w:r>
    </w:p>
    <w:p>
      <w:pPr>
        <w:pStyle w:val="Heading5"/>
      </w:pPr>
      <w:bookmarkStart w:id="318" w:name="_Toc185866417"/>
      <w:r>
        <w:rPr>
          <w:rStyle w:val="CharSectno"/>
        </w:rPr>
        <w:t>141</w:t>
      </w:r>
      <w:r>
        <w:t>.</w:t>
      </w:r>
      <w:r>
        <w:tab/>
      </w:r>
      <w:r>
        <w:rPr>
          <w:bCs/>
        </w:rPr>
        <w:t>Responsibilities of pound operator if pig moved from pound</w:t>
      </w:r>
      <w:bookmarkEnd w:id="318"/>
    </w:p>
    <w:p>
      <w:pPr>
        <w:pStyle w:val="Subsection"/>
      </w:pPr>
      <w:r>
        <w:tab/>
        <w:t>(1)</w:t>
      </w:r>
      <w:r>
        <w:tab/>
        <w:t xml:space="preserve">A pound operator must not move, or permit to be moved, from the pound a pig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pig is sold or otherwise supplied the relevant PIC of the property to which the pig is to be moved.</w:t>
      </w:r>
    </w:p>
    <w:p>
      <w:pPr>
        <w:pStyle w:val="Penstart"/>
      </w:pPr>
      <w:r>
        <w:tab/>
        <w:t>Penalty for this subregulation: a fine of $2 000.</w:t>
      </w:r>
    </w:p>
    <w:p>
      <w:pPr>
        <w:pStyle w:val="Subsection"/>
      </w:pPr>
      <w:r>
        <w:tab/>
        <w:t>(2)</w:t>
      </w:r>
      <w:r>
        <w:tab/>
        <w:t xml:space="preserve">If a consignment of one or more pigs, to which an NLIS device is not applied, is moved from a pound, the pound operator </w:t>
      </w:r>
      <w:r>
        <w:rPr>
          <w:snapToGrid w:val="0"/>
        </w:rPr>
        <w:t>must</w:t>
      </w:r>
      <w:r>
        <w:t xml:space="preserve">, </w:t>
      </w:r>
      <w:r>
        <w:lastRenderedPageBreak/>
        <w:t xml:space="preserve">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pigs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pig or pigs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 pig to which an NLIS device is applied is moved from a pound, the pound operator</w:t>
      </w:r>
      <w:r>
        <w:rPr>
          <w:snapToGrid w:val="0"/>
        </w:rPr>
        <w:t xml:space="preserve"> must</w:t>
      </w:r>
      <w:r>
        <w:t>, within 48 hours after the pig is moved, update the NLIS database in relation to the device by recording the following —</w:t>
      </w:r>
    </w:p>
    <w:p>
      <w:pPr>
        <w:pStyle w:val="Indenta"/>
      </w:pPr>
      <w:r>
        <w:tab/>
        <w:t>(a)</w:t>
      </w:r>
      <w:r>
        <w:tab/>
        <w:t>the relevant PIC of the property to which the pig has been moved;</w:t>
      </w:r>
    </w:p>
    <w:p>
      <w:pPr>
        <w:pStyle w:val="Indenta"/>
        <w:rPr>
          <w:snapToGrid w:val="0"/>
        </w:rPr>
      </w:pPr>
      <w:r>
        <w:tab/>
        <w:t>(b)</w:t>
      </w:r>
      <w:r>
        <w:tab/>
        <w:t xml:space="preserve">the serial number of the transport document </w:t>
      </w:r>
      <w:r>
        <w:rPr>
          <w:snapToGrid w:val="0"/>
        </w:rPr>
        <w:t xml:space="preserve">relating to the movement of the </w:t>
      </w:r>
      <w:r>
        <w:t>pig</w:t>
      </w:r>
      <w:r>
        <w:rPr>
          <w:snapToGrid w:val="0"/>
        </w:rPr>
        <w:t xml:space="preserve"> from the pound;</w:t>
      </w:r>
    </w:p>
    <w:p>
      <w:pPr>
        <w:pStyle w:val="Indenta"/>
      </w:pPr>
      <w:r>
        <w:tab/>
        <w:t>(c)</w:t>
      </w:r>
      <w:r>
        <w:tab/>
        <w:t>the date the pig was moved from the pound.</w:t>
      </w:r>
    </w:p>
    <w:p>
      <w:pPr>
        <w:pStyle w:val="Penstart"/>
      </w:pPr>
      <w:r>
        <w:tab/>
        <w:t>Penalty for this subregulation: a fine of $2 000.</w:t>
      </w:r>
    </w:p>
    <w:p>
      <w:pPr>
        <w:pStyle w:val="Footnotesection"/>
      </w:pPr>
      <w:r>
        <w:tab/>
        <w:t>[Regulation 141 amended: Gazette 27 Jun 2019 p. 2436; SL 2021/204 r. 14; SL 2024/264 r. 13.]</w:t>
      </w:r>
    </w:p>
    <w:p>
      <w:pPr>
        <w:pStyle w:val="Heading4"/>
        <w:keepLines/>
      </w:pPr>
      <w:bookmarkStart w:id="319" w:name="_Toc185837714"/>
      <w:bookmarkStart w:id="320" w:name="_Toc185857307"/>
      <w:bookmarkStart w:id="321" w:name="_Toc185857651"/>
      <w:bookmarkStart w:id="322" w:name="_Toc185866418"/>
      <w:r>
        <w:lastRenderedPageBreak/>
        <w:t>Subdivision 5 — Holding yards</w:t>
      </w:r>
      <w:bookmarkEnd w:id="319"/>
      <w:bookmarkEnd w:id="320"/>
      <w:bookmarkEnd w:id="321"/>
      <w:bookmarkEnd w:id="322"/>
    </w:p>
    <w:p>
      <w:pPr>
        <w:pStyle w:val="Heading5"/>
      </w:pPr>
      <w:bookmarkStart w:id="323" w:name="_Toc185866419"/>
      <w:r>
        <w:rPr>
          <w:rStyle w:val="CharSectno"/>
        </w:rPr>
        <w:t>142</w:t>
      </w:r>
      <w:r>
        <w:t>.</w:t>
      </w:r>
      <w:r>
        <w:tab/>
      </w:r>
      <w:r>
        <w:rPr>
          <w:bCs/>
        </w:rPr>
        <w:t>Responsibility of holding yard operator if no NLIS identifier applied to pig</w:t>
      </w:r>
      <w:bookmarkEnd w:id="323"/>
    </w:p>
    <w:p>
      <w:pPr>
        <w:pStyle w:val="Subsection"/>
        <w:keepNext/>
        <w:keepLines/>
      </w:pPr>
      <w:r>
        <w:tab/>
        <w:t>(1)</w:t>
      </w:r>
      <w:r>
        <w:tab/>
        <w:t>In this regulation —</w:t>
      </w:r>
    </w:p>
    <w:p>
      <w:pPr>
        <w:pStyle w:val="Defstart"/>
        <w:rPr>
          <w:snapToGrid/>
        </w:rPr>
      </w:pPr>
      <w:r>
        <w:tab/>
      </w:r>
      <w:r>
        <w:rPr>
          <w:rStyle w:val="CharDefText"/>
        </w:rPr>
        <w:t>NLIS device</w:t>
      </w:r>
      <w:r>
        <w:t>, in relation to a pig moved to a holding yard, means an NLIS device in relation to which the NLIS database has been updated with the relevant PIC of the property from which the pig was moved to the holding yard</w:t>
      </w:r>
      <w:r>
        <w:rPr>
          <w:snapToGrid/>
        </w:rPr>
        <w:t>;</w:t>
      </w:r>
    </w:p>
    <w:p>
      <w:pPr>
        <w:pStyle w:val="Defstart"/>
        <w:keepNext/>
        <w:keepLines/>
      </w:pPr>
      <w:r>
        <w:rPr>
          <w:b/>
        </w:rPr>
        <w:tab/>
      </w:r>
      <w:r>
        <w:rPr>
          <w:rStyle w:val="CharDefText"/>
        </w:rPr>
        <w:t>NLIS tag</w:t>
      </w:r>
      <w:r>
        <w:t xml:space="preserve">, in relation to a pig moved to a holding yard, means an NLIS tag that displays — </w:t>
      </w:r>
    </w:p>
    <w:p>
      <w:pPr>
        <w:pStyle w:val="Defpara"/>
      </w:pPr>
      <w:r>
        <w:tab/>
        <w:t>(a)</w:t>
      </w:r>
      <w:r>
        <w:tab/>
        <w:t>the relevant PIC of the property from which the pig was moved to the holding yard; or</w:t>
      </w:r>
    </w:p>
    <w:p>
      <w:pPr>
        <w:pStyle w:val="Defpara"/>
      </w:pPr>
      <w:r>
        <w:tab/>
        <w:t>(b)</w:t>
      </w:r>
      <w:r>
        <w:tab/>
        <w:t>a registered identifier for which the corresponding PIC is the relevant PIC of the property from which the pig was moved to the holding yard.</w:t>
      </w:r>
    </w:p>
    <w:p>
      <w:pPr>
        <w:pStyle w:val="Subsection"/>
      </w:pPr>
      <w:r>
        <w:tab/>
        <w:t>(2)</w:t>
      </w:r>
      <w:r>
        <w:tab/>
        <w:t>Unless an inspector in a particular case approves otherwise, if a pig to which neither an NLIS tag nor an NLIS device is applied is moved to a holding yard, the holding yard operator must, within the period specified in subregulation (3), apply, or cause to be applied, to the pig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pig arrives at the holding yard and before it is moved from the holding yard.</w:t>
      </w:r>
    </w:p>
    <w:p>
      <w:pPr>
        <w:pStyle w:val="Subsection"/>
      </w:pPr>
      <w:r>
        <w:tab/>
        <w:t>(4)</w:t>
      </w:r>
      <w:r>
        <w:tab/>
        <w:t>If a consignment of pigs is moved to a holding yard and more than 10% of the pigs have neither an NLIS tag nor an NLIS device applied to them, the holding yard operator must —</w:t>
      </w:r>
    </w:p>
    <w:p>
      <w:pPr>
        <w:pStyle w:val="Indenta"/>
      </w:pPr>
      <w:r>
        <w:tab/>
        <w:t>(a)</w:t>
      </w:r>
      <w:r>
        <w:tab/>
        <w:t>hold the pigs at the holding yard; and</w:t>
      </w:r>
    </w:p>
    <w:p>
      <w:pPr>
        <w:pStyle w:val="Indenta"/>
        <w:keepNext/>
      </w:pPr>
      <w:r>
        <w:lastRenderedPageBreak/>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 SL 2024/264 r. 13.]</w:t>
      </w:r>
    </w:p>
    <w:p>
      <w:pPr>
        <w:pStyle w:val="Heading5"/>
      </w:pPr>
      <w:bookmarkStart w:id="324" w:name="_Toc185866420"/>
      <w:r>
        <w:rPr>
          <w:rStyle w:val="CharSectno"/>
        </w:rPr>
        <w:t>143</w:t>
      </w:r>
      <w:r>
        <w:t>.</w:t>
      </w:r>
      <w:r>
        <w:tab/>
        <w:t>Directions by inspectors</w:t>
      </w:r>
      <w:bookmarkEnd w:id="324"/>
    </w:p>
    <w:p>
      <w:pPr>
        <w:pStyle w:val="Subsection"/>
      </w:pPr>
      <w:r>
        <w:tab/>
        <w:t>(1)</w:t>
      </w:r>
      <w:r>
        <w:tab/>
        <w:t>For the purposes of regulation 142(4)(b), the inspector may give any necessary or convenient direction in relation to the pigs including —</w:t>
      </w:r>
    </w:p>
    <w:p>
      <w:pPr>
        <w:pStyle w:val="Indenta"/>
      </w:pPr>
      <w:r>
        <w:tab/>
        <w:t>(a)</w:t>
      </w:r>
      <w:r>
        <w:tab/>
        <w:t>to hold the pigs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 SL 2024/264 r. 13.]</w:t>
      </w:r>
    </w:p>
    <w:p>
      <w:pPr>
        <w:pStyle w:val="Heading5"/>
      </w:pPr>
      <w:bookmarkStart w:id="325" w:name="_Toc185866421"/>
      <w:r>
        <w:rPr>
          <w:rStyle w:val="CharSectno"/>
        </w:rPr>
        <w:t>144</w:t>
      </w:r>
      <w:r>
        <w:t>.</w:t>
      </w:r>
      <w:r>
        <w:tab/>
      </w:r>
      <w:r>
        <w:rPr>
          <w:bCs/>
        </w:rPr>
        <w:t>Responsibilities of holding yard operator if pig born at or while being moved to holding yard</w:t>
      </w:r>
      <w:bookmarkEnd w:id="325"/>
    </w:p>
    <w:p>
      <w:pPr>
        <w:pStyle w:val="Subsection"/>
      </w:pPr>
      <w:r>
        <w:tab/>
      </w:r>
      <w:r>
        <w:tab/>
        <w:t xml:space="preserve">If a pig is born at, or while being moved to, a holding yard, the </w:t>
      </w:r>
      <w:r>
        <w:rPr>
          <w:snapToGrid w:val="0"/>
        </w:rPr>
        <w:t xml:space="preserve">holding yard operator </w:t>
      </w:r>
      <w:r>
        <w:t>must, as soon as practicable after its birth and before it is moved from the holding yard, apply, or cause to be applied, to the pig an NLIS post breeder tag.</w:t>
      </w:r>
    </w:p>
    <w:p>
      <w:pPr>
        <w:pStyle w:val="Penstart"/>
      </w:pPr>
      <w:r>
        <w:tab/>
        <w:t>Penalty: a fine of $2 000.</w:t>
      </w:r>
    </w:p>
    <w:p>
      <w:pPr>
        <w:pStyle w:val="Footnotesection"/>
      </w:pPr>
      <w:r>
        <w:tab/>
        <w:t>[Regulation 144 amended: SL 2024/264 r. 13.]</w:t>
      </w:r>
    </w:p>
    <w:p>
      <w:pPr>
        <w:pStyle w:val="Heading5"/>
      </w:pPr>
      <w:bookmarkStart w:id="326" w:name="_Toc185866422"/>
      <w:r>
        <w:rPr>
          <w:rStyle w:val="CharSectno"/>
        </w:rPr>
        <w:lastRenderedPageBreak/>
        <w:t>145</w:t>
      </w:r>
      <w:r>
        <w:t>.</w:t>
      </w:r>
      <w:r>
        <w:tab/>
      </w:r>
      <w:r>
        <w:rPr>
          <w:bCs/>
        </w:rPr>
        <w:t>Responsibilities of holding yard operator if pig held at holding yard for more than 48 hours or moved from holding yard in different consignment</w:t>
      </w:r>
      <w:bookmarkEnd w:id="326"/>
    </w:p>
    <w:p>
      <w:pPr>
        <w:pStyle w:val="Subsection"/>
        <w:keepNext/>
      </w:pPr>
      <w:r>
        <w:tab/>
        <w:t>(1)</w:t>
      </w:r>
      <w:r>
        <w:tab/>
        <w:t xml:space="preserve">If a pig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pig is moved from the holding yard, apply, or cause to be applied, to the pig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pig an NLIS post breeder tag; or</w:t>
      </w:r>
    </w:p>
    <w:p>
      <w:pPr>
        <w:pStyle w:val="Indenta"/>
      </w:pPr>
      <w:r>
        <w:tab/>
        <w:t>(c)</w:t>
      </w:r>
      <w:r>
        <w:tab/>
        <w:t>the pig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 SL 2024/264 r. 13.]</w:t>
      </w:r>
    </w:p>
    <w:p>
      <w:pPr>
        <w:pStyle w:val="Heading5"/>
      </w:pPr>
      <w:bookmarkStart w:id="327" w:name="_Toc185866423"/>
      <w:r>
        <w:rPr>
          <w:rStyle w:val="CharSectno"/>
        </w:rPr>
        <w:t>146</w:t>
      </w:r>
      <w:r>
        <w:t>.</w:t>
      </w:r>
      <w:r>
        <w:tab/>
        <w:t>Other responsibilities of holding yard operators</w:t>
      </w:r>
      <w:bookmarkEnd w:id="327"/>
    </w:p>
    <w:p>
      <w:pPr>
        <w:pStyle w:val="Subsection"/>
      </w:pPr>
      <w:r>
        <w:tab/>
        <w:t>(1)</w:t>
      </w:r>
      <w:r>
        <w:tab/>
        <w:t xml:space="preserve">Unless an inspector in a particular case approves otherwise, if a consignment of one or more pigs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lastRenderedPageBreak/>
        <w:tab/>
        <w:t>(b)</w:t>
      </w:r>
      <w:r>
        <w:tab/>
        <w:t>the number of pigs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pig or pigs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pig or pigs;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It is sufficient compliance with subregulation (1), in relation to any pig in a consignment to which an NLIS device is applied, if the holding yard operator, before the pig is moved from the holding yard, updates the NLIS database in relation to the device by recording the information referred to in subregulation (1)(c), (d), (f) and (h).</w:t>
      </w:r>
    </w:p>
    <w:p>
      <w:pPr>
        <w:pStyle w:val="Footnotesection"/>
      </w:pPr>
      <w:r>
        <w:tab/>
        <w:t>[Regulation 146 amended: Gazette 27 Jun 2019 p. 2436; SL 2021/204 r. 14; SL 2024/264 r. 13.]</w:t>
      </w:r>
    </w:p>
    <w:p>
      <w:pPr>
        <w:pStyle w:val="Heading4"/>
      </w:pPr>
      <w:bookmarkStart w:id="328" w:name="_Toc185837720"/>
      <w:bookmarkStart w:id="329" w:name="_Toc185857313"/>
      <w:bookmarkStart w:id="330" w:name="_Toc185857657"/>
      <w:bookmarkStart w:id="331" w:name="_Toc185866424"/>
      <w:r>
        <w:t>Subdivision 6 — Saleyards</w:t>
      </w:r>
      <w:bookmarkEnd w:id="328"/>
      <w:bookmarkEnd w:id="329"/>
      <w:bookmarkEnd w:id="330"/>
      <w:bookmarkEnd w:id="331"/>
    </w:p>
    <w:p>
      <w:pPr>
        <w:pStyle w:val="Heading5"/>
      </w:pPr>
      <w:bookmarkStart w:id="332" w:name="_Toc185866425"/>
      <w:r>
        <w:rPr>
          <w:rStyle w:val="CharSectno"/>
        </w:rPr>
        <w:t>147</w:t>
      </w:r>
      <w:r>
        <w:t>.</w:t>
      </w:r>
      <w:r>
        <w:tab/>
        <w:t>When saleyard to be treated as holding yard</w:t>
      </w:r>
      <w:bookmarkEnd w:id="332"/>
    </w:p>
    <w:p>
      <w:pPr>
        <w:pStyle w:val="Subsection"/>
      </w:pPr>
      <w:r>
        <w:tab/>
      </w:r>
      <w:r>
        <w:tab/>
        <w:t>If a pig is moved to a saleyard for purposes other than for sale, and while the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lastRenderedPageBreak/>
        <w:tab/>
      </w:r>
      <w:r>
        <w:tab/>
        <w:t>regulations 142 to 146 apply, with any necessary modifications, to the movement of the pig as if the saleyard were a holding yard.</w:t>
      </w:r>
    </w:p>
    <w:p>
      <w:pPr>
        <w:pStyle w:val="Footnotesection"/>
      </w:pPr>
      <w:r>
        <w:tab/>
        <w:t>[Regulation 147 amended: Gazette 27 Jun 2019 p. 2436</w:t>
      </w:r>
      <w:r>
        <w:noBreakHyphen/>
        <w:t>7; SL 2024/264 r. 13.]</w:t>
      </w:r>
    </w:p>
    <w:p>
      <w:pPr>
        <w:pStyle w:val="Heading5"/>
      </w:pPr>
      <w:bookmarkStart w:id="333" w:name="_Toc185866426"/>
      <w:r>
        <w:rPr>
          <w:rStyle w:val="CharSectno"/>
        </w:rPr>
        <w:t>148</w:t>
      </w:r>
      <w:r>
        <w:t>.</w:t>
      </w:r>
      <w:r>
        <w:tab/>
      </w:r>
      <w:r>
        <w:rPr>
          <w:bCs/>
        </w:rPr>
        <w:t>Responsibilities of saleyard operator if no NLIS identifier applied to pig</w:t>
      </w:r>
      <w:bookmarkEnd w:id="333"/>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 pig moved to a saleyard, means an NLIS device in relation to which the NLIS database has been updated with the relevant PIC of the property from which the pig was moved to the saleyard</w:t>
      </w:r>
      <w:r>
        <w:rPr>
          <w:snapToGrid/>
        </w:rPr>
        <w:t>;</w:t>
      </w:r>
    </w:p>
    <w:p>
      <w:pPr>
        <w:pStyle w:val="Defstart"/>
        <w:keepLines/>
      </w:pPr>
      <w:r>
        <w:rPr>
          <w:b/>
        </w:rPr>
        <w:tab/>
      </w:r>
      <w:r>
        <w:rPr>
          <w:rStyle w:val="CharDefText"/>
        </w:rPr>
        <w:t>NLIS tag</w:t>
      </w:r>
      <w:r>
        <w:t xml:space="preserve">, in relation to a pig moved to a saleyard, means an NLIS tag that displays — </w:t>
      </w:r>
    </w:p>
    <w:p>
      <w:pPr>
        <w:pStyle w:val="Defpara"/>
      </w:pPr>
      <w:r>
        <w:tab/>
        <w:t>(a)</w:t>
      </w:r>
      <w:r>
        <w:tab/>
        <w:t>the relevant PIC of the property from which the pig was moved to the saleyard; or</w:t>
      </w:r>
    </w:p>
    <w:p>
      <w:pPr>
        <w:pStyle w:val="Defpara"/>
      </w:pPr>
      <w:r>
        <w:tab/>
        <w:t>(b)</w:t>
      </w:r>
      <w:r>
        <w:tab/>
        <w:t>a registered identifier for which the corresponding PIC is the relevant PIC of the property from which the pig was moved to the saleyard.</w:t>
      </w:r>
    </w:p>
    <w:p>
      <w:pPr>
        <w:pStyle w:val="Subsection"/>
      </w:pPr>
      <w:r>
        <w:tab/>
        <w:t>(2)</w:t>
      </w:r>
      <w:r>
        <w:tab/>
        <w:t>Unless an inspector in a particular case approves otherwise, if a pig to which neither an NLIS tag nor an NLIS device is applied is moved to a saleyard, the saleyard operator must, within the period specified in subregulation (3),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pig arrives at the saleyard and before it is sold or moved from the saleyard.</w:t>
      </w:r>
    </w:p>
    <w:p>
      <w:pPr>
        <w:pStyle w:val="Subsection"/>
      </w:pPr>
      <w:r>
        <w:tab/>
        <w:t>(4)</w:t>
      </w:r>
      <w:r>
        <w:tab/>
        <w:t>Except as provided in subregulation (5), if a consignment of pigs is moved to a saleyard and more than 10% of the pigs have neither an NLIS tag nor an NLIS device applied to them, the operator of the saleyard must —</w:t>
      </w:r>
    </w:p>
    <w:p>
      <w:pPr>
        <w:pStyle w:val="Indenta"/>
      </w:pPr>
      <w:r>
        <w:lastRenderedPageBreak/>
        <w:tab/>
        <w:t>(a)</w:t>
      </w:r>
      <w:r>
        <w:tab/>
        <w:t>hold the pigs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pigs to which an NLIS identifier is not applied that is moved to a saleyard under the exemption in regulation 129B(1)(b).</w:t>
      </w:r>
    </w:p>
    <w:p>
      <w:pPr>
        <w:pStyle w:val="Footnotesection"/>
      </w:pPr>
      <w:r>
        <w:tab/>
        <w:t>[Regulation 148 amended: Gazette 27 Jun 2019 p. 2437; SL 2021/204 r. 14; SL 2024/264 r. 9 and 13.]</w:t>
      </w:r>
    </w:p>
    <w:p>
      <w:pPr>
        <w:pStyle w:val="Heading5"/>
      </w:pPr>
      <w:bookmarkStart w:id="334" w:name="_Toc185866427"/>
      <w:r>
        <w:rPr>
          <w:rStyle w:val="CharSectno"/>
        </w:rPr>
        <w:t>149</w:t>
      </w:r>
      <w:r>
        <w:t>.</w:t>
      </w:r>
      <w:r>
        <w:tab/>
        <w:t>Directions by inspectors</w:t>
      </w:r>
      <w:bookmarkEnd w:id="334"/>
    </w:p>
    <w:p>
      <w:pPr>
        <w:pStyle w:val="Subsection"/>
      </w:pPr>
      <w:r>
        <w:tab/>
        <w:t>(1)</w:t>
      </w:r>
      <w:r>
        <w:tab/>
        <w:t>For the purposes of regulation 148(4)(b), the inspector may give any necessary or convenient direction in relation to the pigs including —</w:t>
      </w:r>
    </w:p>
    <w:p>
      <w:pPr>
        <w:pStyle w:val="Indenta"/>
      </w:pPr>
      <w:r>
        <w:tab/>
        <w:t>(a)</w:t>
      </w:r>
      <w:r>
        <w:tab/>
        <w:t>to hold the pigs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 SL 2024/264 r. 13.]</w:t>
      </w:r>
    </w:p>
    <w:p>
      <w:pPr>
        <w:pStyle w:val="Heading5"/>
      </w:pPr>
      <w:bookmarkStart w:id="335" w:name="_Toc185866428"/>
      <w:r>
        <w:rPr>
          <w:rStyle w:val="CharSectno"/>
        </w:rPr>
        <w:t>150</w:t>
      </w:r>
      <w:r>
        <w:t>.</w:t>
      </w:r>
      <w:r>
        <w:tab/>
      </w:r>
      <w:r>
        <w:rPr>
          <w:bCs/>
        </w:rPr>
        <w:t>Responsibilities of saleyard operator if pig born at or while being moved to saleyard</w:t>
      </w:r>
      <w:bookmarkEnd w:id="335"/>
    </w:p>
    <w:p>
      <w:pPr>
        <w:pStyle w:val="Subsection"/>
      </w:pPr>
      <w:r>
        <w:tab/>
      </w:r>
      <w:r>
        <w:tab/>
        <w:t>If a pig is born at, or while being moved to, a saleyard, the saleyard operator must, as soon as practicable after its birth and before it is sold or moved from the saleyard, apply, or cause to be applied, to the pig an NLIS post breeder tag.</w:t>
      </w:r>
    </w:p>
    <w:p>
      <w:pPr>
        <w:pStyle w:val="Penstart"/>
      </w:pPr>
      <w:r>
        <w:tab/>
        <w:t>Penalty: a fine of $5 000.</w:t>
      </w:r>
    </w:p>
    <w:p>
      <w:pPr>
        <w:pStyle w:val="Footnotesection"/>
      </w:pPr>
      <w:r>
        <w:tab/>
        <w:t>[Regulation 150 amended: SL 2024/264 r. 13.]</w:t>
      </w:r>
    </w:p>
    <w:p>
      <w:pPr>
        <w:pStyle w:val="Heading5"/>
      </w:pPr>
      <w:bookmarkStart w:id="336" w:name="_Toc185866429"/>
      <w:r>
        <w:rPr>
          <w:rStyle w:val="CharSectno"/>
        </w:rPr>
        <w:lastRenderedPageBreak/>
        <w:t>151</w:t>
      </w:r>
      <w:r>
        <w:t>.</w:t>
      </w:r>
      <w:r>
        <w:tab/>
      </w:r>
      <w:r>
        <w:rPr>
          <w:bCs/>
        </w:rPr>
        <w:t>Responsibilities of saleyard operator if pig moved from saleyard</w:t>
      </w:r>
      <w:bookmarkEnd w:id="336"/>
    </w:p>
    <w:p>
      <w:pPr>
        <w:pStyle w:val="Subsection"/>
        <w:keepNext/>
      </w:pPr>
      <w:r>
        <w:tab/>
        <w:t>(1)</w:t>
      </w:r>
      <w:r>
        <w:tab/>
        <w:t xml:space="preserve">A saleyard operator must not move, or permit to be moved, from the saleyard a pig to which an NLIS identifier is applied unless — </w:t>
      </w:r>
    </w:p>
    <w:p>
      <w:pPr>
        <w:pStyle w:val="Indenta"/>
      </w:pPr>
      <w:r>
        <w:tab/>
        <w:t>(a)</w:t>
      </w:r>
      <w:r>
        <w:tab/>
        <w:t>it is moved back to the property from which it came, or to another property with a relevant PIC, and the saleyard operator has obtained from the person to whom the pig is sold or otherwise supplied the relevant PIC of the property to which the pig is to be moved; or</w:t>
      </w:r>
    </w:p>
    <w:p>
      <w:pPr>
        <w:pStyle w:val="Indenta"/>
      </w:pPr>
      <w:r>
        <w:tab/>
        <w:t>(b)</w:t>
      </w:r>
      <w:r>
        <w:tab/>
        <w:t>the saleyard operator has obtained from the person to whom the pig is sold or otherwise supplied the person’s BIC.</w:t>
      </w:r>
    </w:p>
    <w:p>
      <w:pPr>
        <w:pStyle w:val="Penstart"/>
      </w:pPr>
      <w:r>
        <w:tab/>
        <w:t>Penalty for this subregulation: a fine of $5 000.</w:t>
      </w:r>
    </w:p>
    <w:p>
      <w:pPr>
        <w:pStyle w:val="Subsection"/>
        <w:keepNext/>
      </w:pPr>
      <w:r>
        <w:tab/>
        <w:t>(2)</w:t>
      </w:r>
      <w:r>
        <w:tab/>
        <w:t>A saleyard operator must not, without the approval of an inspector, cause or permit a pig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 SL 2024/264 r. 13.]</w:t>
      </w:r>
    </w:p>
    <w:p>
      <w:pPr>
        <w:pStyle w:val="Heading5"/>
      </w:pPr>
      <w:bookmarkStart w:id="337" w:name="_Toc185866430"/>
      <w:r>
        <w:rPr>
          <w:rStyle w:val="CharSectno"/>
        </w:rPr>
        <w:t>152</w:t>
      </w:r>
      <w:r>
        <w:t>.</w:t>
      </w:r>
      <w:r>
        <w:tab/>
        <w:t>Other responsibilities of saleyard operators</w:t>
      </w:r>
      <w:bookmarkEnd w:id="337"/>
    </w:p>
    <w:p>
      <w:pPr>
        <w:pStyle w:val="Subsection"/>
      </w:pPr>
      <w:r>
        <w:tab/>
        <w:t>(1)</w:t>
      </w:r>
      <w:r>
        <w:tab/>
        <w:t>The operator of a saleyard must, within the period specified in subregulation (3), record in the NLIS database the movement of a consignment of pigs to the saleyard, and any subsequent sale or other movement of a consignment of pigs from the saleyard, including the following (as applicable)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lastRenderedPageBreak/>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pig or pigs;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pig or pigs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pig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 SL 2024/264 r. 13.]</w:t>
      </w:r>
    </w:p>
    <w:p>
      <w:pPr>
        <w:pStyle w:val="Heading4"/>
      </w:pPr>
      <w:bookmarkStart w:id="338" w:name="_Toc185837727"/>
      <w:bookmarkStart w:id="339" w:name="_Toc185857320"/>
      <w:bookmarkStart w:id="340" w:name="_Toc185857664"/>
      <w:bookmarkStart w:id="341" w:name="_Toc185866431"/>
      <w:r>
        <w:lastRenderedPageBreak/>
        <w:t>Subdivision 7 — Abattoirs</w:t>
      </w:r>
      <w:bookmarkEnd w:id="338"/>
      <w:bookmarkEnd w:id="339"/>
      <w:bookmarkEnd w:id="340"/>
      <w:bookmarkEnd w:id="341"/>
    </w:p>
    <w:p>
      <w:pPr>
        <w:pStyle w:val="Heading5"/>
      </w:pPr>
      <w:bookmarkStart w:id="342" w:name="_Toc185866432"/>
      <w:r>
        <w:rPr>
          <w:rStyle w:val="CharSectno"/>
        </w:rPr>
        <w:t>153</w:t>
      </w:r>
      <w:r>
        <w:t>.</w:t>
      </w:r>
      <w:r>
        <w:tab/>
      </w:r>
      <w:r>
        <w:rPr>
          <w:bCs/>
        </w:rPr>
        <w:t>Responsibilities of abattoir operator if no NLIS identifier applied to pig</w:t>
      </w:r>
      <w:bookmarkEnd w:id="342"/>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pigs before they are slaughtered; and</w:t>
      </w:r>
    </w:p>
    <w:p>
      <w:pPr>
        <w:pStyle w:val="Defsubpara"/>
      </w:pPr>
      <w:r>
        <w:tab/>
        <w:t>(ii)</w:t>
      </w:r>
      <w:r>
        <w:tab/>
        <w:t>giving consent for pigs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 pig moved to an abattoir, means an NLIS device in relation to which the NLIS database has been updated with the relevant PIC of the property from which the pig was moved to the abattoir</w:t>
      </w:r>
      <w:r>
        <w:rPr>
          <w:snapToGrid/>
        </w:rPr>
        <w:t>;</w:t>
      </w:r>
    </w:p>
    <w:p>
      <w:pPr>
        <w:pStyle w:val="Defstart"/>
        <w:keepNext/>
        <w:keepLines/>
      </w:pPr>
      <w:r>
        <w:rPr>
          <w:b/>
        </w:rPr>
        <w:tab/>
      </w:r>
      <w:r>
        <w:rPr>
          <w:rStyle w:val="CharDefText"/>
        </w:rPr>
        <w:t>NLIS tag</w:t>
      </w:r>
      <w:r>
        <w:t xml:space="preserve">, in relation to a pig moved to an abattoir, means an NLIS tag that displays — </w:t>
      </w:r>
    </w:p>
    <w:p>
      <w:pPr>
        <w:pStyle w:val="Defpara"/>
      </w:pPr>
      <w:r>
        <w:tab/>
        <w:t>(a)</w:t>
      </w:r>
      <w:r>
        <w:tab/>
        <w:t>the relevant PIC of the property from which the pig was moved to the abattoir; or</w:t>
      </w:r>
    </w:p>
    <w:p>
      <w:pPr>
        <w:pStyle w:val="Defpara"/>
      </w:pPr>
      <w:r>
        <w:tab/>
        <w:t>(b)</w:t>
      </w:r>
      <w:r>
        <w:tab/>
        <w:t>a registered identifier for which the corresponding PIC is the relevant PIC of the property from which the pig was moved to the abattoir.</w:t>
      </w:r>
    </w:p>
    <w:p>
      <w:pPr>
        <w:pStyle w:val="Subsection"/>
      </w:pPr>
      <w:r>
        <w:tab/>
        <w:t>(2)</w:t>
      </w:r>
      <w:r>
        <w:tab/>
        <w:t>This regulation does not apply to a pig to which an NLIS identifier is not applied that is moved to an abattoir under an exemption in regulation 129B(1).</w:t>
      </w:r>
    </w:p>
    <w:p>
      <w:pPr>
        <w:pStyle w:val="Subsection"/>
      </w:pPr>
      <w:r>
        <w:tab/>
        <w:t>(3)</w:t>
      </w:r>
      <w:r>
        <w:tab/>
        <w:t xml:space="preserve">Unless an abattoir inspector in a particular case approves otherwise, if a pig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lastRenderedPageBreak/>
        <w:t xml:space="preserve">within the period specified in </w:t>
      </w:r>
      <w:r>
        <w:t>subregulation (4), apply, or cause to be applied, to the pig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pig arrives at the abattoir and before it is slaughtered or otherwise moved from the abattoir.</w:t>
      </w:r>
    </w:p>
    <w:p>
      <w:pPr>
        <w:pStyle w:val="Subsection"/>
      </w:pPr>
      <w:r>
        <w:tab/>
        <w:t>(5)</w:t>
      </w:r>
      <w:r>
        <w:tab/>
        <w:t xml:space="preserve">If a consignment of pigs is moved to an </w:t>
      </w:r>
      <w:r>
        <w:rPr>
          <w:snapToGrid w:val="0"/>
        </w:rPr>
        <w:t>abattoir</w:t>
      </w:r>
      <w:r>
        <w:t xml:space="preserve"> and more than 10% of the pigs have neither an NLIS tag nor an NLIS device applied to them, the operator of the abattoir must —</w:t>
      </w:r>
    </w:p>
    <w:p>
      <w:pPr>
        <w:pStyle w:val="Indenta"/>
      </w:pPr>
      <w:r>
        <w:tab/>
        <w:t>(a)</w:t>
      </w:r>
      <w:r>
        <w:tab/>
        <w:t>hold the pigs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 SL 2024/264 r. 10 and 13.]</w:t>
      </w:r>
    </w:p>
    <w:p>
      <w:pPr>
        <w:pStyle w:val="Heading5"/>
      </w:pPr>
      <w:bookmarkStart w:id="343" w:name="_Toc185866433"/>
      <w:r>
        <w:rPr>
          <w:rStyle w:val="CharSectno"/>
        </w:rPr>
        <w:t>154</w:t>
      </w:r>
      <w:r>
        <w:t>.</w:t>
      </w:r>
      <w:r>
        <w:tab/>
        <w:t>Directions by inspectors</w:t>
      </w:r>
      <w:bookmarkEnd w:id="343"/>
    </w:p>
    <w:p>
      <w:pPr>
        <w:pStyle w:val="Subsection"/>
      </w:pPr>
      <w:r>
        <w:tab/>
        <w:t>(1)</w:t>
      </w:r>
      <w:r>
        <w:tab/>
        <w:t>For the purposes of regulation 153(5)(b), an inspector may give any necessary or convenient direction in relation to the pigs including —</w:t>
      </w:r>
    </w:p>
    <w:p>
      <w:pPr>
        <w:pStyle w:val="Indenta"/>
      </w:pPr>
      <w:r>
        <w:tab/>
        <w:t>(a)</w:t>
      </w:r>
      <w:r>
        <w:tab/>
        <w:t>to hold the pigs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 SL 2024/264 r. 13.]</w:t>
      </w:r>
    </w:p>
    <w:p>
      <w:pPr>
        <w:pStyle w:val="Heading5"/>
      </w:pPr>
      <w:bookmarkStart w:id="344" w:name="_Toc185866434"/>
      <w:r>
        <w:rPr>
          <w:rStyle w:val="CharSectno"/>
        </w:rPr>
        <w:lastRenderedPageBreak/>
        <w:t>155</w:t>
      </w:r>
      <w:r>
        <w:t>.</w:t>
      </w:r>
      <w:r>
        <w:tab/>
      </w:r>
      <w:r>
        <w:rPr>
          <w:bCs/>
        </w:rPr>
        <w:t>Responsibilities of abattoir operator if pig born at or while being moved to abattoir</w:t>
      </w:r>
      <w:bookmarkEnd w:id="344"/>
    </w:p>
    <w:p>
      <w:pPr>
        <w:pStyle w:val="Subsection"/>
      </w:pPr>
      <w:r>
        <w:tab/>
      </w:r>
      <w:r>
        <w:tab/>
        <w:t>Unless an inspector in a particular case approves otherwise, if a pig is born at, or while being moved to, an abattoir, the abattoir operator must, as soon as practicable after its birth and before it is sold or moved from the abattoir, apply, or cause to be applied, to the pig an NLIS post breeder tag.</w:t>
      </w:r>
    </w:p>
    <w:p>
      <w:pPr>
        <w:pStyle w:val="Penstart"/>
      </w:pPr>
      <w:r>
        <w:tab/>
        <w:t>Penalty: a fine of $5 000.</w:t>
      </w:r>
    </w:p>
    <w:p>
      <w:pPr>
        <w:pStyle w:val="Footnotesection"/>
      </w:pPr>
      <w:r>
        <w:tab/>
        <w:t>[Regulation 155 amended: SL 2024/264 r. 13.]</w:t>
      </w:r>
    </w:p>
    <w:p>
      <w:pPr>
        <w:pStyle w:val="Heading5"/>
      </w:pPr>
      <w:bookmarkStart w:id="345" w:name="_Toc185866435"/>
      <w:r>
        <w:rPr>
          <w:rStyle w:val="CharSectno"/>
        </w:rPr>
        <w:t>156</w:t>
      </w:r>
      <w:r>
        <w:t>.</w:t>
      </w:r>
      <w:r>
        <w:tab/>
      </w:r>
      <w:r>
        <w:rPr>
          <w:bCs/>
        </w:rPr>
        <w:t>Responsibilities of abattoir operator if pig moved to abattoir</w:t>
      </w:r>
      <w:bookmarkEnd w:id="345"/>
    </w:p>
    <w:p>
      <w:pPr>
        <w:pStyle w:val="Subsection"/>
      </w:pPr>
      <w:r>
        <w:tab/>
        <w:t>(1)</w:t>
      </w:r>
      <w:r>
        <w:tab/>
        <w:t>If a consignment of one or more pigs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pig or pigs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pig or pigs;</w:t>
      </w:r>
    </w:p>
    <w:p>
      <w:pPr>
        <w:pStyle w:val="Indenta"/>
      </w:pPr>
      <w:r>
        <w:tab/>
        <w:t>(h)</w:t>
      </w:r>
      <w:r>
        <w:tab/>
        <w:t>the date the consignment arrived at the abattoir.</w:t>
      </w:r>
    </w:p>
    <w:p>
      <w:pPr>
        <w:pStyle w:val="Penstart"/>
      </w:pPr>
      <w:r>
        <w:tab/>
        <w:t>Penalty for this subregulation: a fine of $5 000.</w:t>
      </w:r>
    </w:p>
    <w:p>
      <w:pPr>
        <w:pStyle w:val="Subsection"/>
      </w:pPr>
      <w:r>
        <w:lastRenderedPageBreak/>
        <w:tab/>
        <w:t>(2)</w:t>
      </w:r>
      <w:r>
        <w:tab/>
        <w:t>It is sufficient compliance with subregulation (1), in relation to any pig in a consignment to which an NLIS device is applied, if the abattoir operator, within 48 hours after the pig arrives at the abattoir, updates the NLIS database in relation to the device by recording the information referred to in subregulation (1)(c), (d), (f) and (h).</w:t>
      </w:r>
    </w:p>
    <w:p>
      <w:pPr>
        <w:pStyle w:val="Footnotesection"/>
        <w:rPr>
          <w:i w:val="0"/>
          <w:iCs/>
        </w:rPr>
      </w:pPr>
      <w:r>
        <w:tab/>
        <w:t>[Regulation 156 amended: Gazette 27 Jun 2019 p. 2439; SL 2021/204 r. 14; SL 2024/264 r. 13.]</w:t>
      </w:r>
    </w:p>
    <w:p>
      <w:pPr>
        <w:pStyle w:val="Heading5"/>
      </w:pPr>
      <w:bookmarkStart w:id="346" w:name="_Toc185866436"/>
      <w:r>
        <w:rPr>
          <w:rStyle w:val="CharSectno"/>
        </w:rPr>
        <w:t>157</w:t>
      </w:r>
      <w:r>
        <w:t>.</w:t>
      </w:r>
      <w:r>
        <w:tab/>
      </w:r>
      <w:r>
        <w:rPr>
          <w:bCs/>
        </w:rPr>
        <w:t>Responsibilities of abattoir operator after pig slaughtered</w:t>
      </w:r>
      <w:bookmarkEnd w:id="346"/>
    </w:p>
    <w:p>
      <w:pPr>
        <w:pStyle w:val="Subsection"/>
      </w:pPr>
      <w:r>
        <w:tab/>
        <w:t>(1)</w:t>
      </w:r>
      <w:r>
        <w:tab/>
        <w:t xml:space="preserve">If a consignment of one or more pigs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pig or pigs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abattoir operator, within 48 hours after the pig is slaughtered, updates the NLIS database in relation to the NLIS device by recording the information referred to in subregulation (1)(c), (d) and (f).</w:t>
      </w:r>
    </w:p>
    <w:p>
      <w:pPr>
        <w:pStyle w:val="Footnotesection"/>
      </w:pPr>
      <w:r>
        <w:tab/>
        <w:t>[Regulation 157 amended: Gazette 27 Jun 2019 p. 2439; SL 2021/204 r. 14; SL 2024/264 r. 13.]</w:t>
      </w:r>
    </w:p>
    <w:p>
      <w:pPr>
        <w:pStyle w:val="Heading5"/>
      </w:pPr>
      <w:bookmarkStart w:id="347" w:name="_Toc185866437"/>
      <w:r>
        <w:rPr>
          <w:rStyle w:val="CharSectno"/>
        </w:rPr>
        <w:lastRenderedPageBreak/>
        <w:t>158</w:t>
      </w:r>
      <w:r>
        <w:t>.</w:t>
      </w:r>
      <w:r>
        <w:tab/>
      </w:r>
      <w:r>
        <w:rPr>
          <w:bCs/>
        </w:rPr>
        <w:t>Responsibilities of abattoir operator if live pig moved from abattoir</w:t>
      </w:r>
      <w:bookmarkEnd w:id="347"/>
    </w:p>
    <w:p>
      <w:pPr>
        <w:pStyle w:val="Subsection"/>
        <w:keepNext/>
      </w:pPr>
      <w:r>
        <w:tab/>
        <w:t>(1)</w:t>
      </w:r>
      <w:r>
        <w:tab/>
        <w:t xml:space="preserve">Unless an inspector in a particular case approves otherwise, an abattoir operator must not move, or permit to be moved, from the abattoir a live pig unless — </w:t>
      </w:r>
    </w:p>
    <w:p>
      <w:pPr>
        <w:pStyle w:val="Indenta"/>
      </w:pPr>
      <w:r>
        <w:tab/>
        <w:t>(a)</w:t>
      </w:r>
      <w:r>
        <w:tab/>
        <w:t>the pig is moved back to the property from which it came or to another property with a relevant PIC; and</w:t>
      </w:r>
    </w:p>
    <w:p>
      <w:pPr>
        <w:pStyle w:val="Indenta"/>
      </w:pPr>
      <w:r>
        <w:tab/>
        <w:t>(b)</w:t>
      </w:r>
      <w:r>
        <w:tab/>
        <w:t>the abattoir operator has obtained from the person to whom the pig is sold or otherwise supplied the relevant PIC of the property to which the pig is to be moved; and</w:t>
      </w:r>
    </w:p>
    <w:p>
      <w:pPr>
        <w:pStyle w:val="Indenta"/>
      </w:pPr>
      <w:r>
        <w:tab/>
        <w:t>(c)</w:t>
      </w:r>
      <w:r>
        <w:tab/>
        <w:t xml:space="preserve">the pig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pigs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pigs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pig or pigs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lastRenderedPageBreak/>
        <w:tab/>
        <w:t>(3)</w:t>
      </w:r>
      <w:r>
        <w:tab/>
        <w:t>It is sufficient compliance with subregulation (2), in relation to any pig in a consignment to which an NLIS device is applied, if the abattoir operator, within 48 hours after the pig is moved from the abattoir, updates the NLIS database in relation to the device by recording the information referred to in subregulation (2)(c), (d), (f) and (g).</w:t>
      </w:r>
    </w:p>
    <w:p>
      <w:pPr>
        <w:pStyle w:val="Subsection"/>
        <w:spacing w:before="200"/>
      </w:pPr>
      <w:r>
        <w:tab/>
        <w:t>(4)</w:t>
      </w:r>
      <w:r>
        <w:tab/>
        <w:t xml:space="preserve">If a live pig to which an NLIS device, but not an NLIS post breeder tag, is applied is moved from an abattoir, the abattoir operator must, within 48 hours after the pig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pig has been moved;</w:t>
      </w:r>
    </w:p>
    <w:p>
      <w:pPr>
        <w:pStyle w:val="Indenta"/>
      </w:pPr>
      <w:r>
        <w:tab/>
        <w:t>(c)</w:t>
      </w:r>
      <w:r>
        <w:tab/>
        <w:t>the serial number of the transport document relating to the movement of the pig from the abattoir;</w:t>
      </w:r>
    </w:p>
    <w:p>
      <w:pPr>
        <w:pStyle w:val="Indenta"/>
      </w:pPr>
      <w:r>
        <w:tab/>
        <w:t>(d)</w:t>
      </w:r>
      <w:r>
        <w:tab/>
        <w:t>the date the pig was moved from the abattoir.</w:t>
      </w:r>
    </w:p>
    <w:p>
      <w:pPr>
        <w:pStyle w:val="Penstart"/>
      </w:pPr>
      <w:r>
        <w:tab/>
        <w:t>Penalty for this subregulation: a fine of $5 000.</w:t>
      </w:r>
    </w:p>
    <w:p>
      <w:pPr>
        <w:pStyle w:val="Footnotesection"/>
      </w:pPr>
      <w:r>
        <w:tab/>
        <w:t>[Regulation 158 amended: Gazette 27 Jun 2019 p. 2440; SL 2021/204 r. 14; SL 2024/264 r. 13.]</w:t>
      </w:r>
    </w:p>
    <w:p>
      <w:pPr>
        <w:pStyle w:val="Heading5"/>
        <w:rPr>
          <w:snapToGrid w:val="0"/>
        </w:rPr>
      </w:pPr>
      <w:bookmarkStart w:id="348" w:name="_Toc185866438"/>
      <w:r>
        <w:rPr>
          <w:rStyle w:val="CharSectno"/>
        </w:rPr>
        <w:t>159</w:t>
      </w:r>
      <w:r>
        <w:t>.</w:t>
      </w:r>
      <w:r>
        <w:tab/>
      </w:r>
      <w:r>
        <w:rPr>
          <w:bCs/>
          <w:snapToGrid w:val="0"/>
        </w:rPr>
        <w:t>Slaughtered pigs moved to pet food processing plants</w:t>
      </w:r>
      <w:bookmarkEnd w:id="348"/>
    </w:p>
    <w:p>
      <w:pPr>
        <w:pStyle w:val="Subsection"/>
      </w:pPr>
      <w:r>
        <w:tab/>
        <w:t>(1)</w:t>
      </w:r>
      <w:r>
        <w:tab/>
        <w:t>If a consignment of one or more slaughtered pigs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lastRenderedPageBreak/>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operator of the pet food processing plant, within 48 hours after the pig arrives there, updates the NLIS database in relation to the device by recording the information referred to in subregulation (1)(c) to (f).</w:t>
      </w:r>
    </w:p>
    <w:p>
      <w:pPr>
        <w:pStyle w:val="Footnotesection"/>
      </w:pPr>
      <w:r>
        <w:tab/>
        <w:t>[Regulation 159 amended: Gazette 27 Jun 2019 p. 2440; SL 2021/204 r. 14; SL 2024/264 r. 13.]</w:t>
      </w:r>
    </w:p>
    <w:p>
      <w:pPr>
        <w:pStyle w:val="Heading4"/>
      </w:pPr>
      <w:bookmarkStart w:id="349" w:name="_Toc185837735"/>
      <w:bookmarkStart w:id="350" w:name="_Toc185857328"/>
      <w:bookmarkStart w:id="351" w:name="_Toc185857672"/>
      <w:bookmarkStart w:id="352" w:name="_Toc185866439"/>
      <w:r>
        <w:t>Subdivision 8 — Export depots</w:t>
      </w:r>
      <w:bookmarkEnd w:id="349"/>
      <w:bookmarkEnd w:id="350"/>
      <w:bookmarkEnd w:id="351"/>
      <w:bookmarkEnd w:id="352"/>
    </w:p>
    <w:p>
      <w:pPr>
        <w:pStyle w:val="Heading5"/>
      </w:pPr>
      <w:bookmarkStart w:id="353" w:name="_Toc185866440"/>
      <w:r>
        <w:rPr>
          <w:rStyle w:val="CharSectno"/>
        </w:rPr>
        <w:t>160</w:t>
      </w:r>
      <w:r>
        <w:t>.</w:t>
      </w:r>
      <w:r>
        <w:tab/>
      </w:r>
      <w:r>
        <w:rPr>
          <w:bCs/>
        </w:rPr>
        <w:t>Responsibilities of export depot operator if no NLIS identifier applied to pig</w:t>
      </w:r>
      <w:bookmarkEnd w:id="353"/>
    </w:p>
    <w:p>
      <w:pPr>
        <w:pStyle w:val="Subsection"/>
      </w:pPr>
      <w:r>
        <w:tab/>
        <w:t>(1)</w:t>
      </w:r>
      <w:r>
        <w:tab/>
        <w:t>In this regulation —</w:t>
      </w:r>
    </w:p>
    <w:p>
      <w:pPr>
        <w:pStyle w:val="Defstart"/>
        <w:rPr>
          <w:snapToGrid/>
        </w:rPr>
      </w:pPr>
      <w:r>
        <w:rPr>
          <w:b/>
        </w:rPr>
        <w:tab/>
      </w:r>
      <w:r>
        <w:rPr>
          <w:rStyle w:val="CharDefText"/>
        </w:rPr>
        <w:t>NLIS device</w:t>
      </w:r>
      <w:r>
        <w:t>, in relation to a pig moved to an export depot, means an NLIS device in relation to which the NLIS database has been updated with the relevant PIC of the property from which the pig was moved to the export depot</w:t>
      </w:r>
      <w:r>
        <w:rPr>
          <w:snapToGrid/>
        </w:rPr>
        <w:t>;</w:t>
      </w:r>
    </w:p>
    <w:p>
      <w:pPr>
        <w:pStyle w:val="Defstart"/>
        <w:keepLines/>
      </w:pPr>
      <w:r>
        <w:rPr>
          <w:b/>
        </w:rPr>
        <w:tab/>
      </w:r>
      <w:r>
        <w:rPr>
          <w:rStyle w:val="CharDefText"/>
        </w:rPr>
        <w:t>NLIS tag</w:t>
      </w:r>
      <w:r>
        <w:t xml:space="preserve">, in relation to a pig moved to an export depot, means an NLIS tag that displays — </w:t>
      </w:r>
    </w:p>
    <w:p>
      <w:pPr>
        <w:pStyle w:val="Defpara"/>
      </w:pPr>
      <w:r>
        <w:tab/>
        <w:t>(a)</w:t>
      </w:r>
      <w:r>
        <w:tab/>
        <w:t>the relevant PIC of the property from which the pig was moved to the export depot; or</w:t>
      </w:r>
    </w:p>
    <w:p>
      <w:pPr>
        <w:pStyle w:val="Defpara"/>
      </w:pPr>
      <w:r>
        <w:tab/>
        <w:t>(b)</w:t>
      </w:r>
      <w:r>
        <w:tab/>
        <w:t>a registered identifier for which the corresponding PIC is the relevant PIC of the property from which the pig was moved to the export depot.</w:t>
      </w:r>
    </w:p>
    <w:p>
      <w:pPr>
        <w:pStyle w:val="Subsection"/>
      </w:pPr>
      <w:r>
        <w:tab/>
        <w:t>(2)</w:t>
      </w:r>
      <w:r>
        <w:tab/>
      </w:r>
      <w:r>
        <w:rPr>
          <w:snapToGrid w:val="0"/>
        </w:rPr>
        <w:t>Unless</w:t>
      </w:r>
      <w:r>
        <w:t xml:space="preserve"> an inspector in a particular case approves otherwise, if a pig to which neither an NLIS tag nor an NLIS device is applied </w:t>
      </w:r>
      <w:r>
        <w:lastRenderedPageBreak/>
        <w:t xml:space="preserve">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pig arrives at the export depot and before it is exported or otherwise moved from the export depot.</w:t>
      </w:r>
    </w:p>
    <w:p>
      <w:pPr>
        <w:pStyle w:val="Subsection"/>
      </w:pPr>
      <w:r>
        <w:tab/>
        <w:t>(4)</w:t>
      </w:r>
      <w:r>
        <w:tab/>
        <w:t xml:space="preserve">If a consignment of pigs is moved to an </w:t>
      </w:r>
      <w:r>
        <w:rPr>
          <w:snapToGrid w:val="0"/>
        </w:rPr>
        <w:t>export depot</w:t>
      </w:r>
      <w:r>
        <w:t xml:space="preserve"> and more than 10% of the pigs have neither an NLIS tag nor an NLIS device applied to them, the export depot operator must —</w:t>
      </w:r>
    </w:p>
    <w:p>
      <w:pPr>
        <w:pStyle w:val="Indenta"/>
      </w:pPr>
      <w:r>
        <w:tab/>
        <w:t>(a)</w:t>
      </w:r>
      <w:r>
        <w:tab/>
        <w:t>hold the pigs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 SL 2024/264 r. 13.]</w:t>
      </w:r>
    </w:p>
    <w:p>
      <w:pPr>
        <w:pStyle w:val="Heading5"/>
      </w:pPr>
      <w:bookmarkStart w:id="354" w:name="_Toc185866441"/>
      <w:r>
        <w:rPr>
          <w:rStyle w:val="CharSectno"/>
        </w:rPr>
        <w:t>161</w:t>
      </w:r>
      <w:r>
        <w:t>.</w:t>
      </w:r>
      <w:r>
        <w:tab/>
        <w:t>Directions by inspectors</w:t>
      </w:r>
      <w:bookmarkEnd w:id="354"/>
    </w:p>
    <w:p>
      <w:pPr>
        <w:pStyle w:val="Subsection"/>
        <w:keepNext/>
      </w:pPr>
      <w:r>
        <w:tab/>
        <w:t>(1)</w:t>
      </w:r>
      <w:r>
        <w:tab/>
        <w:t>For the purposes of regulation 160(4)(b), the inspector may give any necessary or convenient direction in relation to the pigs including —</w:t>
      </w:r>
    </w:p>
    <w:p>
      <w:pPr>
        <w:pStyle w:val="Indenta"/>
      </w:pPr>
      <w:r>
        <w:tab/>
        <w:t>(a)</w:t>
      </w:r>
      <w:r>
        <w:tab/>
        <w:t>to hold the pigs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 SL 2024/264 r. 13.]</w:t>
      </w:r>
    </w:p>
    <w:p>
      <w:pPr>
        <w:pStyle w:val="Heading5"/>
      </w:pPr>
      <w:bookmarkStart w:id="355" w:name="_Toc185866442"/>
      <w:r>
        <w:rPr>
          <w:rStyle w:val="CharSectno"/>
        </w:rPr>
        <w:lastRenderedPageBreak/>
        <w:t>162</w:t>
      </w:r>
      <w:r>
        <w:t>.</w:t>
      </w:r>
      <w:r>
        <w:tab/>
      </w:r>
      <w:r>
        <w:rPr>
          <w:bCs/>
        </w:rPr>
        <w:t>Responsibilities of export depot operator if pig born at or while being moved to export depot</w:t>
      </w:r>
      <w:bookmarkEnd w:id="355"/>
    </w:p>
    <w:p>
      <w:pPr>
        <w:pStyle w:val="Subsection"/>
      </w:pPr>
      <w:r>
        <w:tab/>
      </w:r>
      <w:r>
        <w:tab/>
        <w:t>If a pig is born at, or while being moved to, an export depot, the export depot operator must, as soon as practicable after its birth and before it is moved from the export depot, apply, or cause to be applied, to the pig an NLIS post breeder tag.</w:t>
      </w:r>
    </w:p>
    <w:p>
      <w:pPr>
        <w:pStyle w:val="Penstart"/>
      </w:pPr>
      <w:r>
        <w:tab/>
        <w:t>Penalty: a fine of $5 000.</w:t>
      </w:r>
    </w:p>
    <w:p>
      <w:pPr>
        <w:pStyle w:val="Footnotesection"/>
      </w:pPr>
      <w:r>
        <w:tab/>
        <w:t>[Regulation 162 amended: SL 2024/264 r. 13.]</w:t>
      </w:r>
    </w:p>
    <w:p>
      <w:pPr>
        <w:pStyle w:val="Heading5"/>
      </w:pPr>
      <w:bookmarkStart w:id="356" w:name="_Toc185866443"/>
      <w:r>
        <w:rPr>
          <w:rStyle w:val="CharSectno"/>
        </w:rPr>
        <w:t>163</w:t>
      </w:r>
      <w:r>
        <w:t>.</w:t>
      </w:r>
      <w:r>
        <w:tab/>
      </w:r>
      <w:r>
        <w:rPr>
          <w:bCs/>
        </w:rPr>
        <w:t>Responsibilities of export depot operator if pig moved to export depot</w:t>
      </w:r>
      <w:bookmarkEnd w:id="356"/>
    </w:p>
    <w:p>
      <w:pPr>
        <w:pStyle w:val="Subsection"/>
      </w:pPr>
      <w:r>
        <w:tab/>
        <w:t>(1)</w:t>
      </w:r>
      <w:r>
        <w:tab/>
        <w:t>If a consignment of one or more pigs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pig or pigs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pig or pigs;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 xml:space="preserve">It is sufficient compliance with subregulation (1), in relation to any pig in a consignment to which an NLIS device is applied, if the export depot operator, within 48 hours after the pig arrives at the export depot, updates the NLIS database in relation to the </w:t>
      </w:r>
      <w:r>
        <w:lastRenderedPageBreak/>
        <w:t>device by recording the information referred to in subregulation (1)(c), (d), (f) and (h).</w:t>
      </w:r>
    </w:p>
    <w:p>
      <w:pPr>
        <w:pStyle w:val="Footnotesection"/>
      </w:pPr>
      <w:r>
        <w:tab/>
        <w:t>[Regulation 163 amended: Gazette 27 Jun 2019 p. 2441; SL 2021/204 r. 14; SL 2024/264 r. 13.]</w:t>
      </w:r>
    </w:p>
    <w:p>
      <w:pPr>
        <w:pStyle w:val="Heading5"/>
        <w:spacing w:before="260"/>
      </w:pPr>
      <w:bookmarkStart w:id="357" w:name="_Toc185866444"/>
      <w:r>
        <w:rPr>
          <w:rStyle w:val="CharSectno"/>
        </w:rPr>
        <w:t>164</w:t>
      </w:r>
      <w:r>
        <w:t>.</w:t>
      </w:r>
      <w:r>
        <w:tab/>
      </w:r>
      <w:r>
        <w:rPr>
          <w:bCs/>
        </w:rPr>
        <w:t>Responsibilities of export depot operator if pig exported or otherwise moved from export depot</w:t>
      </w:r>
      <w:bookmarkEnd w:id="357"/>
    </w:p>
    <w:p>
      <w:pPr>
        <w:pStyle w:val="Subsection"/>
        <w:spacing w:before="240"/>
      </w:pPr>
      <w:r>
        <w:tab/>
        <w:t>(1)</w:t>
      </w:r>
      <w:r>
        <w:tab/>
        <w:t>If a consignment of one or more pigs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pigs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pig in a consignment to which an NLIS device is applied, if the export depot operator, within 48 hours after the pig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w:t>
      </w:r>
      <w:r>
        <w:lastRenderedPageBreak/>
        <w:t xml:space="preserve">permit to be moved from the export depot a pig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pig is sold or otherwise supplied the relevant PIC of the property to which the pig is to be moved; and</w:t>
      </w:r>
    </w:p>
    <w:p>
      <w:pPr>
        <w:pStyle w:val="Indenta"/>
      </w:pPr>
      <w:r>
        <w:tab/>
        <w:t>(c)</w:t>
      </w:r>
      <w:r>
        <w:tab/>
        <w:t>the export depot operator has applied, or caused to be applied, to the pig an NLIS post breeder tag.</w:t>
      </w:r>
    </w:p>
    <w:p>
      <w:pPr>
        <w:pStyle w:val="Penstart"/>
      </w:pPr>
      <w:r>
        <w:tab/>
        <w:t>Penalty for this subregulation: a fine of $5 000.</w:t>
      </w:r>
    </w:p>
    <w:p>
      <w:pPr>
        <w:pStyle w:val="Subsection"/>
      </w:pPr>
      <w:r>
        <w:tab/>
        <w:t>(4)</w:t>
      </w:r>
      <w:r>
        <w:tab/>
        <w:t>It is not necessary to apply an NLIS post breeder tag to a pig under subregulation (3)(c) if the pig is being moved directly to an abattoir.</w:t>
      </w:r>
    </w:p>
    <w:p>
      <w:pPr>
        <w:pStyle w:val="Subsection"/>
      </w:pPr>
      <w:r>
        <w:tab/>
        <w:t>(5)</w:t>
      </w:r>
      <w:r>
        <w:tab/>
        <w:t>Unless an inspector in a particular case approves otherwise, if a consignment of one or more pigs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pigs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pig or pigs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lastRenderedPageBreak/>
        <w:tab/>
        <w:t>(6)</w:t>
      </w:r>
      <w:r>
        <w:tab/>
        <w:t>It is sufficient compliance with subregulation (5), in relation to any pig in a consignment to which an NLIS device is applied, if the export depot operator, within 48 hours after the pig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 SL 2024/264 r. 13.]</w:t>
      </w:r>
    </w:p>
    <w:p>
      <w:pPr>
        <w:pStyle w:val="Heading2"/>
      </w:pPr>
      <w:bookmarkStart w:id="358" w:name="_Toc184300441"/>
      <w:bookmarkStart w:id="359" w:name="_Toc184300539"/>
      <w:bookmarkStart w:id="360" w:name="_Toc184300622"/>
      <w:bookmarkStart w:id="361" w:name="_Toc184300736"/>
      <w:bookmarkStart w:id="362" w:name="_Toc184724028"/>
      <w:bookmarkStart w:id="363" w:name="_Toc185857334"/>
      <w:bookmarkStart w:id="364" w:name="_Toc185857678"/>
      <w:bookmarkStart w:id="365" w:name="_Toc185866445"/>
      <w:bookmarkStart w:id="366" w:name="_Toc185837741"/>
      <w:r>
        <w:rPr>
          <w:rStyle w:val="CharPartNo"/>
        </w:rPr>
        <w:lastRenderedPageBreak/>
        <w:t>Part 6A</w:t>
      </w:r>
      <w:r>
        <w:t> —</w:t>
      </w:r>
      <w:r>
        <w:rPr>
          <w:rStyle w:val="CharPartText"/>
        </w:rPr>
        <w:t> Identifying sheep and goats</w:t>
      </w:r>
      <w:bookmarkEnd w:id="358"/>
      <w:bookmarkEnd w:id="359"/>
      <w:bookmarkEnd w:id="360"/>
      <w:bookmarkEnd w:id="361"/>
      <w:bookmarkEnd w:id="362"/>
      <w:bookmarkEnd w:id="363"/>
      <w:bookmarkEnd w:id="364"/>
      <w:bookmarkEnd w:id="365"/>
    </w:p>
    <w:p>
      <w:pPr>
        <w:pStyle w:val="Footnoteheading"/>
      </w:pPr>
      <w:bookmarkStart w:id="367" w:name="_Toc184300442"/>
      <w:bookmarkStart w:id="368" w:name="_Toc184300540"/>
      <w:bookmarkStart w:id="369" w:name="_Toc184300623"/>
      <w:bookmarkStart w:id="370" w:name="_Toc184300737"/>
      <w:bookmarkStart w:id="371" w:name="_Toc184724029"/>
      <w:r>
        <w:tab/>
        <w:t>[Heading inserted: SL 2024/264 r. 11.]</w:t>
      </w:r>
    </w:p>
    <w:p>
      <w:pPr>
        <w:pStyle w:val="Heading3"/>
      </w:pPr>
      <w:bookmarkStart w:id="372" w:name="_Toc185857335"/>
      <w:bookmarkStart w:id="373" w:name="_Toc185857679"/>
      <w:bookmarkStart w:id="374" w:name="_Toc185866446"/>
      <w:r>
        <w:rPr>
          <w:rStyle w:val="CharDivNo"/>
        </w:rPr>
        <w:t>Division 1</w:t>
      </w:r>
      <w:r>
        <w:t> —</w:t>
      </w:r>
      <w:r>
        <w:rPr>
          <w:rStyle w:val="CharDivText"/>
        </w:rPr>
        <w:t> Preliminary</w:t>
      </w:r>
      <w:bookmarkEnd w:id="367"/>
      <w:bookmarkEnd w:id="368"/>
      <w:bookmarkEnd w:id="369"/>
      <w:bookmarkEnd w:id="370"/>
      <w:bookmarkEnd w:id="371"/>
      <w:bookmarkEnd w:id="372"/>
      <w:bookmarkEnd w:id="373"/>
      <w:bookmarkEnd w:id="374"/>
    </w:p>
    <w:p>
      <w:pPr>
        <w:pStyle w:val="Footnoteheading"/>
      </w:pPr>
      <w:bookmarkStart w:id="375" w:name="_Toc184300443"/>
      <w:bookmarkStart w:id="376" w:name="_Toc184724030"/>
      <w:r>
        <w:tab/>
        <w:t>[Heading inserted: SL 2024/264 r. 11.]</w:t>
      </w:r>
    </w:p>
    <w:p>
      <w:pPr>
        <w:pStyle w:val="Heading5"/>
      </w:pPr>
      <w:bookmarkStart w:id="377" w:name="_Toc185866447"/>
      <w:r>
        <w:rPr>
          <w:rStyle w:val="CharSectno"/>
        </w:rPr>
        <w:t>164A</w:t>
      </w:r>
      <w:r>
        <w:t>.</w:t>
      </w:r>
      <w:r>
        <w:tab/>
        <w:t>Terms used</w:t>
      </w:r>
      <w:bookmarkEnd w:id="375"/>
      <w:bookmarkEnd w:id="376"/>
      <w:bookmarkEnd w:id="377"/>
    </w:p>
    <w:p>
      <w:pPr>
        <w:pStyle w:val="Subsection"/>
      </w:pPr>
      <w:r>
        <w:tab/>
      </w:r>
      <w:r>
        <w:tab/>
        <w:t xml:space="preserve">In this Part — </w:t>
      </w:r>
    </w:p>
    <w:p>
      <w:pPr>
        <w:pStyle w:val="Defstart"/>
      </w:pPr>
      <w:r>
        <w:tab/>
      </w:r>
      <w:r>
        <w:rPr>
          <w:rStyle w:val="CharDefText"/>
        </w:rPr>
        <w:t>NLIS identified sheep or goat</w:t>
      </w:r>
      <w:r>
        <w:t xml:space="preserve"> means a sheep, or a goat, to which an NLIS device is applied;</w:t>
      </w:r>
    </w:p>
    <w:p>
      <w:pPr>
        <w:pStyle w:val="Defstart"/>
      </w:pPr>
      <w:r>
        <w:tab/>
      </w:r>
      <w:r>
        <w:rPr>
          <w:rStyle w:val="CharDefText"/>
        </w:rPr>
        <w:t>receiving owner</w:t>
      </w:r>
      <w:r>
        <w:t xml:space="preserve">, in relation to a sheep or goat that is being moved to a farming property, means the person — </w:t>
      </w:r>
    </w:p>
    <w:p>
      <w:pPr>
        <w:pStyle w:val="Defpara"/>
      </w:pPr>
      <w:r>
        <w:tab/>
        <w:t>(a)</w:t>
      </w:r>
      <w:r>
        <w:tab/>
        <w:t>who is taking possession or control of the sheep or goat; and</w:t>
      </w:r>
    </w:p>
    <w:p>
      <w:pPr>
        <w:pStyle w:val="Defpara"/>
      </w:pPr>
      <w:r>
        <w:tab/>
        <w:t>(b)</w:t>
      </w:r>
      <w:r>
        <w:tab/>
        <w:t>who is, or is acting on behalf of, the registered owner of a relevant PIC for the property.</w:t>
      </w:r>
    </w:p>
    <w:p>
      <w:pPr>
        <w:pStyle w:val="Footnotesection"/>
      </w:pPr>
      <w:r>
        <w:tab/>
        <w:t>[Regulation 164 inserted: SL 2024/264 r. 11.]</w:t>
      </w:r>
    </w:p>
    <w:p>
      <w:pPr>
        <w:pStyle w:val="Heading3"/>
      </w:pPr>
      <w:bookmarkStart w:id="378" w:name="_Toc184300444"/>
      <w:bookmarkStart w:id="379" w:name="_Toc184300542"/>
      <w:bookmarkStart w:id="380" w:name="_Toc184300625"/>
      <w:bookmarkStart w:id="381" w:name="_Toc184300739"/>
      <w:bookmarkStart w:id="382" w:name="_Toc184724031"/>
      <w:bookmarkStart w:id="383" w:name="_Toc185857337"/>
      <w:bookmarkStart w:id="384" w:name="_Toc185857681"/>
      <w:bookmarkStart w:id="385" w:name="_Toc185866448"/>
      <w:r>
        <w:rPr>
          <w:rStyle w:val="CharDivNo"/>
        </w:rPr>
        <w:t>Division 2</w:t>
      </w:r>
      <w:r>
        <w:t> —</w:t>
      </w:r>
      <w:r>
        <w:rPr>
          <w:rStyle w:val="CharDivText"/>
        </w:rPr>
        <w:t> Owners and purchasers of sheep and goats</w:t>
      </w:r>
      <w:bookmarkEnd w:id="378"/>
      <w:bookmarkEnd w:id="379"/>
      <w:bookmarkEnd w:id="380"/>
      <w:bookmarkEnd w:id="381"/>
      <w:bookmarkEnd w:id="382"/>
      <w:bookmarkEnd w:id="383"/>
      <w:bookmarkEnd w:id="384"/>
      <w:bookmarkEnd w:id="385"/>
    </w:p>
    <w:p>
      <w:pPr>
        <w:pStyle w:val="Footnoteheading"/>
      </w:pPr>
      <w:bookmarkStart w:id="386" w:name="_Toc184300445"/>
      <w:bookmarkStart w:id="387" w:name="_Toc184300543"/>
      <w:bookmarkStart w:id="388" w:name="_Toc184300626"/>
      <w:bookmarkStart w:id="389" w:name="_Toc184300740"/>
      <w:bookmarkStart w:id="390" w:name="_Toc184724032"/>
      <w:r>
        <w:tab/>
        <w:t>[Heading inserted: SL 2024/264 r. 11.]</w:t>
      </w:r>
    </w:p>
    <w:p>
      <w:pPr>
        <w:pStyle w:val="Heading4"/>
      </w:pPr>
      <w:bookmarkStart w:id="391" w:name="_Toc185857338"/>
      <w:bookmarkStart w:id="392" w:name="_Toc185857682"/>
      <w:bookmarkStart w:id="393" w:name="_Toc185866449"/>
      <w:r>
        <w:t>Subdivision 1 — Identifiers for sheep</w:t>
      </w:r>
      <w:bookmarkEnd w:id="386"/>
      <w:bookmarkEnd w:id="387"/>
      <w:bookmarkEnd w:id="388"/>
      <w:bookmarkEnd w:id="389"/>
      <w:bookmarkEnd w:id="390"/>
      <w:bookmarkEnd w:id="391"/>
      <w:bookmarkEnd w:id="392"/>
      <w:bookmarkEnd w:id="393"/>
    </w:p>
    <w:p>
      <w:pPr>
        <w:pStyle w:val="Footnoteheading"/>
      </w:pPr>
      <w:bookmarkStart w:id="394" w:name="_Toc184300446"/>
      <w:bookmarkStart w:id="395" w:name="_Toc184724033"/>
      <w:r>
        <w:tab/>
        <w:t>[Heading inserted: SL 2024/264 r. 11.]</w:t>
      </w:r>
    </w:p>
    <w:p>
      <w:pPr>
        <w:pStyle w:val="Heading5"/>
      </w:pPr>
      <w:bookmarkStart w:id="396" w:name="_Toc185866450"/>
      <w:r>
        <w:rPr>
          <w:rStyle w:val="CharSectno"/>
        </w:rPr>
        <w:t>164B</w:t>
      </w:r>
      <w:r>
        <w:t>.</w:t>
      </w:r>
      <w:r>
        <w:tab/>
        <w:t>Owners must identify sheep</w:t>
      </w:r>
      <w:bookmarkEnd w:id="394"/>
      <w:bookmarkEnd w:id="395"/>
      <w:bookmarkEnd w:id="396"/>
    </w:p>
    <w:p>
      <w:pPr>
        <w:pStyle w:val="Subsection"/>
      </w:pPr>
      <w:r>
        <w:tab/>
        <w:t>(1)</w:t>
      </w:r>
      <w:r>
        <w:tab/>
        <w:t>An owner of a sheep that is kept on a property in the south</w:t>
      </w:r>
      <w:r>
        <w:noBreakHyphen/>
        <w:t xml:space="preserve">west of the State must identify the sheep, or cause it to be identified, with an NLIS device — </w:t>
      </w:r>
    </w:p>
    <w:p>
      <w:pPr>
        <w:pStyle w:val="Indenta"/>
      </w:pPr>
      <w:r>
        <w:tab/>
        <w:t>(a)</w:t>
      </w:r>
      <w:r>
        <w:tab/>
        <w:t>if the sheep is weaned before it reaches 6 months of age and before it is identified in accordance with this regulation — when it is weaned; or</w:t>
      </w:r>
    </w:p>
    <w:p>
      <w:pPr>
        <w:pStyle w:val="Indenta"/>
      </w:pPr>
      <w:r>
        <w:lastRenderedPageBreak/>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pPr>
      <w:r>
        <w:tab/>
        <w:t>(2)</w:t>
      </w:r>
      <w:r>
        <w:tab/>
        <w:t>An owner of a sheep, other than a sheep that is kept on a property in the south</w:t>
      </w:r>
      <w:r>
        <w:noBreakHyphen/>
        <w:t xml:space="preserve">west of the State, must identify the sheep, or cause it to be identified, with an NLIS device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1 or both of the following identifiers —</w:t>
      </w:r>
    </w:p>
    <w:p>
      <w:pPr>
        <w:pStyle w:val="Indenta"/>
      </w:pPr>
      <w:r>
        <w:tab/>
        <w:t>(a)</w:t>
      </w:r>
      <w:r>
        <w:tab/>
        <w:t>a registered identifier applied as an earmark in accordance with regulation 164E;</w:t>
      </w:r>
    </w:p>
    <w:p>
      <w:pPr>
        <w:pStyle w:val="Indenta"/>
      </w:pPr>
      <w:r>
        <w:tab/>
        <w:t>(b)</w:t>
      </w:r>
      <w:r>
        <w:tab/>
        <w:t>an approved identifier for sheep.</w:t>
      </w:r>
    </w:p>
    <w:p>
      <w:pPr>
        <w:pStyle w:val="Footnotesection"/>
      </w:pPr>
      <w:bookmarkStart w:id="397" w:name="_Toc184300447"/>
      <w:bookmarkStart w:id="398" w:name="_Toc184724034"/>
      <w:r>
        <w:tab/>
        <w:t>[Regulation 164B inserted: SL 2024/264 r. 11.]</w:t>
      </w:r>
    </w:p>
    <w:p>
      <w:pPr>
        <w:pStyle w:val="Heading5"/>
      </w:pPr>
      <w:bookmarkStart w:id="399" w:name="_Toc185866451"/>
      <w:r>
        <w:rPr>
          <w:rStyle w:val="CharSectno"/>
        </w:rPr>
        <w:t>164C</w:t>
      </w:r>
      <w:r>
        <w:t>.</w:t>
      </w:r>
      <w:r>
        <w:tab/>
        <w:t>Exemption for unweaned sheep</w:t>
      </w:r>
      <w:bookmarkEnd w:id="397"/>
      <w:bookmarkEnd w:id="398"/>
      <w:bookmarkEnd w:id="399"/>
    </w:p>
    <w:p>
      <w:pPr>
        <w:pStyle w:val="Subsection"/>
      </w:pPr>
      <w:r>
        <w:tab/>
      </w:r>
      <w:r>
        <w:tab/>
        <w:t>It is not necessary for an unweaned sheep to be identified in accordance with regulation 164B(1)(b) or (2)(a) if it is being moved with its mother from the property on which it is kept to another property with the same relevant PIC.</w:t>
      </w:r>
    </w:p>
    <w:p>
      <w:pPr>
        <w:pStyle w:val="Footnotesection"/>
      </w:pPr>
      <w:bookmarkStart w:id="400" w:name="_Toc184300448"/>
      <w:bookmarkStart w:id="401" w:name="_Toc184724035"/>
      <w:r>
        <w:tab/>
        <w:t>[Regulation 164C inserted: SL 2024/264 r. 11.]</w:t>
      </w:r>
    </w:p>
    <w:p>
      <w:pPr>
        <w:pStyle w:val="Heading5"/>
      </w:pPr>
      <w:bookmarkStart w:id="402" w:name="_Toc185866452"/>
      <w:r>
        <w:rPr>
          <w:rStyle w:val="CharSectno"/>
        </w:rPr>
        <w:t>164D</w:t>
      </w:r>
      <w:r>
        <w:t>.</w:t>
      </w:r>
      <w:r>
        <w:tab/>
        <w:t>Requirements for earmarks</w:t>
      </w:r>
      <w:bookmarkEnd w:id="400"/>
      <w:bookmarkEnd w:id="401"/>
      <w:bookmarkEnd w:id="402"/>
    </w:p>
    <w:p>
      <w:pPr>
        <w:pStyle w:val="Subsection"/>
      </w:pPr>
      <w:r>
        <w:tab/>
      </w:r>
      <w:r>
        <w:tab/>
        <w:t>For the purposes of regulation 164B(3)(a), a registered identifier is applied as an earmark in accordance with this regulation if —</w:t>
      </w:r>
    </w:p>
    <w:p>
      <w:pPr>
        <w:pStyle w:val="Indenta"/>
      </w:pPr>
      <w:r>
        <w:lastRenderedPageBreak/>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bookmarkStart w:id="403" w:name="_Toc184300449"/>
      <w:bookmarkStart w:id="404" w:name="_Toc184724036"/>
      <w:r>
        <w:tab/>
        <w:t>[Regulation 164D inserted: SL 2024/264 r. 11.]</w:t>
      </w:r>
    </w:p>
    <w:p>
      <w:pPr>
        <w:pStyle w:val="Heading5"/>
      </w:pPr>
      <w:bookmarkStart w:id="405" w:name="_Toc185866453"/>
      <w:r>
        <w:rPr>
          <w:rStyle w:val="CharSectno"/>
        </w:rPr>
        <w:t>164E</w:t>
      </w:r>
      <w:r>
        <w:t>.</w:t>
      </w:r>
      <w:r>
        <w:tab/>
        <w:t>Application of markings: sheep</w:t>
      </w:r>
      <w:bookmarkEnd w:id="403"/>
      <w:bookmarkEnd w:id="404"/>
      <w:bookmarkEnd w:id="405"/>
    </w:p>
    <w:p>
      <w:pPr>
        <w:pStyle w:val="Subsection"/>
      </w:pPr>
      <w:r>
        <w:tab/>
      </w:r>
      <w:r>
        <w:tab/>
        <w:t xml:space="preserve">A person must not apply a marking to a sheep, other than an identifier applied under regulation 164B,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pPr>
      <w:r>
        <w:tab/>
        <w:t>(b)</w:t>
      </w:r>
      <w:r>
        <w:tab/>
        <w:t>if it is intended to identify an uncoloured sheep known to be a carrier of a gene for coloured wool — it is applied in the form of 3 circular holes in line, each being not less than 6 mm and not more than 10 mm in diameter, completely within the sheep’s ear; and</w:t>
      </w:r>
    </w:p>
    <w:p>
      <w:pPr>
        <w:pStyle w:val="Indenta"/>
      </w:pPr>
      <w:r>
        <w:tab/>
        <w:t>(c)</w:t>
      </w:r>
      <w:r>
        <w:tab/>
        <w:t>it is applied in such a manner, and in such a position, as to render it clearly distinguishable from an identifier applied to the sheep under regulation 164B.</w:t>
      </w:r>
    </w:p>
    <w:p>
      <w:pPr>
        <w:pStyle w:val="Penstart"/>
      </w:pPr>
      <w:r>
        <w:tab/>
        <w:t>Penalty: a fine of $2 000.</w:t>
      </w:r>
    </w:p>
    <w:p>
      <w:pPr>
        <w:pStyle w:val="Footnotesection"/>
      </w:pPr>
      <w:bookmarkStart w:id="406" w:name="_Toc184300450"/>
      <w:bookmarkStart w:id="407" w:name="_Toc184300548"/>
      <w:bookmarkStart w:id="408" w:name="_Toc184300631"/>
      <w:bookmarkStart w:id="409" w:name="_Toc184300745"/>
      <w:bookmarkStart w:id="410" w:name="_Toc184724037"/>
      <w:bookmarkStart w:id="411" w:name="_Toc185857343"/>
      <w:bookmarkStart w:id="412" w:name="_Toc185857687"/>
      <w:r>
        <w:tab/>
        <w:t>[Regulation 164E inserted: SL 2024/264 r. 11.]</w:t>
      </w:r>
    </w:p>
    <w:p>
      <w:pPr>
        <w:pStyle w:val="Heading4"/>
      </w:pPr>
      <w:bookmarkStart w:id="413" w:name="_Toc185866454"/>
      <w:r>
        <w:lastRenderedPageBreak/>
        <w:t>Subdivision 2 — Identifiers for goats</w:t>
      </w:r>
      <w:bookmarkEnd w:id="406"/>
      <w:bookmarkEnd w:id="407"/>
      <w:bookmarkEnd w:id="408"/>
      <w:bookmarkEnd w:id="409"/>
      <w:bookmarkEnd w:id="410"/>
      <w:bookmarkEnd w:id="411"/>
      <w:bookmarkEnd w:id="412"/>
      <w:bookmarkEnd w:id="413"/>
    </w:p>
    <w:p>
      <w:pPr>
        <w:pStyle w:val="Footnoteheading"/>
        <w:keepNext/>
      </w:pPr>
      <w:bookmarkStart w:id="414" w:name="_Toc184300451"/>
      <w:bookmarkStart w:id="415" w:name="_Toc184724038"/>
      <w:r>
        <w:tab/>
        <w:t>[Heading inserted: SL 2024/264 r. 11.]</w:t>
      </w:r>
    </w:p>
    <w:p>
      <w:pPr>
        <w:pStyle w:val="Heading5"/>
      </w:pPr>
      <w:bookmarkStart w:id="416" w:name="_Toc185866455"/>
      <w:r>
        <w:rPr>
          <w:rStyle w:val="CharSectno"/>
        </w:rPr>
        <w:t>164F</w:t>
      </w:r>
      <w:r>
        <w:t>.</w:t>
      </w:r>
      <w:r>
        <w:tab/>
        <w:t>Owners must identify goats</w:t>
      </w:r>
      <w:bookmarkEnd w:id="414"/>
      <w:bookmarkEnd w:id="415"/>
      <w:bookmarkEnd w:id="416"/>
      <w:r>
        <w:t xml:space="preserve"> </w:t>
      </w:r>
    </w:p>
    <w:p>
      <w:pPr>
        <w:pStyle w:val="Subsection"/>
      </w:pPr>
      <w:r>
        <w:tab/>
        <w:t>(1)</w:t>
      </w:r>
      <w:r>
        <w:tab/>
        <w:t xml:space="preserve">An owner of a goat must identify the goat, or cause it to be identified, with an NLIS device — </w:t>
      </w:r>
    </w:p>
    <w:p>
      <w:pPr>
        <w:pStyle w:val="Indenta"/>
      </w:pPr>
      <w:r>
        <w:tab/>
        <w:t>(a)</w:t>
      </w:r>
      <w:r>
        <w:tab/>
        <w:t>if it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Nothing in these regulations prevents an owner of a goat from applying to it, in addition to an NLIS device, 1 or both of the following identifiers —</w:t>
      </w:r>
    </w:p>
    <w:p>
      <w:pPr>
        <w:pStyle w:val="Indenta"/>
      </w:pPr>
      <w:r>
        <w:tab/>
        <w:t>(a)</w:t>
      </w:r>
      <w:r>
        <w:tab/>
        <w:t>a registered identifier applied as an earmark in accordance with regulation 164H;</w:t>
      </w:r>
    </w:p>
    <w:p>
      <w:pPr>
        <w:pStyle w:val="Indenta"/>
      </w:pPr>
      <w:r>
        <w:tab/>
        <w:t>(b)</w:t>
      </w:r>
      <w:r>
        <w:tab/>
        <w:t>an approved identifier for goats.</w:t>
      </w:r>
    </w:p>
    <w:p>
      <w:pPr>
        <w:pStyle w:val="Footnotesection"/>
      </w:pPr>
      <w:bookmarkStart w:id="417" w:name="_Toc184300452"/>
      <w:bookmarkStart w:id="418" w:name="_Toc184724039"/>
      <w:r>
        <w:tab/>
        <w:t>[Regulation 164F inserted: SL 2024/264 r. 11.]</w:t>
      </w:r>
    </w:p>
    <w:p>
      <w:pPr>
        <w:pStyle w:val="Heading5"/>
      </w:pPr>
      <w:bookmarkStart w:id="419" w:name="_Toc185866456"/>
      <w:r>
        <w:rPr>
          <w:rStyle w:val="CharSectno"/>
        </w:rPr>
        <w:t>164G</w:t>
      </w:r>
      <w:r>
        <w:t>.</w:t>
      </w:r>
      <w:r>
        <w:tab/>
        <w:t>Exemption for unweaned goats</w:t>
      </w:r>
      <w:bookmarkEnd w:id="417"/>
      <w:bookmarkEnd w:id="418"/>
      <w:bookmarkEnd w:id="419"/>
    </w:p>
    <w:p>
      <w:pPr>
        <w:pStyle w:val="Subsection"/>
      </w:pPr>
      <w:r>
        <w:tab/>
      </w:r>
      <w:r>
        <w:tab/>
        <w:t>It is not necessary for an unweaned goat to be identified in accordance with regulation 164F(1)(a) if it is being moved with its mother from the property on which it is kept to another property with the same relevant PIC.</w:t>
      </w:r>
    </w:p>
    <w:p>
      <w:pPr>
        <w:pStyle w:val="Heading5"/>
      </w:pPr>
      <w:bookmarkStart w:id="420" w:name="_Toc184300453"/>
      <w:bookmarkStart w:id="421" w:name="_Toc184724040"/>
      <w:bookmarkStart w:id="422" w:name="_Toc185866457"/>
      <w:r>
        <w:rPr>
          <w:rStyle w:val="CharSectno"/>
        </w:rPr>
        <w:t>164H</w:t>
      </w:r>
      <w:r>
        <w:t>.</w:t>
      </w:r>
      <w:r>
        <w:tab/>
        <w:t>Requirements for earmarks</w:t>
      </w:r>
      <w:bookmarkEnd w:id="420"/>
      <w:bookmarkEnd w:id="421"/>
      <w:bookmarkEnd w:id="422"/>
    </w:p>
    <w:p>
      <w:pPr>
        <w:pStyle w:val="Subsection"/>
      </w:pPr>
      <w:r>
        <w:tab/>
      </w:r>
      <w:r>
        <w:tab/>
        <w:t>For the purposes of regulation 164F(2), a registered identifier is applied as an earmark in accordance with this regulation if —</w:t>
      </w:r>
    </w:p>
    <w:p>
      <w:pPr>
        <w:pStyle w:val="Indenta"/>
      </w:pPr>
      <w:r>
        <w:tab/>
        <w:t>(a)</w:t>
      </w:r>
      <w:r>
        <w:tab/>
        <w:t>in the case of a male goat — it is applied in the right ear; and</w:t>
      </w:r>
    </w:p>
    <w:p>
      <w:pPr>
        <w:pStyle w:val="Indenta"/>
      </w:pPr>
      <w:r>
        <w:lastRenderedPageBreak/>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bookmarkStart w:id="423" w:name="_Toc184300454"/>
      <w:bookmarkStart w:id="424" w:name="_Toc184724041"/>
      <w:r>
        <w:tab/>
        <w:t>[Regulation 164H inserted: SL 2024/264 r. 11.]</w:t>
      </w:r>
    </w:p>
    <w:p>
      <w:pPr>
        <w:pStyle w:val="Heading5"/>
      </w:pPr>
      <w:bookmarkStart w:id="425" w:name="_Toc185866458"/>
      <w:r>
        <w:rPr>
          <w:rStyle w:val="CharSectno"/>
        </w:rPr>
        <w:t>164I</w:t>
      </w:r>
      <w:r>
        <w:t>.</w:t>
      </w:r>
      <w:r>
        <w:tab/>
        <w:t>Application of markings: goat</w:t>
      </w:r>
      <w:bookmarkEnd w:id="423"/>
      <w:bookmarkEnd w:id="424"/>
      <w:bookmarkEnd w:id="425"/>
    </w:p>
    <w:p>
      <w:pPr>
        <w:pStyle w:val="Subsection"/>
      </w:pPr>
      <w:r>
        <w:tab/>
      </w:r>
      <w:r>
        <w:tab/>
        <w:t xml:space="preserve">A person must not apply a marking to a goat, other than an identifier applied under regulation 164F,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t>it is applied in such a manner, and in such a position, as to render it clearly distinguishable from an identifier applied to the goat under regulation 164F.</w:t>
      </w:r>
    </w:p>
    <w:p>
      <w:pPr>
        <w:pStyle w:val="Penstart"/>
      </w:pPr>
      <w:r>
        <w:tab/>
        <w:t>Penalty: a fine of $2 000.</w:t>
      </w:r>
    </w:p>
    <w:p>
      <w:pPr>
        <w:pStyle w:val="Footnotesection"/>
      </w:pPr>
      <w:bookmarkStart w:id="426" w:name="_Toc184300455"/>
      <w:bookmarkStart w:id="427" w:name="_Toc184300553"/>
      <w:bookmarkStart w:id="428" w:name="_Toc184300636"/>
      <w:bookmarkStart w:id="429" w:name="_Toc184300750"/>
      <w:bookmarkStart w:id="430" w:name="_Toc184724042"/>
      <w:bookmarkStart w:id="431" w:name="_Toc185857348"/>
      <w:bookmarkStart w:id="432" w:name="_Toc185857692"/>
      <w:r>
        <w:tab/>
        <w:t>[Regulation 164I inserted: SL 2024/264 r. 11.]</w:t>
      </w:r>
    </w:p>
    <w:p>
      <w:pPr>
        <w:pStyle w:val="Heading4"/>
      </w:pPr>
      <w:bookmarkStart w:id="433" w:name="_Toc185866459"/>
      <w:r>
        <w:t>Subdivision 3 — Owner responsibilities when sheep and goats moved</w:t>
      </w:r>
      <w:bookmarkEnd w:id="426"/>
      <w:bookmarkEnd w:id="427"/>
      <w:bookmarkEnd w:id="428"/>
      <w:bookmarkEnd w:id="429"/>
      <w:bookmarkEnd w:id="430"/>
      <w:bookmarkEnd w:id="431"/>
      <w:bookmarkEnd w:id="432"/>
      <w:bookmarkEnd w:id="433"/>
    </w:p>
    <w:p>
      <w:pPr>
        <w:pStyle w:val="Footnoteheading"/>
      </w:pPr>
      <w:bookmarkStart w:id="434" w:name="_Toc184300456"/>
      <w:bookmarkStart w:id="435" w:name="_Toc184724043"/>
      <w:r>
        <w:tab/>
        <w:t>[Heading inserted: SL 2024/264 r. 11.]</w:t>
      </w:r>
    </w:p>
    <w:p>
      <w:pPr>
        <w:pStyle w:val="Heading5"/>
      </w:pPr>
      <w:bookmarkStart w:id="436" w:name="_Toc185866460"/>
      <w:r>
        <w:rPr>
          <w:rStyle w:val="CharSectno"/>
        </w:rPr>
        <w:t>164J</w:t>
      </w:r>
      <w:r>
        <w:t>.</w:t>
      </w:r>
      <w:r>
        <w:tab/>
        <w:t>Responsibilities of owner before moving sheep or goat</w:t>
      </w:r>
      <w:bookmarkEnd w:id="434"/>
      <w:bookmarkEnd w:id="435"/>
      <w:bookmarkEnd w:id="436"/>
    </w:p>
    <w:p>
      <w:pPr>
        <w:pStyle w:val="Subsection"/>
      </w:pPr>
      <w:r>
        <w:tab/>
      </w:r>
      <w:r>
        <w:tab/>
        <w:t>An owner of a sheep or goat must not cause or permit the sheep or goat to be moved from the farming property on which it is kept unless —</w:t>
      </w:r>
    </w:p>
    <w:p>
      <w:pPr>
        <w:pStyle w:val="Indenta"/>
      </w:pPr>
      <w:r>
        <w:tab/>
        <w:t>(a)</w:t>
      </w:r>
      <w:r>
        <w:tab/>
        <w:t>the sheep or goat has an NLIS device applied to it; and</w:t>
      </w:r>
    </w:p>
    <w:p>
      <w:pPr>
        <w:pStyle w:val="Indenta"/>
      </w:pPr>
      <w:r>
        <w:tab/>
        <w:t>(b)</w:t>
      </w:r>
      <w:r>
        <w:tab/>
        <w:t>the PIC recorded in the NLIS database in relation to the device is the relevant PIC of the property from which the sheep or goat is to be moved.</w:t>
      </w:r>
    </w:p>
    <w:p>
      <w:pPr>
        <w:pStyle w:val="Penstart"/>
      </w:pPr>
      <w:r>
        <w:tab/>
        <w:t>Penalty: a fine of $5 000.</w:t>
      </w:r>
    </w:p>
    <w:p>
      <w:pPr>
        <w:pStyle w:val="Footnotesection"/>
      </w:pPr>
      <w:bookmarkStart w:id="437" w:name="_Toc184300457"/>
      <w:bookmarkStart w:id="438" w:name="_Toc184724044"/>
      <w:r>
        <w:lastRenderedPageBreak/>
        <w:tab/>
        <w:t>[Regulation 164J inserted: SL 2024/264 r. 11.]</w:t>
      </w:r>
    </w:p>
    <w:p>
      <w:pPr>
        <w:pStyle w:val="Heading5"/>
      </w:pPr>
      <w:bookmarkStart w:id="439" w:name="_Toc185866461"/>
      <w:r>
        <w:rPr>
          <w:rStyle w:val="CharSectno"/>
        </w:rPr>
        <w:t>164K</w:t>
      </w:r>
      <w:r>
        <w:t>.</w:t>
      </w:r>
      <w:r>
        <w:tab/>
        <w:t>Exemptions from NLIS device identification when sheep or goat moved</w:t>
      </w:r>
      <w:bookmarkEnd w:id="437"/>
      <w:bookmarkEnd w:id="438"/>
      <w:bookmarkEnd w:id="439"/>
    </w:p>
    <w:p>
      <w:pPr>
        <w:pStyle w:val="Subsection"/>
      </w:pPr>
      <w:r>
        <w:tab/>
        <w:t>(1)</w:t>
      </w:r>
      <w:r>
        <w:tab/>
        <w:t>Regulation 164J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if an inspector approves the movement of the sheep or goat without an NLIS device being applied to it.</w:t>
      </w:r>
    </w:p>
    <w:p>
      <w:pPr>
        <w:pStyle w:val="Subsection"/>
      </w:pPr>
      <w:r>
        <w:tab/>
        <w:t>(2)</w:t>
      </w:r>
      <w:r>
        <w:tab/>
        <w:t xml:space="preserve">The exemption in subregulation (1)(b) applies only if — </w:t>
      </w:r>
    </w:p>
    <w:p>
      <w:pPr>
        <w:pStyle w:val="Indenta"/>
      </w:pPr>
      <w:r>
        <w:tab/>
        <w:t>(a)</w:t>
      </w:r>
      <w:r>
        <w:tab/>
        <w:t>the person has given the carrier of the sheep or goat a waybill that relates to the sheep or goat and to no other sheep or goats, unless all of them are being moved under the exemption; and</w:t>
      </w:r>
    </w:p>
    <w:p>
      <w:pPr>
        <w:pStyle w:val="Indenta"/>
      </w:pPr>
      <w:r>
        <w:tab/>
        <w:t>(b)</w:t>
      </w:r>
      <w:r>
        <w:tab/>
        <w:t>the person has taken all practicable measures to ensure that the sheep or goat, while it is being moved, is kept separate from —</w:t>
      </w:r>
    </w:p>
    <w:p>
      <w:pPr>
        <w:pStyle w:val="Indenti"/>
      </w:pPr>
      <w:r>
        <w:tab/>
        <w:t>(i)</w:t>
      </w:r>
      <w:r>
        <w:tab/>
        <w:t>any NLIS identified sheep or goat; and</w:t>
      </w:r>
    </w:p>
    <w:p>
      <w:pPr>
        <w:pStyle w:val="Indenti"/>
      </w:pPr>
      <w:r>
        <w:tab/>
        <w:t>(ii)</w:t>
      </w:r>
      <w:r>
        <w:tab/>
        <w:t>any sheep or goat being moved from another property.</w:t>
      </w:r>
    </w:p>
    <w:p>
      <w:pPr>
        <w:pStyle w:val="Footnotesection"/>
      </w:pPr>
      <w:bookmarkStart w:id="440" w:name="_Toc184300458"/>
      <w:bookmarkStart w:id="441" w:name="_Toc184724045"/>
      <w:r>
        <w:tab/>
        <w:t>[Regulation 164K inserted: SL 2024/264 r. 11.]</w:t>
      </w:r>
    </w:p>
    <w:p>
      <w:pPr>
        <w:pStyle w:val="Heading5"/>
      </w:pPr>
      <w:bookmarkStart w:id="442" w:name="_Toc185866462"/>
      <w:r>
        <w:rPr>
          <w:rStyle w:val="CharSectno"/>
        </w:rPr>
        <w:t>164L</w:t>
      </w:r>
      <w:r>
        <w:t>.</w:t>
      </w:r>
      <w:r>
        <w:tab/>
        <w:t>Responsibility of owner if receiving sheep or goat without NLIS device</w:t>
      </w:r>
      <w:bookmarkEnd w:id="440"/>
      <w:bookmarkEnd w:id="441"/>
      <w:bookmarkEnd w:id="442"/>
      <w:r>
        <w:t xml:space="preserve"> </w:t>
      </w:r>
    </w:p>
    <w:p>
      <w:pPr>
        <w:pStyle w:val="Subsection"/>
      </w:pPr>
      <w:r>
        <w:tab/>
      </w:r>
      <w:r>
        <w:tab/>
        <w:t>Unless an inspector in a particular case approves otherwise, if a sheep or goat other than an NLIS identified sheep or goat is moved to a farming property, the receiving owner must, as soon as practicable after taking possession of the sheep or goat, apply, or cause to be applied, to the sheep or goat an NLIS post breeder device.</w:t>
      </w:r>
    </w:p>
    <w:p>
      <w:pPr>
        <w:pStyle w:val="Penstart"/>
      </w:pPr>
      <w:r>
        <w:tab/>
        <w:t>Penalty: a fine of $2 000</w:t>
      </w:r>
    </w:p>
    <w:p>
      <w:pPr>
        <w:pStyle w:val="Footnotesection"/>
      </w:pPr>
      <w:bookmarkStart w:id="443" w:name="_Toc184300459"/>
      <w:bookmarkStart w:id="444" w:name="_Toc184724046"/>
      <w:r>
        <w:lastRenderedPageBreak/>
        <w:tab/>
        <w:t>[Regulation 164L inserted: SL 2024/264 r. 11.]</w:t>
      </w:r>
    </w:p>
    <w:p>
      <w:pPr>
        <w:pStyle w:val="Heading5"/>
      </w:pPr>
      <w:bookmarkStart w:id="445" w:name="_Toc185866463"/>
      <w:r>
        <w:rPr>
          <w:rStyle w:val="CharSectno"/>
        </w:rPr>
        <w:t>164M</w:t>
      </w:r>
      <w:r>
        <w:t>.</w:t>
      </w:r>
      <w:r>
        <w:tab/>
        <w:t>Responsibility of owner if receiving NLIS identified sheep or goat</w:t>
      </w:r>
      <w:bookmarkEnd w:id="443"/>
      <w:bookmarkEnd w:id="444"/>
      <w:bookmarkEnd w:id="445"/>
    </w:p>
    <w:p>
      <w:pPr>
        <w:pStyle w:val="Subsection"/>
      </w:pPr>
      <w:r>
        <w:tab/>
        <w:t>(1)</w:t>
      </w:r>
      <w:r>
        <w:tab/>
        <w:t xml:space="preserve">If an NLIS identified sheep or goat is moved from a property (the </w:t>
      </w:r>
      <w:r>
        <w:rPr>
          <w:rStyle w:val="CharDefText"/>
        </w:rPr>
        <w:t>first property</w:t>
      </w:r>
      <w:r>
        <w:t xml:space="preserve">) to a farming property with a different PIC, the receiving owner must, within 48 hours after the sheep or goat is moved from the first property, record in the NLIS database the following — </w:t>
      </w:r>
    </w:p>
    <w:p>
      <w:pPr>
        <w:pStyle w:val="Indenta"/>
      </w:pPr>
      <w:r>
        <w:tab/>
        <w:t>(a)</w:t>
      </w:r>
      <w:r>
        <w:tab/>
        <w:t xml:space="preserve">the relevant PIC of the first property; </w:t>
      </w:r>
    </w:p>
    <w:p>
      <w:pPr>
        <w:pStyle w:val="Indenta"/>
      </w:pPr>
      <w:r>
        <w:tab/>
        <w:t>(b)</w:t>
      </w:r>
      <w:r>
        <w:tab/>
        <w:t>the relevant PIC of the farming property to which the sheep or goat has been moved;</w:t>
      </w:r>
    </w:p>
    <w:p>
      <w:pPr>
        <w:pStyle w:val="Indenta"/>
      </w:pPr>
      <w:r>
        <w:tab/>
        <w:t>(c)</w:t>
      </w:r>
      <w:r>
        <w:tab/>
        <w:t xml:space="preserve">the serial number of the transport document relating to the movement of the sheep or goat to the farming property; </w:t>
      </w:r>
    </w:p>
    <w:p>
      <w:pPr>
        <w:pStyle w:val="Indenta"/>
      </w:pPr>
      <w:r>
        <w:tab/>
        <w:t>(d)</w:t>
      </w:r>
      <w:r>
        <w:tab/>
        <w:t>the date the sheep or goat was moved from the first property.</w:t>
      </w:r>
    </w:p>
    <w:p>
      <w:pPr>
        <w:pStyle w:val="Penstart"/>
      </w:pPr>
      <w:r>
        <w:tab/>
        <w:t>Penalty for this subregulation: a fine of $5 000.</w:t>
      </w:r>
    </w:p>
    <w:p>
      <w:pPr>
        <w:pStyle w:val="Subsection"/>
      </w:pPr>
      <w:r>
        <w:tab/>
        <w:t>(2)</w:t>
      </w:r>
      <w:r>
        <w:tab/>
        <w:t>Subregulation (1) does not apply if —</w:t>
      </w:r>
    </w:p>
    <w:p>
      <w:pPr>
        <w:pStyle w:val="Indenta"/>
      </w:pPr>
      <w:r>
        <w:tab/>
        <w:t>(a)</w:t>
      </w:r>
      <w:r>
        <w:tab/>
        <w:t>the sheep or goat was purchased by the receiving owner at a property other than a saleyard; or</w:t>
      </w:r>
    </w:p>
    <w:p>
      <w:pPr>
        <w:pStyle w:val="Indenta"/>
      </w:pPr>
      <w:r>
        <w:tab/>
        <w:t>(b)</w:t>
      </w:r>
      <w:r>
        <w:tab/>
        <w:t>an inspector has given written approval for the sheep or goat to be moved to another property without updating the NLIS database.</w:t>
      </w:r>
    </w:p>
    <w:p>
      <w:pPr>
        <w:pStyle w:val="PermNoteHeading"/>
      </w:pPr>
      <w:r>
        <w:tab/>
        <w:t xml:space="preserve">Note for this subregulation: </w:t>
      </w:r>
    </w:p>
    <w:p>
      <w:pPr>
        <w:pStyle w:val="PermNoteText"/>
      </w:pPr>
      <w:r>
        <w:tab/>
      </w:r>
      <w:r>
        <w:tab/>
        <w:t>For the purposes of paragraph (a), see regulation 164O(3) for the requirement to record information in the NLIS database in relation to a sheep or goat referred to in subregulation (2)(a).</w:t>
      </w:r>
    </w:p>
    <w:p>
      <w:pPr>
        <w:pStyle w:val="Footnotesection"/>
      </w:pPr>
      <w:bookmarkStart w:id="446" w:name="_Toc184300460"/>
      <w:bookmarkStart w:id="447" w:name="_Toc184300558"/>
      <w:bookmarkStart w:id="448" w:name="_Toc184300641"/>
      <w:bookmarkStart w:id="449" w:name="_Toc184300755"/>
      <w:bookmarkStart w:id="450" w:name="_Toc184724047"/>
      <w:bookmarkStart w:id="451" w:name="_Toc185857353"/>
      <w:bookmarkStart w:id="452" w:name="_Toc185857697"/>
      <w:r>
        <w:tab/>
        <w:t>[Regulation 164M inserted: SL 2024/264 r. 11.]</w:t>
      </w:r>
    </w:p>
    <w:p>
      <w:pPr>
        <w:pStyle w:val="Heading4"/>
      </w:pPr>
      <w:bookmarkStart w:id="453" w:name="_Toc185866464"/>
      <w:r>
        <w:lastRenderedPageBreak/>
        <w:t>Subdivision 4 — Owner responsibilities if sheep or goat dies</w:t>
      </w:r>
      <w:bookmarkEnd w:id="446"/>
      <w:bookmarkEnd w:id="447"/>
      <w:bookmarkEnd w:id="448"/>
      <w:bookmarkEnd w:id="449"/>
      <w:bookmarkEnd w:id="450"/>
      <w:bookmarkEnd w:id="451"/>
      <w:bookmarkEnd w:id="452"/>
      <w:bookmarkEnd w:id="453"/>
    </w:p>
    <w:p>
      <w:pPr>
        <w:pStyle w:val="Footnoteheading"/>
        <w:keepNext/>
      </w:pPr>
      <w:bookmarkStart w:id="454" w:name="_Toc184300461"/>
      <w:bookmarkStart w:id="455" w:name="_Toc184724048"/>
      <w:r>
        <w:tab/>
        <w:t>[Heading inserted: SL 2024/264 r. 11.]</w:t>
      </w:r>
    </w:p>
    <w:p>
      <w:pPr>
        <w:pStyle w:val="Heading5"/>
      </w:pPr>
      <w:bookmarkStart w:id="456" w:name="_Toc185866465"/>
      <w:r>
        <w:rPr>
          <w:rStyle w:val="CharSectno"/>
        </w:rPr>
        <w:t>164N</w:t>
      </w:r>
      <w:r>
        <w:t>.</w:t>
      </w:r>
      <w:r>
        <w:tab/>
        <w:t>Responsibilities of owner if sheep or goat dies on or while being moved to farming property</w:t>
      </w:r>
      <w:bookmarkEnd w:id="454"/>
      <w:bookmarkEnd w:id="455"/>
      <w:bookmarkEnd w:id="456"/>
    </w:p>
    <w:p>
      <w:pPr>
        <w:pStyle w:val="Subsection"/>
      </w:pPr>
      <w:r>
        <w:tab/>
        <w:t>(1)</w:t>
      </w:r>
      <w:r>
        <w:tab/>
        <w:t>If an NLIS identified sheep or goat dies on the farming property on which it is kept, or while being moved to another farming property with the same relevant PIC, the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(2)</w:t>
      </w:r>
      <w:r>
        <w:tab/>
        <w:t>If an NLIS identified sheep or goat dies while being moved from a property to a farming property that does not have the same relevant PIC, the receiving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(3)</w:t>
      </w:r>
      <w:r>
        <w:tab/>
        <w:t xml:space="preserve">The information is as follows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Footnotesection"/>
      </w:pPr>
      <w:bookmarkStart w:id="457" w:name="_Toc184300462"/>
      <w:bookmarkStart w:id="458" w:name="_Toc184300560"/>
      <w:bookmarkStart w:id="459" w:name="_Toc184300643"/>
      <w:bookmarkStart w:id="460" w:name="_Toc184300757"/>
      <w:bookmarkStart w:id="461" w:name="_Toc184724049"/>
      <w:bookmarkStart w:id="462" w:name="_Toc185857355"/>
      <w:bookmarkStart w:id="463" w:name="_Toc185857699"/>
      <w:r>
        <w:tab/>
        <w:t>[Regulation 164N inserted: SL 2024/264 r. 11.]</w:t>
      </w:r>
    </w:p>
    <w:p>
      <w:pPr>
        <w:pStyle w:val="Heading4"/>
      </w:pPr>
      <w:bookmarkStart w:id="464" w:name="_Toc185866466"/>
      <w:r>
        <w:lastRenderedPageBreak/>
        <w:t>Subdivision 5 — Purchasers of sheep and goats</w:t>
      </w:r>
      <w:bookmarkEnd w:id="457"/>
      <w:bookmarkEnd w:id="458"/>
      <w:bookmarkEnd w:id="459"/>
      <w:bookmarkEnd w:id="460"/>
      <w:bookmarkEnd w:id="461"/>
      <w:bookmarkEnd w:id="462"/>
      <w:bookmarkEnd w:id="463"/>
      <w:bookmarkEnd w:id="464"/>
    </w:p>
    <w:p>
      <w:pPr>
        <w:pStyle w:val="Footnoteheading"/>
        <w:keepNext/>
      </w:pPr>
      <w:bookmarkStart w:id="465" w:name="_Toc184300463"/>
      <w:bookmarkStart w:id="466" w:name="_Toc184724050"/>
      <w:r>
        <w:tab/>
        <w:t>[Heading inserted: SL 2024/264 r. 11.]</w:t>
      </w:r>
    </w:p>
    <w:p>
      <w:pPr>
        <w:pStyle w:val="Heading5"/>
      </w:pPr>
      <w:bookmarkStart w:id="467" w:name="_Toc185866467"/>
      <w:r>
        <w:rPr>
          <w:rStyle w:val="CharSectno"/>
        </w:rPr>
        <w:t>164O</w:t>
      </w:r>
      <w:r>
        <w:t>.</w:t>
      </w:r>
      <w:r>
        <w:tab/>
        <w:t>Responsibilities of purchasers of sheep and goats</w:t>
      </w:r>
      <w:bookmarkEnd w:id="465"/>
      <w:bookmarkEnd w:id="466"/>
      <w:bookmarkEnd w:id="467"/>
    </w:p>
    <w:p>
      <w:pPr>
        <w:pStyle w:val="Subsection"/>
      </w:pPr>
      <w:r>
        <w:tab/>
        <w:t>(1)</w:t>
      </w:r>
      <w:r>
        <w:tab/>
        <w:t>A purchaser of a sheep or goat at a property other than a saleyard must, when requested by the property operator, give the property operator the relevant PIC of the property to which the sheep or goat is to be moved.</w:t>
      </w:r>
    </w:p>
    <w:p>
      <w:pPr>
        <w:pStyle w:val="Penstart"/>
      </w:pPr>
      <w:r>
        <w:tab/>
        <w:t>Penalty for this subregulation: a fine of $5 000.</w:t>
      </w:r>
    </w:p>
    <w:p>
      <w:pPr>
        <w:pStyle w:val="Subsection"/>
      </w:pPr>
      <w:r>
        <w:tab/>
        <w:t>(2)</w:t>
      </w:r>
      <w:r>
        <w:tab/>
        <w:t>A purchaser of a sheep or goat at a saleyard must, when requested by the saleyard operator, give the saleyard operator either —</w:t>
      </w:r>
    </w:p>
    <w:p>
      <w:pPr>
        <w:pStyle w:val="Indenta"/>
      </w:pPr>
      <w:r>
        <w:tab/>
        <w:t>(a)</w:t>
      </w:r>
      <w:r>
        <w:tab/>
        <w:t>the relevant PIC of the property to which the sheep or goat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an NLIS identified sheep or goat at a property other than a saleyard must, within 48 hours after the sheep or goat is moved from the property, record in the NLIS database the following —</w:t>
      </w:r>
    </w:p>
    <w:p>
      <w:pPr>
        <w:pStyle w:val="Indenta"/>
      </w:pPr>
      <w:r>
        <w:tab/>
        <w:t>(a)</w:t>
      </w:r>
      <w:r>
        <w:tab/>
        <w:t>the relevant PIC of the property from which the sheep or goat has been moved;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property;</w:t>
      </w:r>
    </w:p>
    <w:p>
      <w:pPr>
        <w:pStyle w:val="Indenta"/>
      </w:pPr>
      <w:r>
        <w:tab/>
        <w:t>(d)</w:t>
      </w:r>
      <w:r>
        <w:tab/>
        <w:t>the date the sheep or goat was moved from the property.</w:t>
      </w:r>
    </w:p>
    <w:p>
      <w:pPr>
        <w:pStyle w:val="Penstart"/>
      </w:pPr>
      <w:r>
        <w:tab/>
        <w:t>Penalty for this subregulation: a fine of $5 000.</w:t>
      </w:r>
    </w:p>
    <w:p>
      <w:pPr>
        <w:pStyle w:val="Subsection"/>
      </w:pPr>
      <w:r>
        <w:tab/>
        <w:t>(4)</w:t>
      </w:r>
      <w:r>
        <w:tab/>
        <w:t xml:space="preserve">If, in relation to the purchase from a saleyard of an NLIS identified sheep or goat, a purchaser does not give the saleyard operator a relevant PIC under subregulation (2), the purchaser </w:t>
      </w:r>
      <w:r>
        <w:lastRenderedPageBreak/>
        <w:t xml:space="preserve">must, within 24 hours after the sheep or goat is moved from the saleyard, record in the NLIS database the following — </w:t>
      </w:r>
    </w:p>
    <w:p>
      <w:pPr>
        <w:pStyle w:val="Indenta"/>
      </w:pPr>
      <w:r>
        <w:tab/>
        <w:t>(a)</w:t>
      </w:r>
      <w:r>
        <w:tab/>
        <w:t>the purchaser’s BIC;</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saleyard;</w:t>
      </w:r>
    </w:p>
    <w:p>
      <w:pPr>
        <w:pStyle w:val="Indenta"/>
      </w:pPr>
      <w:r>
        <w:tab/>
        <w:t>(d)</w:t>
      </w:r>
      <w:r>
        <w:tab/>
        <w:t>the date the sheep or goat was moved from the saleyard.</w:t>
      </w:r>
    </w:p>
    <w:p>
      <w:pPr>
        <w:pStyle w:val="Penstart"/>
      </w:pPr>
      <w:r>
        <w:tab/>
        <w:t>Penalty for this subregulation: a fine of $5 000.</w:t>
      </w:r>
    </w:p>
    <w:p>
      <w:pPr>
        <w:pStyle w:val="Subsection"/>
      </w:pPr>
      <w:r>
        <w:tab/>
        <w:t>(5)</w:t>
      </w:r>
      <w:r>
        <w:tab/>
        <w:t>A purchaser of a sheep or goat at a property must not take possession or control of the sheep or goat unless it is moved in accordance with this Part.</w:t>
      </w:r>
    </w:p>
    <w:p>
      <w:pPr>
        <w:pStyle w:val="Penstart"/>
      </w:pPr>
      <w:r>
        <w:tab/>
        <w:t>Penalty for this subregulation: a fine of $5 000.</w:t>
      </w:r>
    </w:p>
    <w:p>
      <w:pPr>
        <w:pStyle w:val="Footnotesection"/>
      </w:pPr>
      <w:bookmarkStart w:id="468" w:name="_Toc184300464"/>
      <w:bookmarkStart w:id="469" w:name="_Toc184300562"/>
      <w:bookmarkStart w:id="470" w:name="_Toc184300645"/>
      <w:bookmarkStart w:id="471" w:name="_Toc184300759"/>
      <w:bookmarkStart w:id="472" w:name="_Toc184724051"/>
      <w:bookmarkStart w:id="473" w:name="_Toc185857357"/>
      <w:bookmarkStart w:id="474" w:name="_Toc185857701"/>
      <w:r>
        <w:tab/>
        <w:t>[Regulation 164O inserted: SL 2024/264 r. 11.]</w:t>
      </w:r>
    </w:p>
    <w:p>
      <w:pPr>
        <w:pStyle w:val="Heading3"/>
      </w:pPr>
      <w:bookmarkStart w:id="475" w:name="_Toc185866468"/>
      <w:r>
        <w:rPr>
          <w:rStyle w:val="CharDivNo"/>
        </w:rPr>
        <w:t>Division 3</w:t>
      </w:r>
      <w:r>
        <w:t> —</w:t>
      </w:r>
      <w:r>
        <w:rPr>
          <w:rStyle w:val="CharDivText"/>
        </w:rPr>
        <w:t> Property operators</w:t>
      </w:r>
      <w:bookmarkEnd w:id="468"/>
      <w:bookmarkEnd w:id="469"/>
      <w:bookmarkEnd w:id="470"/>
      <w:bookmarkEnd w:id="471"/>
      <w:bookmarkEnd w:id="472"/>
      <w:bookmarkEnd w:id="473"/>
      <w:bookmarkEnd w:id="474"/>
      <w:bookmarkEnd w:id="475"/>
    </w:p>
    <w:p>
      <w:pPr>
        <w:pStyle w:val="Footnoteheading"/>
      </w:pPr>
      <w:bookmarkStart w:id="476" w:name="_Toc184300465"/>
      <w:bookmarkStart w:id="477" w:name="_Toc184300563"/>
      <w:bookmarkStart w:id="478" w:name="_Toc184300646"/>
      <w:bookmarkStart w:id="479" w:name="_Toc184300760"/>
      <w:bookmarkStart w:id="480" w:name="_Toc184724052"/>
      <w:r>
        <w:tab/>
        <w:t>[Heading inserted: SL 2024/264 r. 11.]</w:t>
      </w:r>
    </w:p>
    <w:p>
      <w:pPr>
        <w:pStyle w:val="Heading4"/>
      </w:pPr>
      <w:bookmarkStart w:id="481" w:name="_Toc185857358"/>
      <w:bookmarkStart w:id="482" w:name="_Toc185857702"/>
      <w:bookmarkStart w:id="483" w:name="_Toc185866469"/>
      <w:r>
        <w:t>Subdivision 1 — General provisions relating to property operators</w:t>
      </w:r>
      <w:bookmarkEnd w:id="476"/>
      <w:bookmarkEnd w:id="477"/>
      <w:bookmarkEnd w:id="478"/>
      <w:bookmarkEnd w:id="479"/>
      <w:bookmarkEnd w:id="480"/>
      <w:bookmarkEnd w:id="481"/>
      <w:bookmarkEnd w:id="482"/>
      <w:bookmarkEnd w:id="483"/>
    </w:p>
    <w:p>
      <w:pPr>
        <w:pStyle w:val="Footnoteheading"/>
      </w:pPr>
      <w:bookmarkStart w:id="484" w:name="_Toc184300466"/>
      <w:bookmarkStart w:id="485" w:name="_Toc184724053"/>
      <w:r>
        <w:tab/>
        <w:t>[Heading inserted: SL 2024/264 r. 11.]</w:t>
      </w:r>
    </w:p>
    <w:p>
      <w:pPr>
        <w:pStyle w:val="Heading5"/>
      </w:pPr>
      <w:bookmarkStart w:id="486" w:name="_Toc185866470"/>
      <w:r>
        <w:rPr>
          <w:rStyle w:val="CharSectno"/>
        </w:rPr>
        <w:t>164P</w:t>
      </w:r>
      <w:r>
        <w:t>.</w:t>
      </w:r>
      <w:r>
        <w:tab/>
        <w:t>Sheep and goats not to be delivered to property without relevant PIC</w:t>
      </w:r>
      <w:bookmarkEnd w:id="484"/>
      <w:bookmarkEnd w:id="485"/>
      <w:bookmarkEnd w:id="486"/>
    </w:p>
    <w:p>
      <w:pPr>
        <w:pStyle w:val="Subsection"/>
      </w:pPr>
      <w:r>
        <w:tab/>
      </w:r>
      <w:r>
        <w:tab/>
        <w:t>The operator of a property must not cause or permit a sheep or goat to be moved to the property unless the operator is the registered owner of a relevant PIC for the property.</w:t>
      </w:r>
    </w:p>
    <w:p>
      <w:pPr>
        <w:pStyle w:val="Penstart"/>
      </w:pPr>
      <w:r>
        <w:tab/>
        <w:t>Penalty: a fine of $5 000.</w:t>
      </w:r>
    </w:p>
    <w:p>
      <w:pPr>
        <w:pStyle w:val="Footnotesection"/>
      </w:pPr>
      <w:bookmarkStart w:id="487" w:name="_Toc184300467"/>
      <w:bookmarkStart w:id="488" w:name="_Toc184724054"/>
      <w:r>
        <w:tab/>
        <w:t>[Regulation 164P inserted: SL 2024/264 r. 11.]</w:t>
      </w:r>
    </w:p>
    <w:p>
      <w:pPr>
        <w:pStyle w:val="Heading5"/>
      </w:pPr>
      <w:bookmarkStart w:id="489" w:name="_Toc185866471"/>
      <w:r>
        <w:rPr>
          <w:rStyle w:val="CharSectno"/>
        </w:rPr>
        <w:lastRenderedPageBreak/>
        <w:t>164Q</w:t>
      </w:r>
      <w:r>
        <w:t>.</w:t>
      </w:r>
      <w:r>
        <w:tab/>
        <w:t>Responsibility of property operator if sheep or goat dies on or while being moved to property</w:t>
      </w:r>
      <w:bookmarkEnd w:id="487"/>
      <w:bookmarkEnd w:id="488"/>
      <w:bookmarkEnd w:id="489"/>
    </w:p>
    <w:p>
      <w:pPr>
        <w:pStyle w:val="Subsection"/>
      </w:pPr>
      <w:r>
        <w:tab/>
      </w:r>
      <w:r>
        <w:tab/>
        <w:t>If an NLIS identified sheep or goat dies (except by slaughter) on, or while being moved to, a non</w:t>
      </w:r>
      <w:r>
        <w:noBreakHyphen/>
        <w:t xml:space="preserve">farming property, the property operator must, within 48 hours after the animal is found dead, record in the NLIS database the following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Penstart"/>
      </w:pPr>
      <w:r>
        <w:tab/>
        <w:t>Penalty: a fine of $2 000.</w:t>
      </w:r>
    </w:p>
    <w:p>
      <w:pPr>
        <w:pStyle w:val="Footnotesection"/>
      </w:pPr>
      <w:bookmarkStart w:id="490" w:name="_Toc184300468"/>
      <w:bookmarkStart w:id="491" w:name="_Toc184300566"/>
      <w:bookmarkStart w:id="492" w:name="_Toc184300649"/>
      <w:bookmarkStart w:id="493" w:name="_Toc184300763"/>
      <w:bookmarkStart w:id="494" w:name="_Toc184724055"/>
      <w:bookmarkStart w:id="495" w:name="_Toc185857361"/>
      <w:bookmarkStart w:id="496" w:name="_Toc185857705"/>
      <w:r>
        <w:tab/>
        <w:t>[Regulation 164Q inserted: SL 2024/264 r. 11.]</w:t>
      </w:r>
    </w:p>
    <w:p>
      <w:pPr>
        <w:pStyle w:val="Heading4"/>
      </w:pPr>
      <w:bookmarkStart w:id="497" w:name="_Toc185866472"/>
      <w:r>
        <w:t>Subdivision 2 — Pounds</w:t>
      </w:r>
      <w:bookmarkEnd w:id="490"/>
      <w:bookmarkEnd w:id="491"/>
      <w:bookmarkEnd w:id="492"/>
      <w:bookmarkEnd w:id="493"/>
      <w:bookmarkEnd w:id="494"/>
      <w:bookmarkEnd w:id="495"/>
      <w:bookmarkEnd w:id="496"/>
      <w:bookmarkEnd w:id="497"/>
    </w:p>
    <w:p>
      <w:pPr>
        <w:pStyle w:val="Footnoteheading"/>
      </w:pPr>
      <w:bookmarkStart w:id="498" w:name="_Toc184300469"/>
      <w:bookmarkStart w:id="499" w:name="_Toc184724056"/>
      <w:r>
        <w:tab/>
        <w:t>[Heading inserted: SL 2024/264 r. 11.]</w:t>
      </w:r>
    </w:p>
    <w:p>
      <w:pPr>
        <w:pStyle w:val="Heading5"/>
      </w:pPr>
      <w:bookmarkStart w:id="500" w:name="_Toc185866473"/>
      <w:r>
        <w:rPr>
          <w:rStyle w:val="CharSectno"/>
        </w:rPr>
        <w:t>164R</w:t>
      </w:r>
      <w:r>
        <w:t>.</w:t>
      </w:r>
      <w:r>
        <w:tab/>
        <w:t>Responsibilities of pound operator if no NLIS device applied to sheep or goat</w:t>
      </w:r>
      <w:bookmarkEnd w:id="498"/>
      <w:bookmarkEnd w:id="499"/>
      <w:bookmarkEnd w:id="500"/>
    </w:p>
    <w:p>
      <w:pPr>
        <w:pStyle w:val="Subsection"/>
      </w:pPr>
      <w:r>
        <w:tab/>
        <w:t>(1)</w:t>
      </w:r>
      <w:r>
        <w:tab/>
        <w:t>This regulation does not apply to an NLIS identified sheep or goat.</w:t>
      </w:r>
    </w:p>
    <w:p>
      <w:pPr>
        <w:pStyle w:val="Subsection"/>
      </w:pPr>
      <w:r>
        <w:tab/>
        <w:t>(2)</w:t>
      </w:r>
      <w:r>
        <w:tab/>
        <w:t>The operator of a pound may, before a sheep or goat is moved to the pound, apply, or cause to be applied, to the sheep or goat an NLIS post breeder device.</w:t>
      </w:r>
    </w:p>
    <w:p>
      <w:pPr>
        <w:pStyle w:val="Subsection"/>
      </w:pPr>
      <w:r>
        <w:tab/>
        <w:t>(3)</w:t>
      </w:r>
      <w:r>
        <w:tab/>
        <w:t>Unless an inspector in a particular case approves otherwise, if a sheep or goat is moved to a pound before the pound operator has applied, or caused to be applied, to the sheep or goat an NLIS post breeder device, the pound operator must, within the period specified in subregulation (4), apply, or cause to be applied, to the sheep or goat an NLIS post breeder device.</w:t>
      </w:r>
    </w:p>
    <w:p>
      <w:pPr>
        <w:pStyle w:val="Penstart"/>
      </w:pPr>
      <w:r>
        <w:lastRenderedPageBreak/>
        <w:tab/>
        <w:t>Penalty for this subregulation: a fine of $2 000.</w:t>
      </w:r>
    </w:p>
    <w:p>
      <w:pPr>
        <w:pStyle w:val="Subsection"/>
      </w:pPr>
      <w:r>
        <w:tab/>
        <w:t>(4)</w:t>
      </w:r>
      <w:r>
        <w:tab/>
        <w:t>The pound operator must comply with subregulation (3) as soon as practicable after the sheep or goat is moved to the pound and before it is moved from the pound.</w:t>
      </w:r>
    </w:p>
    <w:p>
      <w:pPr>
        <w:pStyle w:val="Footnotesection"/>
      </w:pPr>
      <w:bookmarkStart w:id="501" w:name="_Toc184300470"/>
      <w:bookmarkStart w:id="502" w:name="_Toc184724057"/>
      <w:r>
        <w:tab/>
        <w:t>[Regulation 164R inserted: SL 2024/264 r. 11.]</w:t>
      </w:r>
    </w:p>
    <w:p>
      <w:pPr>
        <w:pStyle w:val="Heading5"/>
      </w:pPr>
      <w:bookmarkStart w:id="503" w:name="_Toc185866474"/>
      <w:r>
        <w:rPr>
          <w:rStyle w:val="CharSectno"/>
        </w:rPr>
        <w:t>164S</w:t>
      </w:r>
      <w:r>
        <w:t>.</w:t>
      </w:r>
      <w:r>
        <w:tab/>
        <w:t>Responsibility of pound operator if sheep or goat born at or while being moved to pound</w:t>
      </w:r>
      <w:bookmarkEnd w:id="501"/>
      <w:bookmarkEnd w:id="502"/>
      <w:bookmarkEnd w:id="503"/>
    </w:p>
    <w:p>
      <w:pPr>
        <w:pStyle w:val="Subsection"/>
      </w:pPr>
      <w:r>
        <w:tab/>
      </w:r>
      <w:r>
        <w:tab/>
        <w:t>If a sheep or goat is born at, or while being moved to, a pound, the pound operator must, as soon as practicable after its birth and before it is moved from the pound, apply, or cause to be applied, to the sheep or goat an NLIS post breeder device.</w:t>
      </w:r>
    </w:p>
    <w:p>
      <w:pPr>
        <w:pStyle w:val="Penstart"/>
      </w:pPr>
      <w:r>
        <w:tab/>
        <w:t>Penalty: a fine of $2 000.</w:t>
      </w:r>
    </w:p>
    <w:p>
      <w:pPr>
        <w:pStyle w:val="Footnotesection"/>
      </w:pPr>
      <w:bookmarkStart w:id="504" w:name="_Toc184300471"/>
      <w:bookmarkStart w:id="505" w:name="_Toc184724058"/>
      <w:r>
        <w:tab/>
        <w:t>[Regulation 164S inserted: SL 2024/264 r. 11.]</w:t>
      </w:r>
    </w:p>
    <w:p>
      <w:pPr>
        <w:pStyle w:val="Heading5"/>
      </w:pPr>
      <w:bookmarkStart w:id="506" w:name="_Toc185866475"/>
      <w:r>
        <w:rPr>
          <w:rStyle w:val="CharSectno"/>
        </w:rPr>
        <w:t>164T</w:t>
      </w:r>
      <w:r>
        <w:t>.</w:t>
      </w:r>
      <w:r>
        <w:tab/>
        <w:t>Responsibility of pound operator if NLIS device applied to sheep or goat</w:t>
      </w:r>
      <w:bookmarkEnd w:id="504"/>
      <w:bookmarkEnd w:id="505"/>
      <w:bookmarkEnd w:id="506"/>
    </w:p>
    <w:p>
      <w:pPr>
        <w:pStyle w:val="Subsection"/>
      </w:pPr>
      <w:r>
        <w:tab/>
        <w:t>(1)</w:t>
      </w:r>
      <w:r>
        <w:tab/>
        <w:t>If an NLIS identified sheep or goat is moved to a pound, the pound operator must, within the period specified in subregulation (2), record in the NLIS database the following —</w:t>
      </w:r>
    </w:p>
    <w:p>
      <w:pPr>
        <w:pStyle w:val="Indenta"/>
      </w:pPr>
      <w:r>
        <w:tab/>
        <w:t>(a)</w:t>
      </w:r>
      <w:r>
        <w:tab/>
        <w:t>the relevant PIC of the pound;</w:t>
      </w:r>
    </w:p>
    <w:p>
      <w:pPr>
        <w:pStyle w:val="Indenta"/>
      </w:pPr>
      <w:r>
        <w:tab/>
        <w:t>(b)</w:t>
      </w:r>
      <w:r>
        <w:tab/>
        <w:t>the serial number of the transport document relating to the movement of the sheep or goat to the pound;</w:t>
      </w:r>
    </w:p>
    <w:p>
      <w:pPr>
        <w:pStyle w:val="Indenta"/>
      </w:pPr>
      <w:r>
        <w:tab/>
        <w:t>(c)</w:t>
      </w:r>
      <w:r>
        <w:tab/>
        <w:t>the date the sheep or goat arrived at the pound.</w:t>
      </w:r>
    </w:p>
    <w:p>
      <w:pPr>
        <w:pStyle w:val="Penstart"/>
      </w:pPr>
      <w:r>
        <w:tab/>
        <w:t>Penalty for this subregulation: a fine of $2 000.</w:t>
      </w:r>
    </w:p>
    <w:p>
      <w:pPr>
        <w:pStyle w:val="Subsection"/>
      </w:pPr>
      <w:r>
        <w:tab/>
        <w:t>(2)</w:t>
      </w:r>
      <w:r>
        <w:tab/>
        <w:t>The pound operator must comply with subregulation (1) as soon as practicable after the sheep or goat is moved to the pound and before it is moved from the pound.</w:t>
      </w:r>
    </w:p>
    <w:p>
      <w:pPr>
        <w:pStyle w:val="Footnotesection"/>
      </w:pPr>
      <w:bookmarkStart w:id="507" w:name="_Toc184300472"/>
      <w:bookmarkStart w:id="508" w:name="_Toc184724059"/>
      <w:r>
        <w:tab/>
        <w:t>[Regulation 164T inserted: SL 2024/264 r. 11.]</w:t>
      </w:r>
    </w:p>
    <w:p>
      <w:pPr>
        <w:pStyle w:val="Heading5"/>
      </w:pPr>
      <w:bookmarkStart w:id="509" w:name="_Toc185866476"/>
      <w:r>
        <w:rPr>
          <w:rStyle w:val="CharSectno"/>
        </w:rPr>
        <w:lastRenderedPageBreak/>
        <w:t>164U</w:t>
      </w:r>
      <w:r>
        <w:t>.</w:t>
      </w:r>
      <w:r>
        <w:tab/>
        <w:t>Responsibilities of pound operator if sheep or goat moved from pound</w:t>
      </w:r>
      <w:bookmarkEnd w:id="507"/>
      <w:bookmarkEnd w:id="508"/>
      <w:bookmarkEnd w:id="509"/>
    </w:p>
    <w:p>
      <w:pPr>
        <w:pStyle w:val="Subsection"/>
      </w:pPr>
      <w:r>
        <w:tab/>
        <w:t>(1)</w:t>
      </w:r>
      <w:r>
        <w:tab/>
        <w:t xml:space="preserve">A pound operator must not move, or permit to be moved, from the pound a sheep or goat unless — </w:t>
      </w:r>
    </w:p>
    <w:p>
      <w:pPr>
        <w:pStyle w:val="Indenta"/>
      </w:pPr>
      <w:r>
        <w:tab/>
        <w:t>(a)</w:t>
      </w:r>
      <w:r>
        <w:tab/>
        <w:t>it is to be moved back to the property from which it came or to another property with a relevant PIC; and</w:t>
      </w:r>
    </w:p>
    <w:p>
      <w:pPr>
        <w:pStyle w:val="Indenta"/>
      </w:pPr>
      <w:r>
        <w:tab/>
        <w:t>(b)</w:t>
      </w:r>
      <w:r>
        <w:tab/>
        <w:t>the pound operator has obtained from the person to whom the sheep or goat is sold or otherwise supplied the relevant PIC of the property to which the sheep or goat is to be moved.</w:t>
      </w:r>
    </w:p>
    <w:p>
      <w:pPr>
        <w:pStyle w:val="Penstart"/>
      </w:pPr>
      <w:r>
        <w:tab/>
        <w:t>Penalty for this subregulation: a fine of $2 000.</w:t>
      </w:r>
    </w:p>
    <w:p>
      <w:pPr>
        <w:pStyle w:val="Subsection"/>
      </w:pPr>
      <w:r>
        <w:tab/>
        <w:t>(2)</w:t>
      </w:r>
      <w:r>
        <w:tab/>
        <w:t xml:space="preserve">If a sheep or goat other than an NLIS identified sheep or goat is moved from a pound, the pound operator must, within 48 hours after the sheep or goat is moved, record in the NLIS database the following — </w:t>
      </w:r>
    </w:p>
    <w:p>
      <w:pPr>
        <w:pStyle w:val="Indenta"/>
      </w:pPr>
      <w:r>
        <w:tab/>
        <w:t>(a)</w:t>
      </w:r>
      <w:r>
        <w:tab/>
        <w:t>the species of animal;</w:t>
      </w:r>
    </w:p>
    <w:p>
      <w:pPr>
        <w:pStyle w:val="Indenta"/>
      </w:pPr>
      <w:r>
        <w:tab/>
        <w:t>(b)</w:t>
      </w:r>
      <w:r>
        <w:tab/>
        <w:t>the relevant PIC of the pound;</w:t>
      </w:r>
    </w:p>
    <w:p>
      <w:pPr>
        <w:pStyle w:val="Indenta"/>
      </w:pPr>
      <w:r>
        <w:tab/>
        <w:t>(c)</w:t>
      </w:r>
      <w:r>
        <w:tab/>
        <w:t>the relevant PIC of the property to which the sheep or goat has been moved;</w:t>
      </w:r>
    </w:p>
    <w:p>
      <w:pPr>
        <w:pStyle w:val="Indenta"/>
      </w:pPr>
      <w:r>
        <w:tab/>
        <w:t>(d)</w:t>
      </w:r>
      <w:r>
        <w:tab/>
        <w:t>the serial number of the transport document relating to the movement of the sheep or goat from the pound;</w:t>
      </w:r>
    </w:p>
    <w:p>
      <w:pPr>
        <w:pStyle w:val="Indenta"/>
      </w:pPr>
      <w:r>
        <w:tab/>
        <w:t>(e)</w:t>
      </w:r>
      <w:r>
        <w:tab/>
        <w:t xml:space="preserve">the date the sheep or goat was moved from the pound. </w:t>
      </w:r>
    </w:p>
    <w:p>
      <w:pPr>
        <w:pStyle w:val="Penstart"/>
      </w:pPr>
      <w:r>
        <w:tab/>
        <w:t>Penalty for this subregulation: a fine of $2 000.</w:t>
      </w:r>
    </w:p>
    <w:p>
      <w:pPr>
        <w:pStyle w:val="Subsection"/>
      </w:pPr>
      <w:r>
        <w:tab/>
        <w:t>(3)</w:t>
      </w:r>
      <w:r>
        <w:tab/>
        <w:t>If an NLIS identified sheep or goat is moved from a pound, the pound operator must, within 48 hours after the sheep or goat is moved, record in the NLIS database the following —</w:t>
      </w:r>
    </w:p>
    <w:p>
      <w:pPr>
        <w:pStyle w:val="Indenta"/>
      </w:pPr>
      <w:r>
        <w:tab/>
        <w:t>(a)</w:t>
      </w:r>
      <w:r>
        <w:tab/>
        <w:t>the relevant PIC of the pound;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pound;</w:t>
      </w:r>
    </w:p>
    <w:p>
      <w:pPr>
        <w:pStyle w:val="Indenta"/>
      </w:pPr>
      <w:r>
        <w:lastRenderedPageBreak/>
        <w:tab/>
        <w:t>(d)</w:t>
      </w:r>
      <w:r>
        <w:tab/>
        <w:t>the date the sheep or goat was moved from the pound.</w:t>
      </w:r>
    </w:p>
    <w:p>
      <w:pPr>
        <w:pStyle w:val="Penstart"/>
      </w:pPr>
      <w:r>
        <w:tab/>
        <w:t>Penalty for this subregulation: a fine of $2 000.</w:t>
      </w:r>
    </w:p>
    <w:p>
      <w:pPr>
        <w:pStyle w:val="Footnotesection"/>
      </w:pPr>
      <w:bookmarkStart w:id="510" w:name="_Toc184300473"/>
      <w:bookmarkStart w:id="511" w:name="_Toc184300571"/>
      <w:bookmarkStart w:id="512" w:name="_Toc184300654"/>
      <w:bookmarkStart w:id="513" w:name="_Toc184300768"/>
      <w:bookmarkStart w:id="514" w:name="_Toc184724060"/>
      <w:bookmarkStart w:id="515" w:name="_Toc185857366"/>
      <w:bookmarkStart w:id="516" w:name="_Toc185857710"/>
      <w:r>
        <w:tab/>
        <w:t>[Regulation 164U inserted: SL 2024/264 r. 11.]</w:t>
      </w:r>
    </w:p>
    <w:p>
      <w:pPr>
        <w:pStyle w:val="Heading4"/>
      </w:pPr>
      <w:bookmarkStart w:id="517" w:name="_Toc185866477"/>
      <w:r>
        <w:t>Subdivision 3 — Holding yards</w:t>
      </w:r>
      <w:bookmarkEnd w:id="510"/>
      <w:bookmarkEnd w:id="511"/>
      <w:bookmarkEnd w:id="512"/>
      <w:bookmarkEnd w:id="513"/>
      <w:bookmarkEnd w:id="514"/>
      <w:bookmarkEnd w:id="515"/>
      <w:bookmarkEnd w:id="516"/>
      <w:bookmarkEnd w:id="517"/>
    </w:p>
    <w:p>
      <w:pPr>
        <w:pStyle w:val="Footnoteheading"/>
        <w:keepNext/>
      </w:pPr>
      <w:bookmarkStart w:id="518" w:name="_Toc184300474"/>
      <w:bookmarkStart w:id="519" w:name="_Toc184724061"/>
      <w:r>
        <w:tab/>
        <w:t>[Heading inserted: SL 2024/264 r. 11.]</w:t>
      </w:r>
    </w:p>
    <w:p>
      <w:pPr>
        <w:pStyle w:val="Heading5"/>
      </w:pPr>
      <w:bookmarkStart w:id="520" w:name="_Toc185866478"/>
      <w:r>
        <w:rPr>
          <w:rStyle w:val="CharSectno"/>
        </w:rPr>
        <w:t>164V</w:t>
      </w:r>
      <w:r>
        <w:t>.</w:t>
      </w:r>
      <w:r>
        <w:tab/>
        <w:t>Responsibility of holding yard operator if no NLIS device applied to sheep or goat</w:t>
      </w:r>
      <w:bookmarkEnd w:id="518"/>
      <w:bookmarkEnd w:id="519"/>
      <w:bookmarkEnd w:id="520"/>
    </w:p>
    <w:p>
      <w:pPr>
        <w:pStyle w:val="Subsection"/>
      </w:pPr>
      <w:r>
        <w:tab/>
        <w:t>(1)</w:t>
      </w:r>
      <w:r>
        <w:tab/>
        <w:t>Unless an inspector in a particular case approves otherwise, if a sheep or goat other than an NLIS identified sheep or goat is moved to a holding yard, the holding yard operator must, within the period specified in subregulation (2), apply, or cause to be applied, to the sheep or goat an NLIS post breeder device.</w:t>
      </w:r>
    </w:p>
    <w:p>
      <w:pPr>
        <w:pStyle w:val="Penstart"/>
      </w:pPr>
      <w:r>
        <w:tab/>
        <w:t xml:space="preserve">Penalty for this subregulation: a fine of $2 000. </w:t>
      </w:r>
    </w:p>
    <w:p>
      <w:pPr>
        <w:pStyle w:val="Subsection"/>
      </w:pPr>
      <w:r>
        <w:tab/>
        <w:t>(2)</w:t>
      </w:r>
      <w:r>
        <w:tab/>
        <w:t>The holding yard operator must comply with subregulation (1) as soon as practicable after the sheep or goat arrives at the holding yard and before it is moved from the holding yard.</w:t>
      </w:r>
    </w:p>
    <w:p>
      <w:pPr>
        <w:pStyle w:val="Subsection"/>
      </w:pPr>
      <w:r>
        <w:tab/>
        <w:t>(3)</w:t>
      </w:r>
      <w:r>
        <w:tab/>
        <w:t>If a consignment of sheep or goats is moved to a holding yard and more than 10% of the animals in the consignment are not NLIS identified sheep or goats, the holding yard operator must —</w:t>
      </w:r>
    </w:p>
    <w:p>
      <w:pPr>
        <w:pStyle w:val="Indenta"/>
      </w:pPr>
      <w:r>
        <w:tab/>
        <w:t>(a)</w:t>
      </w:r>
      <w:r>
        <w:tab/>
        <w:t>hold the sheep or goats at the holding yard;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 holding yard is taken not to be an NLIS identified sheep or goat unless the relevant PIC of the property from which the sheep or goat was moved is recorded in the NLIS database.</w:t>
      </w:r>
    </w:p>
    <w:p>
      <w:pPr>
        <w:pStyle w:val="Footnotesection"/>
      </w:pPr>
      <w:bookmarkStart w:id="521" w:name="_Toc184300475"/>
      <w:bookmarkStart w:id="522" w:name="_Toc184724062"/>
      <w:r>
        <w:tab/>
        <w:t>[Regulation 164V inserted: SL 2024/264 r. 11.]</w:t>
      </w:r>
    </w:p>
    <w:p>
      <w:pPr>
        <w:pStyle w:val="Heading5"/>
      </w:pPr>
      <w:bookmarkStart w:id="523" w:name="_Toc185866479"/>
      <w:r>
        <w:rPr>
          <w:rStyle w:val="CharSectno"/>
        </w:rPr>
        <w:lastRenderedPageBreak/>
        <w:t>164W</w:t>
      </w:r>
      <w:r>
        <w:t>.</w:t>
      </w:r>
      <w:r>
        <w:tab/>
        <w:t>Directions by inspectors</w:t>
      </w:r>
      <w:bookmarkEnd w:id="521"/>
      <w:bookmarkEnd w:id="522"/>
      <w:bookmarkEnd w:id="523"/>
    </w:p>
    <w:p>
      <w:pPr>
        <w:pStyle w:val="Subsection"/>
      </w:pPr>
      <w:r>
        <w:tab/>
        <w:t>(1)</w:t>
      </w:r>
      <w:r>
        <w:tab/>
        <w:t>An inspector who receives information about a consignment of sheep or goats from a holding yard operator under regulation 164V(3)(b) may give any necessary or convenient direction to the holding yard operator in relation to the sheep or goats, including —</w:t>
      </w:r>
    </w:p>
    <w:p>
      <w:pPr>
        <w:pStyle w:val="Indenta"/>
      </w:pPr>
      <w:r>
        <w:tab/>
        <w:t>(a)</w:t>
      </w:r>
      <w:r>
        <w:tab/>
        <w:t>to hold the sheep or goats at the holding yard; and</w:t>
      </w:r>
    </w:p>
    <w:p>
      <w:pPr>
        <w:pStyle w:val="Indenta"/>
      </w:pPr>
      <w:r>
        <w:tab/>
        <w:t>(b)</w:t>
      </w:r>
      <w:r>
        <w:tab/>
        <w:t>to move them to, and hold them at, another place specified by the inspector; and</w:t>
      </w:r>
    </w:p>
    <w:p>
      <w:pPr>
        <w:pStyle w:val="Indenta"/>
      </w:pPr>
      <w:r>
        <w:tab/>
        <w:t>(c)</w:t>
      </w:r>
      <w:r>
        <w:tab/>
        <w:t>to arrange for regulation 164V(1) to be complied with.</w:t>
      </w:r>
    </w:p>
    <w:p>
      <w:pPr>
        <w:pStyle w:val="Subsection"/>
      </w:pPr>
      <w:r>
        <w:tab/>
        <w:t>(2)</w:t>
      </w:r>
      <w:r>
        <w:tab/>
        <w:t>The holding yard operator must comply with a direction given by an inspector under subregulation (1).</w:t>
      </w:r>
    </w:p>
    <w:p>
      <w:pPr>
        <w:pStyle w:val="Penstart"/>
      </w:pPr>
      <w:r>
        <w:tab/>
        <w:t>Penalty for this subregulation: a fine of $5 000.</w:t>
      </w:r>
    </w:p>
    <w:p>
      <w:pPr>
        <w:pStyle w:val="Footnotesection"/>
      </w:pPr>
      <w:bookmarkStart w:id="524" w:name="_Toc184300476"/>
      <w:bookmarkStart w:id="525" w:name="_Toc184724063"/>
      <w:r>
        <w:tab/>
        <w:t>[Regulation 164W inserted: SL 2024/264 r. 11.]</w:t>
      </w:r>
    </w:p>
    <w:p>
      <w:pPr>
        <w:pStyle w:val="Heading5"/>
      </w:pPr>
      <w:bookmarkStart w:id="526" w:name="_Toc185866480"/>
      <w:r>
        <w:rPr>
          <w:rStyle w:val="CharSectno"/>
        </w:rPr>
        <w:t>164X</w:t>
      </w:r>
      <w:r>
        <w:t>.</w:t>
      </w:r>
      <w:r>
        <w:tab/>
        <w:t>Responsibility of holding yard operator if sheep or goat born at or while being moved to holding yard</w:t>
      </w:r>
      <w:bookmarkEnd w:id="524"/>
      <w:bookmarkEnd w:id="525"/>
      <w:bookmarkEnd w:id="526"/>
      <w:r>
        <w:t xml:space="preserve"> </w:t>
      </w:r>
    </w:p>
    <w:p>
      <w:pPr>
        <w:pStyle w:val="Subsection"/>
      </w:pPr>
      <w:r>
        <w:tab/>
      </w:r>
      <w:r>
        <w:tab/>
        <w:t>If a sheep or goat is born at, or while being moved to, a holding yard, the holding yard operator must, as soon as practicable after its birth and before it is moved from the holding yard, apply, or cause to be applied, to the sheep or goat an NLIS post breeder device.</w:t>
      </w:r>
    </w:p>
    <w:p>
      <w:pPr>
        <w:pStyle w:val="Penstart"/>
      </w:pPr>
      <w:r>
        <w:tab/>
        <w:t>Penalty: a fine of $2 000.</w:t>
      </w:r>
    </w:p>
    <w:p>
      <w:pPr>
        <w:pStyle w:val="Footnotesection"/>
      </w:pPr>
      <w:bookmarkStart w:id="527" w:name="_Toc184300477"/>
      <w:bookmarkStart w:id="528" w:name="_Toc184724064"/>
      <w:r>
        <w:tab/>
        <w:t>[Regulation 164X inserted: SL 2024/264 r. 11.]</w:t>
      </w:r>
    </w:p>
    <w:p>
      <w:pPr>
        <w:pStyle w:val="Heading5"/>
      </w:pPr>
      <w:bookmarkStart w:id="529" w:name="_Toc185866481"/>
      <w:r>
        <w:rPr>
          <w:rStyle w:val="CharSectno"/>
        </w:rPr>
        <w:t>164Y</w:t>
      </w:r>
      <w:r>
        <w:t>.</w:t>
      </w:r>
      <w:r>
        <w:tab/>
        <w:t>Responsibility of holding yard operator if consignment held for less than 48 hours and moved from holding yard in a single consignment</w:t>
      </w:r>
      <w:bookmarkEnd w:id="527"/>
      <w:bookmarkEnd w:id="528"/>
      <w:bookmarkEnd w:id="529"/>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lastRenderedPageBreak/>
        <w:tab/>
        <w:t>(b)</w:t>
      </w:r>
      <w:r>
        <w:tab/>
        <w:t>within 48 hours after arriving there, the consignment is moved from the holding yard in a single consignment.</w:t>
      </w:r>
    </w:p>
    <w:p>
      <w:pPr>
        <w:pStyle w:val="Subsection"/>
      </w:pPr>
      <w:r>
        <w:tab/>
        <w:t>(2)</w:t>
      </w:r>
      <w:r>
        <w:tab/>
        <w:t>If this subregulation applies, the holding yard operator must, within 48 hours after the consignment is moved from the holding yard, record the following in the NLIS database in relation each sheep or goat in the consignment —</w:t>
      </w:r>
    </w:p>
    <w:p>
      <w:pPr>
        <w:pStyle w:val="Indenta"/>
      </w:pPr>
      <w:r>
        <w:tab/>
        <w:t>(a)</w:t>
      </w:r>
      <w:r>
        <w:tab/>
        <w:t>the relevant PIC of the holding yard;</w:t>
      </w:r>
    </w:p>
    <w:p>
      <w:pPr>
        <w:pStyle w:val="Indenta"/>
      </w:pPr>
      <w:r>
        <w:tab/>
        <w:t>(b)</w:t>
      </w:r>
      <w:r>
        <w:tab/>
        <w:t>the date the sheep or goat arrived at the holding yard.</w:t>
      </w:r>
    </w:p>
    <w:p>
      <w:pPr>
        <w:pStyle w:val="Penstart"/>
      </w:pPr>
      <w:r>
        <w:tab/>
        <w:t>Penalty for this subregulation: a fine of $2 000.</w:t>
      </w:r>
    </w:p>
    <w:p>
      <w:pPr>
        <w:pStyle w:val="Footnotesection"/>
      </w:pPr>
      <w:bookmarkStart w:id="530" w:name="_Toc184300478"/>
      <w:bookmarkStart w:id="531" w:name="_Toc184724065"/>
      <w:r>
        <w:tab/>
        <w:t>[Regulation 164Y inserted: SL 2024/264 r. 11.]</w:t>
      </w:r>
    </w:p>
    <w:p>
      <w:pPr>
        <w:pStyle w:val="Heading5"/>
      </w:pPr>
      <w:bookmarkStart w:id="532" w:name="_Toc185866482"/>
      <w:r>
        <w:rPr>
          <w:rStyle w:val="CharSectno"/>
        </w:rPr>
        <w:t>164Z</w:t>
      </w:r>
      <w:r>
        <w:t>.</w:t>
      </w:r>
      <w:r>
        <w:tab/>
        <w:t>Responsibility of holding yard operator if sheep or goat held for less than 48 hours and moved from holding yard in different consignment</w:t>
      </w:r>
      <w:bookmarkEnd w:id="530"/>
      <w:bookmarkEnd w:id="531"/>
      <w:bookmarkEnd w:id="532"/>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tab/>
        <w:t>(b)</w:t>
      </w:r>
      <w:r>
        <w:tab/>
        <w:t>within 48 hours after arriving there, the sheep or goats are moved from the holding yard but not in the same consignment.</w:t>
      </w:r>
    </w:p>
    <w:p>
      <w:pPr>
        <w:pStyle w:val="Subsection"/>
      </w:pPr>
      <w:r>
        <w:tab/>
        <w:t>(2)</w:t>
      </w:r>
      <w:r>
        <w:tab/>
        <w:t>If this subregulation applies, the holding yard operator must, within 48 hours after each consignment is moved from the holding yard, record in the NLIS database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Penstart"/>
      </w:pPr>
      <w:r>
        <w:tab/>
        <w:t>Penalty for this subregulation: a fine of $2 000.</w:t>
      </w:r>
    </w:p>
    <w:p>
      <w:pPr>
        <w:pStyle w:val="Footnotesection"/>
      </w:pPr>
      <w:bookmarkStart w:id="533" w:name="_Toc184300479"/>
      <w:bookmarkStart w:id="534" w:name="_Toc184724066"/>
      <w:r>
        <w:tab/>
        <w:t>[Regulation 164Z inserted: SL 2024/264 r. 11.]</w:t>
      </w:r>
    </w:p>
    <w:p>
      <w:pPr>
        <w:pStyle w:val="Heading5"/>
      </w:pPr>
      <w:bookmarkStart w:id="535" w:name="_Toc185866483"/>
      <w:r>
        <w:rPr>
          <w:rStyle w:val="CharSectno"/>
        </w:rPr>
        <w:lastRenderedPageBreak/>
        <w:t>164ZA</w:t>
      </w:r>
      <w:r>
        <w:t>.</w:t>
      </w:r>
      <w:r>
        <w:tab/>
        <w:t>Responsibility of holding yard operator if sheep or goat held for more than 48 hours</w:t>
      </w:r>
      <w:bookmarkEnd w:id="533"/>
      <w:bookmarkEnd w:id="534"/>
      <w:bookmarkEnd w:id="535"/>
      <w:r>
        <w:t xml:space="preserve"> </w:t>
      </w:r>
    </w:p>
    <w:p>
      <w:pPr>
        <w:pStyle w:val="Subsection"/>
      </w:pPr>
      <w:r>
        <w:tab/>
        <w:t>(1)</w:t>
      </w:r>
      <w:r>
        <w:tab/>
        <w:t>If an NLIS identified sheep or goat is moved to a holding yard and is to be kept there for more than 48 hours, the holding yard operator must, within 48 hours after the sheep or goat arrives at the holding yard, record in the NLIS database the information set out in subregulation (2).</w:t>
      </w:r>
    </w:p>
    <w:p>
      <w:pPr>
        <w:pStyle w:val="Penstart"/>
      </w:pPr>
      <w:r>
        <w:tab/>
        <w:t>Penalty for this subregulation: a fine of $2 000.</w:t>
      </w:r>
    </w:p>
    <w:p>
      <w:pPr>
        <w:pStyle w:val="Subsection"/>
      </w:pPr>
      <w:r>
        <w:tab/>
        <w:t>(2)</w:t>
      </w:r>
      <w:r>
        <w:tab/>
        <w:t>The information is as follows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Footnotesection"/>
      </w:pPr>
      <w:bookmarkStart w:id="536" w:name="_Toc184300480"/>
      <w:bookmarkStart w:id="537" w:name="_Toc184300578"/>
      <w:bookmarkStart w:id="538" w:name="_Toc184300661"/>
      <w:bookmarkStart w:id="539" w:name="_Toc184300775"/>
      <w:bookmarkStart w:id="540" w:name="_Toc184724067"/>
      <w:bookmarkStart w:id="541" w:name="_Toc185857373"/>
      <w:bookmarkStart w:id="542" w:name="_Toc185857717"/>
      <w:r>
        <w:tab/>
        <w:t>[Regulation 164ZA inserted: SL 2024/264 r. 11.]</w:t>
      </w:r>
    </w:p>
    <w:p>
      <w:pPr>
        <w:pStyle w:val="Heading4"/>
      </w:pPr>
      <w:bookmarkStart w:id="543" w:name="_Toc185866484"/>
      <w:r>
        <w:t>Subdivision 4 — Saleyards</w:t>
      </w:r>
      <w:bookmarkEnd w:id="536"/>
      <w:bookmarkEnd w:id="537"/>
      <w:bookmarkEnd w:id="538"/>
      <w:bookmarkEnd w:id="539"/>
      <w:bookmarkEnd w:id="540"/>
      <w:bookmarkEnd w:id="541"/>
      <w:bookmarkEnd w:id="542"/>
      <w:bookmarkEnd w:id="543"/>
    </w:p>
    <w:p>
      <w:pPr>
        <w:pStyle w:val="Footnoteheading"/>
      </w:pPr>
      <w:bookmarkStart w:id="544" w:name="_Toc184300481"/>
      <w:bookmarkStart w:id="545" w:name="_Toc184724068"/>
      <w:r>
        <w:tab/>
        <w:t>[Heading inserted: SL 2024/264 r. 11.]</w:t>
      </w:r>
    </w:p>
    <w:p>
      <w:pPr>
        <w:pStyle w:val="Heading5"/>
      </w:pPr>
      <w:bookmarkStart w:id="546" w:name="_Toc185866485"/>
      <w:r>
        <w:rPr>
          <w:rStyle w:val="CharSectno"/>
        </w:rPr>
        <w:t>164ZB</w:t>
      </w:r>
      <w:r>
        <w:t>.</w:t>
      </w:r>
      <w:r>
        <w:tab/>
        <w:t>When saleyard to be treated as holding yard</w:t>
      </w:r>
      <w:bookmarkEnd w:id="544"/>
      <w:bookmarkEnd w:id="545"/>
      <w:bookmarkEnd w:id="546"/>
    </w:p>
    <w:p>
      <w:pPr>
        <w:pStyle w:val="Subsection"/>
      </w:pPr>
      <w:r>
        <w:tab/>
        <w:t>(1)</w:t>
      </w:r>
      <w:r>
        <w:tab/>
        <w:t>Subdivision 3 applies with any necessary modifications to the movement of a sheep or goat to a saleyard, in the circumstances set out in subregulation (2), as if the saleyard were a holding yard.</w:t>
      </w:r>
    </w:p>
    <w:p>
      <w:pPr>
        <w:pStyle w:val="Subsection"/>
      </w:pPr>
      <w:r>
        <w:tab/>
        <w:t>(2)</w:t>
      </w:r>
      <w:r>
        <w:tab/>
        <w:t xml:space="preserve">Subregulation (1) applies if a sheep or goat is moved to a saleyard for purposes other than for sale, and while the sheep or goat is kept at the saleyard no other species of animal is kept there — </w:t>
      </w:r>
    </w:p>
    <w:p>
      <w:pPr>
        <w:pStyle w:val="Indenta"/>
      </w:pPr>
      <w:r>
        <w:tab/>
        <w:t>(a)</w:t>
      </w:r>
      <w:r>
        <w:tab/>
        <w:t>for the purposes of sale; or</w:t>
      </w:r>
    </w:p>
    <w:p>
      <w:pPr>
        <w:pStyle w:val="Indenta"/>
      </w:pPr>
      <w:r>
        <w:tab/>
        <w:t>(b)</w:t>
      </w:r>
      <w:r>
        <w:tab/>
        <w:t>after having been sold at the property.</w:t>
      </w:r>
    </w:p>
    <w:p>
      <w:pPr>
        <w:pStyle w:val="Footnotesection"/>
      </w:pPr>
      <w:bookmarkStart w:id="547" w:name="_Toc184300482"/>
      <w:bookmarkStart w:id="548" w:name="_Toc184724069"/>
      <w:r>
        <w:lastRenderedPageBreak/>
        <w:tab/>
        <w:t>[Regulation 164ZB inserted: SL 2024/264 r. 11.]</w:t>
      </w:r>
    </w:p>
    <w:p>
      <w:pPr>
        <w:pStyle w:val="Heading5"/>
      </w:pPr>
      <w:bookmarkStart w:id="549" w:name="_Toc185866486"/>
      <w:r>
        <w:rPr>
          <w:rStyle w:val="CharSectno"/>
        </w:rPr>
        <w:t>164ZC</w:t>
      </w:r>
      <w:r>
        <w:t>.</w:t>
      </w:r>
      <w:r>
        <w:tab/>
        <w:t>Responsibilities of saleyard operator if no NLIS device applied to sheep or goat</w:t>
      </w:r>
      <w:bookmarkEnd w:id="547"/>
      <w:bookmarkEnd w:id="548"/>
      <w:bookmarkEnd w:id="549"/>
    </w:p>
    <w:p>
      <w:pPr>
        <w:pStyle w:val="Subsection"/>
      </w:pPr>
      <w:r>
        <w:tab/>
        <w:t>(1)</w:t>
      </w:r>
      <w:r>
        <w:tab/>
        <w:t>Unless an inspector in a particular case approves otherwise, if a sheep or goat other than an NLIS identified sheep or goat is moved to a saleyard, the saleyard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saleyard operator must comply with subregulation (1) as soon as practicable after the sheep or goat arrives at the saleyard and before it is sold or moved from the saleyard.</w:t>
      </w:r>
    </w:p>
    <w:p>
      <w:pPr>
        <w:pStyle w:val="Subsection"/>
      </w:pPr>
      <w:r>
        <w:tab/>
        <w:t>(3)</w:t>
      </w:r>
      <w:r>
        <w:tab/>
        <w:t>If a consignment of sheep or goats is moved to a saleyard and more than 10% of the animals in the consignment are not NLIS identified sheep or goats, the saleyard operator must —</w:t>
      </w:r>
    </w:p>
    <w:p>
      <w:pPr>
        <w:pStyle w:val="Indenta"/>
      </w:pPr>
      <w:r>
        <w:tab/>
        <w:t>(a)</w:t>
      </w:r>
      <w:r>
        <w:tab/>
        <w:t>hold the sheep or goats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sheep or goats that is moved to a saleyard under the exemption in regulation 164K(1)(b).</w:t>
      </w:r>
    </w:p>
    <w:p>
      <w:pPr>
        <w:pStyle w:val="Subsection"/>
      </w:pPr>
      <w:r>
        <w:tab/>
        <w:t>(5)</w:t>
      </w:r>
      <w:r>
        <w:tab/>
        <w:t>For the purposes of this regulation, a sheep or goat that is moved to a saleyard is taken not to be an NLIS identified sheep or goat unless the relevant PIC of the property from which the sheep or goat was moved is recorded in the database.</w:t>
      </w:r>
    </w:p>
    <w:p>
      <w:pPr>
        <w:pStyle w:val="Footnotesection"/>
      </w:pPr>
      <w:bookmarkStart w:id="550" w:name="_Toc184300483"/>
      <w:bookmarkStart w:id="551" w:name="_Toc184724070"/>
      <w:r>
        <w:tab/>
        <w:t>[Regulation 164ZC inserted: SL 2024/264 r. 11.]</w:t>
      </w:r>
    </w:p>
    <w:p>
      <w:pPr>
        <w:pStyle w:val="Heading5"/>
      </w:pPr>
      <w:bookmarkStart w:id="552" w:name="_Toc185866487"/>
      <w:r>
        <w:rPr>
          <w:rStyle w:val="CharSectno"/>
        </w:rPr>
        <w:t>164ZD</w:t>
      </w:r>
      <w:r>
        <w:t>.</w:t>
      </w:r>
      <w:r>
        <w:tab/>
        <w:t>Directions by inspectors</w:t>
      </w:r>
      <w:bookmarkEnd w:id="550"/>
      <w:bookmarkEnd w:id="551"/>
      <w:bookmarkEnd w:id="552"/>
    </w:p>
    <w:p>
      <w:pPr>
        <w:pStyle w:val="Subsection"/>
      </w:pPr>
      <w:r>
        <w:tab/>
        <w:t>(1)</w:t>
      </w:r>
      <w:r>
        <w:tab/>
        <w:t xml:space="preserve">An inspector who receives information about a consignment of sheep or goats from a saleyard operator under </w:t>
      </w:r>
      <w:r>
        <w:lastRenderedPageBreak/>
        <w:t>regulation 164ZC(3)(b) may give any necessary or convenient direction to the saleyard operator in relation to the sheep or goats, including —</w:t>
      </w:r>
    </w:p>
    <w:p>
      <w:pPr>
        <w:pStyle w:val="Indenta"/>
      </w:pPr>
      <w:r>
        <w:tab/>
        <w:t>(a)</w:t>
      </w:r>
      <w:r>
        <w:tab/>
        <w:t>to hold the sheep or goats at the saleyard; and</w:t>
      </w:r>
    </w:p>
    <w:p>
      <w:pPr>
        <w:pStyle w:val="Indenta"/>
      </w:pPr>
      <w:r>
        <w:tab/>
        <w:t>(b)</w:t>
      </w:r>
      <w:r>
        <w:tab/>
        <w:t>to move them to, and hold them at, another place specified by the inspector; and</w:t>
      </w:r>
    </w:p>
    <w:p>
      <w:pPr>
        <w:pStyle w:val="Indenta"/>
      </w:pPr>
      <w:r>
        <w:tab/>
        <w:t>(c)</w:t>
      </w:r>
      <w:r>
        <w:tab/>
        <w:t>to arrange for regulation 164ZC(1) to be complied with.</w:t>
      </w:r>
    </w:p>
    <w:p>
      <w:pPr>
        <w:pStyle w:val="Subsection"/>
      </w:pPr>
      <w:r>
        <w:tab/>
        <w:t>(2)</w:t>
      </w:r>
      <w:r>
        <w:tab/>
        <w:t>The saleyard operator must comply with a direction given by an inspector under subregulation (1).</w:t>
      </w:r>
    </w:p>
    <w:p>
      <w:pPr>
        <w:pStyle w:val="Penstart"/>
      </w:pPr>
      <w:r>
        <w:tab/>
        <w:t>Penalty for this subregulation: a fine of $5 000.</w:t>
      </w:r>
    </w:p>
    <w:p>
      <w:pPr>
        <w:pStyle w:val="Footnotesection"/>
      </w:pPr>
      <w:bookmarkStart w:id="553" w:name="_Toc184300484"/>
      <w:bookmarkStart w:id="554" w:name="_Toc184724071"/>
      <w:r>
        <w:tab/>
        <w:t>[Regulation 164ZD inserted: SL 2024/264 r. 11.]</w:t>
      </w:r>
    </w:p>
    <w:p>
      <w:pPr>
        <w:pStyle w:val="Heading5"/>
      </w:pPr>
      <w:bookmarkStart w:id="555" w:name="_Toc185866488"/>
      <w:r>
        <w:rPr>
          <w:rStyle w:val="CharSectno"/>
        </w:rPr>
        <w:t>164ZE</w:t>
      </w:r>
      <w:r>
        <w:t>.</w:t>
      </w:r>
      <w:r>
        <w:tab/>
        <w:t>Responsibility of saleyard operator if sheep or goat born at or while being moved to saleyard</w:t>
      </w:r>
      <w:bookmarkEnd w:id="553"/>
      <w:bookmarkEnd w:id="554"/>
      <w:bookmarkEnd w:id="555"/>
    </w:p>
    <w:p>
      <w:pPr>
        <w:pStyle w:val="Subsection"/>
      </w:pPr>
      <w:r>
        <w:tab/>
      </w:r>
      <w:r>
        <w:tab/>
        <w:t>If a sheep or goat is born at, or while being moved to, a saleyard, the saleyard operator must, as soon as practicable after its birth and before it is sold or moved from the saleyard, apply, or cause to be applied, to the sheep or goat an NLIS post breeder device.</w:t>
      </w:r>
    </w:p>
    <w:p>
      <w:pPr>
        <w:pStyle w:val="Penstart"/>
      </w:pPr>
      <w:r>
        <w:tab/>
        <w:t>Penalty: a fine of $5 000.</w:t>
      </w:r>
    </w:p>
    <w:p>
      <w:pPr>
        <w:pStyle w:val="Footnotesection"/>
      </w:pPr>
      <w:bookmarkStart w:id="556" w:name="_Toc184300485"/>
      <w:bookmarkStart w:id="557" w:name="_Toc184724072"/>
      <w:r>
        <w:tab/>
        <w:t>[Regulation 164ZE inserted: SL 2024/264 r. 11.]</w:t>
      </w:r>
    </w:p>
    <w:p>
      <w:pPr>
        <w:pStyle w:val="Heading5"/>
      </w:pPr>
      <w:bookmarkStart w:id="558" w:name="_Toc185866489"/>
      <w:r>
        <w:rPr>
          <w:rStyle w:val="CharSectno"/>
        </w:rPr>
        <w:t>164ZF</w:t>
      </w:r>
      <w:r>
        <w:t>.</w:t>
      </w:r>
      <w:r>
        <w:tab/>
        <w:t>Responsibility of saleyard operator if sheep or goat moved from saleyard</w:t>
      </w:r>
      <w:bookmarkEnd w:id="556"/>
      <w:bookmarkEnd w:id="557"/>
      <w:bookmarkEnd w:id="558"/>
    </w:p>
    <w:p>
      <w:pPr>
        <w:pStyle w:val="Subsection"/>
      </w:pPr>
      <w:r>
        <w:tab/>
      </w:r>
      <w:r>
        <w:tab/>
        <w:t xml:space="preserve">A saleyard operator must not move, or permit to be moved, from the saleyard an NLIS identified sheep or goat unless — </w:t>
      </w:r>
    </w:p>
    <w:p>
      <w:pPr>
        <w:pStyle w:val="Indenta"/>
      </w:pPr>
      <w:r>
        <w:tab/>
        <w:t>(a)</w:t>
      </w:r>
      <w:r>
        <w:tab/>
        <w:t>it is to be moved back to the property from which it came, or to another property with a relevant PIC, and the saleyard operator has obtained from the person to whom the sheep or goat is sold or otherwise supplied the relevant PIC of the property to which the sheep or goat is to be moved; or</w:t>
      </w:r>
    </w:p>
    <w:p>
      <w:pPr>
        <w:pStyle w:val="Indenta"/>
      </w:pPr>
      <w:r>
        <w:lastRenderedPageBreak/>
        <w:tab/>
        <w:t>(b)</w:t>
      </w:r>
      <w:r>
        <w:tab/>
        <w:t>the saleyard operator has obtained from the person to whom the sheep or goat is sold or otherwise supplied the person’s BIC.</w:t>
      </w:r>
    </w:p>
    <w:p>
      <w:pPr>
        <w:pStyle w:val="Penstart"/>
      </w:pPr>
      <w:r>
        <w:tab/>
        <w:t>Penalty: a fine of $5 000.</w:t>
      </w:r>
    </w:p>
    <w:p>
      <w:pPr>
        <w:pStyle w:val="Footnotesection"/>
      </w:pPr>
      <w:bookmarkStart w:id="559" w:name="_Toc184300486"/>
      <w:bookmarkStart w:id="560" w:name="_Toc184724073"/>
      <w:r>
        <w:tab/>
        <w:t>[Regulation 164ZF inserted: SL 2024/264 r. 11.]</w:t>
      </w:r>
    </w:p>
    <w:p>
      <w:pPr>
        <w:pStyle w:val="Heading5"/>
      </w:pPr>
      <w:bookmarkStart w:id="561" w:name="_Toc185866490"/>
      <w:r>
        <w:rPr>
          <w:rStyle w:val="CharSectno"/>
        </w:rPr>
        <w:t>164ZG</w:t>
      </w:r>
      <w:r>
        <w:t>.</w:t>
      </w:r>
      <w:r>
        <w:tab/>
        <w:t>Information to be recorded in NLIS database by saleyard operator</w:t>
      </w:r>
      <w:bookmarkEnd w:id="559"/>
      <w:bookmarkEnd w:id="560"/>
      <w:bookmarkEnd w:id="561"/>
    </w:p>
    <w:p>
      <w:pPr>
        <w:pStyle w:val="Subsection"/>
      </w:pPr>
      <w:r>
        <w:tab/>
        <w:t>(1)</w:t>
      </w:r>
      <w:r>
        <w:tab/>
        <w:t>The operator of a saleyard must, within the period specified in subregulation (2), record in the NLIS database the movement of a sheep or goat to the saleyard, and any subsequent sale or other movement of the sheep or goat from the saleyard, including the following (as applicable) —</w:t>
      </w:r>
    </w:p>
    <w:p>
      <w:pPr>
        <w:pStyle w:val="Indenta"/>
      </w:pPr>
      <w:r>
        <w:tab/>
        <w:t>(a)</w:t>
      </w:r>
      <w:r>
        <w:tab/>
        <w:t>the relevant PIC of the previous property;</w:t>
      </w:r>
    </w:p>
    <w:p>
      <w:pPr>
        <w:pStyle w:val="Indenta"/>
      </w:pPr>
      <w:r>
        <w:tab/>
        <w:t>(b)</w:t>
      </w:r>
      <w:r>
        <w:tab/>
        <w:t xml:space="preserve">the relevant PIC of the saleyard; </w:t>
      </w:r>
    </w:p>
    <w:p>
      <w:pPr>
        <w:pStyle w:val="Indenta"/>
      </w:pPr>
      <w:r>
        <w:tab/>
        <w:t>(c)</w:t>
      </w:r>
      <w:r>
        <w:tab/>
        <w:t>the serial number of the transport document relating to the movement of the sheep or goat to the saleyard;</w:t>
      </w:r>
    </w:p>
    <w:p>
      <w:pPr>
        <w:pStyle w:val="Indenta"/>
      </w:pPr>
      <w:r>
        <w:tab/>
        <w:t>(d)</w:t>
      </w:r>
      <w:r>
        <w:tab/>
        <w:t>the relevant PIC of the property to which the sheep or goat was moved from the saleyard or, if applicable, the BIC of the purchaser of the sheep or goat;</w:t>
      </w:r>
    </w:p>
    <w:p>
      <w:pPr>
        <w:pStyle w:val="Indenta"/>
      </w:pPr>
      <w:r>
        <w:tab/>
        <w:t>(e)</w:t>
      </w:r>
      <w:r>
        <w:tab/>
        <w:t>the date the sheep or goat arrived at the saleyard;</w:t>
      </w:r>
    </w:p>
    <w:p>
      <w:pPr>
        <w:pStyle w:val="Indenta"/>
      </w:pPr>
      <w:r>
        <w:tab/>
        <w:t>(f)</w:t>
      </w:r>
      <w:r>
        <w:tab/>
        <w:t>the date the sheep or goat was sold at, or otherwise moved from, the saleyard.</w:t>
      </w:r>
    </w:p>
    <w:p>
      <w:pPr>
        <w:pStyle w:val="Penstart"/>
      </w:pPr>
      <w:r>
        <w:tab/>
        <w:t>Penalty for this subregulation: a fine of $5 000.</w:t>
      </w:r>
    </w:p>
    <w:p>
      <w:pPr>
        <w:pStyle w:val="Subsection"/>
      </w:pPr>
      <w:r>
        <w:tab/>
        <w:t>(2)</w:t>
      </w:r>
      <w:r>
        <w:tab/>
        <w:t>The saleyard operator must comply with the requirement in subregulation (1) within 48 hours after the sheep or goat is moved from the saleyard.</w:t>
      </w:r>
    </w:p>
    <w:p>
      <w:pPr>
        <w:pStyle w:val="Footnotesection"/>
      </w:pPr>
      <w:bookmarkStart w:id="562" w:name="_Toc184300487"/>
      <w:bookmarkStart w:id="563" w:name="_Toc184300585"/>
      <w:bookmarkStart w:id="564" w:name="_Toc184300668"/>
      <w:bookmarkStart w:id="565" w:name="_Toc184300782"/>
      <w:bookmarkStart w:id="566" w:name="_Toc184724074"/>
      <w:bookmarkStart w:id="567" w:name="_Toc185857380"/>
      <w:bookmarkStart w:id="568" w:name="_Toc185857724"/>
      <w:r>
        <w:tab/>
        <w:t>[Regulation 164ZG inserted: SL 2024/264 r. 11.]</w:t>
      </w:r>
    </w:p>
    <w:p>
      <w:pPr>
        <w:pStyle w:val="Heading4"/>
      </w:pPr>
      <w:bookmarkStart w:id="569" w:name="_Toc185866491"/>
      <w:r>
        <w:lastRenderedPageBreak/>
        <w:t>Subdivision 5 — Abattoirs</w:t>
      </w:r>
      <w:bookmarkEnd w:id="562"/>
      <w:bookmarkEnd w:id="563"/>
      <w:bookmarkEnd w:id="564"/>
      <w:bookmarkEnd w:id="565"/>
      <w:bookmarkEnd w:id="566"/>
      <w:bookmarkEnd w:id="567"/>
      <w:bookmarkEnd w:id="568"/>
      <w:bookmarkEnd w:id="569"/>
    </w:p>
    <w:p>
      <w:pPr>
        <w:pStyle w:val="Footnoteheading"/>
        <w:keepNext/>
      </w:pPr>
      <w:bookmarkStart w:id="570" w:name="_Toc184300488"/>
      <w:bookmarkStart w:id="571" w:name="_Toc184724075"/>
      <w:r>
        <w:tab/>
        <w:t>[Heading inserted: SL 2024/264 r. 11.]</w:t>
      </w:r>
    </w:p>
    <w:p>
      <w:pPr>
        <w:pStyle w:val="Heading5"/>
      </w:pPr>
      <w:bookmarkStart w:id="572" w:name="_Toc185866492"/>
      <w:r>
        <w:rPr>
          <w:rStyle w:val="CharSectno"/>
        </w:rPr>
        <w:t>164ZH</w:t>
      </w:r>
      <w:r>
        <w:t>.</w:t>
      </w:r>
      <w:r>
        <w:tab/>
        <w:t>Responsibilities of abattoir operator if no NLIS device applied to sheep or goat</w:t>
      </w:r>
      <w:bookmarkEnd w:id="570"/>
      <w:bookmarkEnd w:id="571"/>
      <w:bookmarkEnd w:id="572"/>
    </w:p>
    <w:p>
      <w:pPr>
        <w:pStyle w:val="Subsection"/>
      </w:pPr>
      <w:r>
        <w:tab/>
        <w:t>(1)</w:t>
      </w:r>
      <w:r>
        <w:tab/>
        <w:t>In this regulation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either inspecting animals before they are slaughtered, or giving consent for animals to be slaughtered after inspection, who is authorised by that agency to exercise the functions of an abattoir inspector under this regulation.</w:t>
      </w:r>
    </w:p>
    <w:p>
      <w:pPr>
        <w:pStyle w:val="Subsection"/>
      </w:pPr>
      <w:r>
        <w:tab/>
        <w:t>(2)</w:t>
      </w:r>
      <w:r>
        <w:tab/>
        <w:t>Unless an abattoir inspector in a particular case approves otherwise, if a sheep or goat other than an NLIS identified sheep or goat is moved to an abattoir, the abattoir operator must, within the period specified in subregulation (3), apply, or cause to be applied, to the sheep or goat an NLIS post breeder device.</w:t>
      </w:r>
    </w:p>
    <w:p>
      <w:pPr>
        <w:pStyle w:val="Penstart"/>
      </w:pPr>
      <w:r>
        <w:tab/>
        <w:t>Penalty for this subregulation: a fine of $5 000.</w:t>
      </w:r>
    </w:p>
    <w:p>
      <w:pPr>
        <w:pStyle w:val="Subsection"/>
      </w:pPr>
      <w:r>
        <w:tab/>
        <w:t>(3)</w:t>
      </w:r>
      <w:r>
        <w:tab/>
        <w:t>The abattoir operator must comply with subregulation (2) as soon as practicable after the sheep or goat arrives at the abattoir and before it is slaughtered or otherwise moved from the abattoir.</w:t>
      </w:r>
    </w:p>
    <w:p>
      <w:pPr>
        <w:pStyle w:val="Subsection"/>
      </w:pPr>
      <w:r>
        <w:tab/>
        <w:t>(4)</w:t>
      </w:r>
      <w:r>
        <w:tab/>
        <w:t>If a consignment of sheep or goats is moved to an abattoir and more than 10% of the animals in the consignment are not NLIS identified sheep or goats, the abattoir operator must —</w:t>
      </w:r>
    </w:p>
    <w:p>
      <w:pPr>
        <w:pStyle w:val="Indenta"/>
      </w:pPr>
      <w:r>
        <w:tab/>
        <w:t>(a)</w:t>
      </w:r>
      <w:r>
        <w:tab/>
        <w:t>hold the sheep or goats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lastRenderedPageBreak/>
        <w:tab/>
        <w:t>(5)</w:t>
      </w:r>
      <w:r>
        <w:tab/>
        <w:t>Subregulations (2) to (4) do not apply to a sheep or goat, or a consignment of sheep or goats, that is moved to an abattoir under the exemption in regulation 164K(1)(b).</w:t>
      </w:r>
    </w:p>
    <w:p>
      <w:pPr>
        <w:pStyle w:val="Subsection"/>
      </w:pPr>
      <w:r>
        <w:tab/>
        <w:t>(6)</w:t>
      </w:r>
      <w:r>
        <w:tab/>
        <w:t>For the purposes of this regulation, a sheep or goat that is moved to an abattoir is taken not to be an NLIS identified sheep or goat unless the relevant PIC of the property from which the sheep or goat was moved is recorded in the database.</w:t>
      </w:r>
    </w:p>
    <w:p>
      <w:pPr>
        <w:pStyle w:val="Footnotesection"/>
      </w:pPr>
      <w:bookmarkStart w:id="573" w:name="_Toc184300489"/>
      <w:bookmarkStart w:id="574" w:name="_Toc184724076"/>
      <w:r>
        <w:tab/>
        <w:t>[Regulation 164ZH inserted: SL 2024/264 r. 11.]</w:t>
      </w:r>
    </w:p>
    <w:p>
      <w:pPr>
        <w:pStyle w:val="Heading5"/>
      </w:pPr>
      <w:bookmarkStart w:id="575" w:name="_Toc185866493"/>
      <w:r>
        <w:rPr>
          <w:rStyle w:val="CharSectno"/>
        </w:rPr>
        <w:t>164ZI</w:t>
      </w:r>
      <w:r>
        <w:t>.</w:t>
      </w:r>
      <w:r>
        <w:tab/>
        <w:t>Directions by inspectors</w:t>
      </w:r>
      <w:bookmarkEnd w:id="573"/>
      <w:bookmarkEnd w:id="574"/>
      <w:bookmarkEnd w:id="575"/>
    </w:p>
    <w:p>
      <w:pPr>
        <w:pStyle w:val="Subsection"/>
      </w:pPr>
      <w:r>
        <w:tab/>
        <w:t>(1)</w:t>
      </w:r>
      <w:r>
        <w:tab/>
        <w:t>An inspector who receives information about a consignment of sheep or goats from an abattoir operator under regulation 164ZH(4)(b) may give any necessary or convenient direction to the abattoir operator in relation to the sheep or goats, including —</w:t>
      </w:r>
    </w:p>
    <w:p>
      <w:pPr>
        <w:pStyle w:val="Indenta"/>
      </w:pPr>
      <w:r>
        <w:tab/>
        <w:t>(a)</w:t>
      </w:r>
      <w:r>
        <w:tab/>
        <w:t>to hold the sheep or goats at the abattoir; and</w:t>
      </w:r>
    </w:p>
    <w:p>
      <w:pPr>
        <w:pStyle w:val="Indenta"/>
      </w:pPr>
      <w:r>
        <w:tab/>
        <w:t>(b)</w:t>
      </w:r>
      <w:r>
        <w:tab/>
        <w:t>to move them to, and hold them at, another place specified by the inspector; and</w:t>
      </w:r>
    </w:p>
    <w:p>
      <w:pPr>
        <w:pStyle w:val="Indenta"/>
      </w:pPr>
      <w:r>
        <w:tab/>
        <w:t>(c)</w:t>
      </w:r>
      <w:r>
        <w:tab/>
        <w:t>to arrange for regulation 164ZH(2)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bookmarkStart w:id="576" w:name="_Toc184300490"/>
      <w:bookmarkStart w:id="577" w:name="_Toc184724077"/>
      <w:r>
        <w:tab/>
        <w:t>[Regulation 164ZI inserted: SL 2024/264 r. 11.]</w:t>
      </w:r>
    </w:p>
    <w:p>
      <w:pPr>
        <w:pStyle w:val="Heading5"/>
      </w:pPr>
      <w:bookmarkStart w:id="578" w:name="_Toc185866494"/>
      <w:r>
        <w:rPr>
          <w:rStyle w:val="CharSectno"/>
        </w:rPr>
        <w:t>164ZJ</w:t>
      </w:r>
      <w:r>
        <w:t>.</w:t>
      </w:r>
      <w:r>
        <w:tab/>
        <w:t>Responsibility of abattoir operator if sheep or goat born at or while being moved to abattoir</w:t>
      </w:r>
      <w:bookmarkEnd w:id="576"/>
      <w:bookmarkEnd w:id="577"/>
      <w:bookmarkEnd w:id="578"/>
    </w:p>
    <w:p>
      <w:pPr>
        <w:pStyle w:val="Subsection"/>
      </w:pPr>
      <w:r>
        <w:tab/>
      </w:r>
      <w:r>
        <w:tab/>
        <w:t>Unless an inspector in a particular case approves otherwise, if a sheep or goat is born at, or while being moved to, an abattoir, the abattoir operator must, as soon as practicable after its birth and before it is sold or moved from the abattoir, apply, or cause to be applied, to the sheep or goat an NLIS post breeder device.</w:t>
      </w:r>
    </w:p>
    <w:p>
      <w:pPr>
        <w:pStyle w:val="Penstart"/>
      </w:pPr>
      <w:r>
        <w:tab/>
        <w:t>Penalty: a fine of $5 000.</w:t>
      </w:r>
    </w:p>
    <w:p>
      <w:pPr>
        <w:pStyle w:val="Footnotesection"/>
      </w:pPr>
      <w:bookmarkStart w:id="579" w:name="_Toc184300491"/>
      <w:bookmarkStart w:id="580" w:name="_Toc184724078"/>
      <w:r>
        <w:lastRenderedPageBreak/>
        <w:tab/>
        <w:t>[Regulation 164ZJ inserted: SL 2024/264 r. 11.]</w:t>
      </w:r>
    </w:p>
    <w:p>
      <w:pPr>
        <w:pStyle w:val="Heading5"/>
      </w:pPr>
      <w:bookmarkStart w:id="581" w:name="_Toc185866495"/>
      <w:r>
        <w:rPr>
          <w:rStyle w:val="CharSectno"/>
        </w:rPr>
        <w:t>164ZK</w:t>
      </w:r>
      <w:r>
        <w:t>.</w:t>
      </w:r>
      <w:r>
        <w:tab/>
        <w:t>Responsibility of abattoir operator if sheep or goat moved to abattoir</w:t>
      </w:r>
      <w:bookmarkEnd w:id="579"/>
      <w:bookmarkEnd w:id="580"/>
      <w:bookmarkEnd w:id="581"/>
    </w:p>
    <w:p>
      <w:pPr>
        <w:pStyle w:val="Subsection"/>
      </w:pPr>
      <w:r>
        <w:tab/>
      </w:r>
      <w:r>
        <w:tab/>
        <w:t>If an NLIS identified sheep or goat is moved to an abattoir, the abattoir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serial number of the transport document relating to the movement of the sheep or goat to the abattoir;</w:t>
      </w:r>
    </w:p>
    <w:p>
      <w:pPr>
        <w:pStyle w:val="Indenta"/>
      </w:pPr>
      <w:r>
        <w:tab/>
        <w:t>(d)</w:t>
      </w:r>
      <w:r>
        <w:tab/>
        <w:t>the date the sheep or goat arrived at the abattoir.</w:t>
      </w:r>
    </w:p>
    <w:p>
      <w:pPr>
        <w:pStyle w:val="Penstart"/>
      </w:pPr>
      <w:r>
        <w:tab/>
        <w:t>Penalty: a fine of $5 000.</w:t>
      </w:r>
    </w:p>
    <w:p>
      <w:pPr>
        <w:pStyle w:val="Footnotesection"/>
      </w:pPr>
      <w:bookmarkStart w:id="582" w:name="_Toc184300492"/>
      <w:bookmarkStart w:id="583" w:name="_Toc184724079"/>
      <w:r>
        <w:tab/>
        <w:t>[Regulation 164ZK inserted: SL 2024/264 r. 11.]</w:t>
      </w:r>
    </w:p>
    <w:p>
      <w:pPr>
        <w:pStyle w:val="Heading5"/>
      </w:pPr>
      <w:bookmarkStart w:id="584" w:name="_Toc185866496"/>
      <w:r>
        <w:rPr>
          <w:rStyle w:val="CharSectno"/>
        </w:rPr>
        <w:t>164ZL</w:t>
      </w:r>
      <w:r>
        <w:t>.</w:t>
      </w:r>
      <w:r>
        <w:tab/>
        <w:t>Responsibility of abattoir operator after sheep or goat slaughtered</w:t>
      </w:r>
      <w:bookmarkEnd w:id="582"/>
      <w:bookmarkEnd w:id="583"/>
      <w:bookmarkEnd w:id="584"/>
    </w:p>
    <w:p>
      <w:pPr>
        <w:pStyle w:val="Subsection"/>
      </w:pPr>
      <w:r>
        <w:tab/>
      </w:r>
      <w:r>
        <w:tab/>
        <w:t xml:space="preserve">If an NLIS identified sheep or goat is moved to an abattoir and is slaughtered there, the abattoir operator must, within 48 hours after the slaughter, record in the NLIS database the following —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date of slaughter.</w:t>
      </w:r>
    </w:p>
    <w:p>
      <w:pPr>
        <w:pStyle w:val="Penstart"/>
      </w:pPr>
      <w:r>
        <w:tab/>
        <w:t>Penalty: a fine of $5 000.</w:t>
      </w:r>
    </w:p>
    <w:p>
      <w:pPr>
        <w:pStyle w:val="Footnotesection"/>
      </w:pPr>
      <w:bookmarkStart w:id="585" w:name="_Toc184300493"/>
      <w:bookmarkStart w:id="586" w:name="_Toc184724080"/>
      <w:r>
        <w:tab/>
        <w:t>[Regulation 164ZL inserted: SL 2024/264 r. 11.]</w:t>
      </w:r>
    </w:p>
    <w:p>
      <w:pPr>
        <w:pStyle w:val="Heading5"/>
      </w:pPr>
      <w:bookmarkStart w:id="587" w:name="_Toc185866497"/>
      <w:r>
        <w:rPr>
          <w:rStyle w:val="CharSectno"/>
        </w:rPr>
        <w:t>164ZM</w:t>
      </w:r>
      <w:r>
        <w:t>.</w:t>
      </w:r>
      <w:r>
        <w:tab/>
        <w:t>Responsibilities of abattoir operator if live sheep or goat moved from abattoir</w:t>
      </w:r>
      <w:bookmarkEnd w:id="585"/>
      <w:bookmarkEnd w:id="586"/>
      <w:bookmarkEnd w:id="587"/>
    </w:p>
    <w:p>
      <w:pPr>
        <w:pStyle w:val="Subsection"/>
      </w:pPr>
      <w:r>
        <w:tab/>
        <w:t>(1)</w:t>
      </w:r>
      <w:r>
        <w:tab/>
        <w:t xml:space="preserve">Unless an inspector in a particular case approves otherwise, an abattoir operator must not move, or permit to be moved, from the abattoir a live sheep or goat unless — </w:t>
      </w:r>
    </w:p>
    <w:p>
      <w:pPr>
        <w:pStyle w:val="Indenta"/>
      </w:pPr>
      <w:r>
        <w:lastRenderedPageBreak/>
        <w:tab/>
        <w:t>(a)</w:t>
      </w:r>
      <w:r>
        <w:tab/>
        <w:t>the sheep or goat is to be moved back to the property from which it came or to another property with a relevant PIC; and</w:t>
      </w:r>
    </w:p>
    <w:p>
      <w:pPr>
        <w:pStyle w:val="Indenta"/>
      </w:pPr>
      <w:r>
        <w:tab/>
        <w:t>(b)</w:t>
      </w:r>
      <w:r>
        <w:tab/>
        <w:t>the abattoir operator has obtained from the person to whom the sheep or goat is sold or otherwise supplied the relevant PIC of the property to which the sheep or goat is to be moved; and</w:t>
      </w:r>
    </w:p>
    <w:p>
      <w:pPr>
        <w:pStyle w:val="Indenta"/>
      </w:pPr>
      <w:r>
        <w:tab/>
        <w:t>(c)</w:t>
      </w:r>
      <w:r>
        <w:tab/>
        <w:t>the sheep or goat has an NLIS device applied to it.</w:t>
      </w:r>
    </w:p>
    <w:p>
      <w:pPr>
        <w:pStyle w:val="Penstart"/>
      </w:pPr>
      <w:r>
        <w:tab/>
        <w:t>Penalty for this subregulation: a fine of $5 000.</w:t>
      </w:r>
    </w:p>
    <w:p>
      <w:pPr>
        <w:pStyle w:val="Subsection"/>
      </w:pPr>
      <w:r>
        <w:tab/>
        <w:t>(2)</w:t>
      </w:r>
      <w:r>
        <w:tab/>
        <w:t>If a live sheep or goat to which an NLIS post breeder device is applied is moved from an abattoir, the abattoir operator must, within 48 hours after the sheep or goat is moved from the abattoir, record in the NLIS database the following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Subsection"/>
      </w:pPr>
      <w:r>
        <w:tab/>
        <w:t>(3)</w:t>
      </w:r>
      <w:r>
        <w:tab/>
        <w:t xml:space="preserve">If a live sheep or goat to which an NLIS device, but not an NLIS post breeder device, is applied is moved from an abattoir, the abattoir operator must, within 48 hours after the sheep or goat is moved from the abattoir, record in the NLIS database the following —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Footnotesection"/>
      </w:pPr>
      <w:bookmarkStart w:id="588" w:name="_Toc184300494"/>
      <w:bookmarkStart w:id="589" w:name="_Toc184724081"/>
      <w:r>
        <w:lastRenderedPageBreak/>
        <w:tab/>
        <w:t>[Regulation 164ZM inserted: SL 2024/264 r. 11.]</w:t>
      </w:r>
    </w:p>
    <w:p>
      <w:pPr>
        <w:pStyle w:val="Heading5"/>
      </w:pPr>
      <w:bookmarkStart w:id="590" w:name="_Toc185866498"/>
      <w:r>
        <w:rPr>
          <w:rStyle w:val="CharSectno"/>
        </w:rPr>
        <w:t>164ZN</w:t>
      </w:r>
      <w:r>
        <w:t>.</w:t>
      </w:r>
      <w:r>
        <w:tab/>
        <w:t>Slaughtered sheep and goats moved to pet food processing plants</w:t>
      </w:r>
      <w:bookmarkEnd w:id="588"/>
      <w:bookmarkEnd w:id="589"/>
      <w:bookmarkEnd w:id="590"/>
    </w:p>
    <w:p>
      <w:pPr>
        <w:pStyle w:val="Subsection"/>
      </w:pPr>
      <w:r>
        <w:tab/>
      </w:r>
      <w:r>
        <w:tab/>
        <w:t>If a slaughtered NLIS identified sheep or goat is moved to a pet food processing plant, the operator of the pet food processing plant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pet food processing plant; </w:t>
      </w:r>
    </w:p>
    <w:p>
      <w:pPr>
        <w:pStyle w:val="Indenta"/>
      </w:pPr>
      <w:r>
        <w:tab/>
        <w:t>(c)</w:t>
      </w:r>
      <w:r>
        <w:tab/>
        <w:t>the serial number of the transport document relating to the movement of the sheep or goat to the pet food processing plant;</w:t>
      </w:r>
    </w:p>
    <w:p>
      <w:pPr>
        <w:pStyle w:val="Indenta"/>
      </w:pPr>
      <w:r>
        <w:tab/>
        <w:t>(d)</w:t>
      </w:r>
      <w:r>
        <w:tab/>
        <w:t>the date the sheep or goat arrived at the pet food processing plant.</w:t>
      </w:r>
    </w:p>
    <w:p>
      <w:pPr>
        <w:pStyle w:val="Penstart"/>
      </w:pPr>
      <w:r>
        <w:tab/>
        <w:t>Penalty: a fine of $5 000.</w:t>
      </w:r>
    </w:p>
    <w:p>
      <w:pPr>
        <w:pStyle w:val="Footnotesection"/>
      </w:pPr>
      <w:bookmarkStart w:id="591" w:name="_Toc184300495"/>
      <w:bookmarkStart w:id="592" w:name="_Toc184300593"/>
      <w:bookmarkStart w:id="593" w:name="_Toc184300676"/>
      <w:bookmarkStart w:id="594" w:name="_Toc184300790"/>
      <w:bookmarkStart w:id="595" w:name="_Toc184724082"/>
      <w:bookmarkStart w:id="596" w:name="_Toc185857388"/>
      <w:bookmarkStart w:id="597" w:name="_Toc185857732"/>
      <w:r>
        <w:tab/>
        <w:t>[Regulation 164ZN inserted: SL 2024/264 r. 11.]</w:t>
      </w:r>
    </w:p>
    <w:p>
      <w:pPr>
        <w:pStyle w:val="Heading4"/>
      </w:pPr>
      <w:bookmarkStart w:id="598" w:name="_Toc185866499"/>
      <w:r>
        <w:t>Subdivision 6 — Export depots</w:t>
      </w:r>
      <w:bookmarkEnd w:id="591"/>
      <w:bookmarkEnd w:id="592"/>
      <w:bookmarkEnd w:id="593"/>
      <w:bookmarkEnd w:id="594"/>
      <w:bookmarkEnd w:id="595"/>
      <w:bookmarkEnd w:id="596"/>
      <w:bookmarkEnd w:id="597"/>
      <w:bookmarkEnd w:id="598"/>
    </w:p>
    <w:p>
      <w:pPr>
        <w:pStyle w:val="Footnoteheading"/>
      </w:pPr>
      <w:bookmarkStart w:id="599" w:name="_Toc184300496"/>
      <w:bookmarkStart w:id="600" w:name="_Toc184724083"/>
      <w:r>
        <w:tab/>
        <w:t>[Heading inserted: SL 2024/264 r. 11.]</w:t>
      </w:r>
    </w:p>
    <w:p>
      <w:pPr>
        <w:pStyle w:val="Heading5"/>
      </w:pPr>
      <w:bookmarkStart w:id="601" w:name="_Toc185866500"/>
      <w:r>
        <w:rPr>
          <w:rStyle w:val="CharSectno"/>
        </w:rPr>
        <w:t>164ZO</w:t>
      </w:r>
      <w:r>
        <w:t>.</w:t>
      </w:r>
      <w:r>
        <w:tab/>
        <w:t>Responsibilities of export depot operator if no NLIS device applied to sheep or goat</w:t>
      </w:r>
      <w:bookmarkEnd w:id="599"/>
      <w:bookmarkEnd w:id="600"/>
      <w:bookmarkEnd w:id="601"/>
    </w:p>
    <w:p>
      <w:pPr>
        <w:pStyle w:val="Subsection"/>
      </w:pPr>
      <w:r>
        <w:tab/>
        <w:t>(1)</w:t>
      </w:r>
      <w:r>
        <w:tab/>
        <w:t>Unless an inspector in a particular case approves otherwise, if a sheep or goat other than an NLIS identified sheep or goat is moved to an export depot, the export depot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export depot operator must comply with subregulation (1) as soon as practicable after the sheep or goat arrives at the export depot and before it is exported or otherwise moved from the export depot.</w:t>
      </w:r>
    </w:p>
    <w:p>
      <w:pPr>
        <w:pStyle w:val="Subsection"/>
      </w:pPr>
      <w:r>
        <w:lastRenderedPageBreak/>
        <w:tab/>
        <w:t>(3)</w:t>
      </w:r>
      <w:r>
        <w:tab/>
        <w:t>If a consignment of sheep or goats is moved to an export depot and more than 10% of the animals in the consignment are not NLIS identified sheep or goats, the export depot operator must —</w:t>
      </w:r>
    </w:p>
    <w:p>
      <w:pPr>
        <w:pStyle w:val="Indenta"/>
      </w:pPr>
      <w:r>
        <w:tab/>
        <w:t>(a)</w:t>
      </w:r>
      <w:r>
        <w:tab/>
        <w:t>hold the sheep or goats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an export depot is taken not to be an NLIS identified sheep or goat unless the relevant PIC of the property from which the sheep or goat was moved is recorded in the database.</w:t>
      </w:r>
    </w:p>
    <w:p>
      <w:pPr>
        <w:pStyle w:val="Footnotesection"/>
      </w:pPr>
      <w:bookmarkStart w:id="602" w:name="_Toc184300497"/>
      <w:bookmarkStart w:id="603" w:name="_Toc184724084"/>
      <w:r>
        <w:tab/>
        <w:t>[Regulation 164ZO inserted: SL 2024/264 r. 11.]</w:t>
      </w:r>
    </w:p>
    <w:p>
      <w:pPr>
        <w:pStyle w:val="Heading5"/>
      </w:pPr>
      <w:bookmarkStart w:id="604" w:name="_Toc185866501"/>
      <w:r>
        <w:rPr>
          <w:rStyle w:val="CharSectno"/>
        </w:rPr>
        <w:t>164ZP</w:t>
      </w:r>
      <w:r>
        <w:t>.</w:t>
      </w:r>
      <w:r>
        <w:tab/>
        <w:t>Directions by inspectors</w:t>
      </w:r>
      <w:bookmarkEnd w:id="602"/>
      <w:bookmarkEnd w:id="603"/>
      <w:bookmarkEnd w:id="604"/>
    </w:p>
    <w:p>
      <w:pPr>
        <w:pStyle w:val="Subsection"/>
      </w:pPr>
      <w:r>
        <w:tab/>
        <w:t>(1)</w:t>
      </w:r>
      <w:r>
        <w:tab/>
        <w:t>An inspector who receives information about a consignment of sheep or goats from an export depot operator under regulation 164ZO(3)(b) may give any necessary or convenient direction to the export depot operator in relation to the sheep or goats, including —</w:t>
      </w:r>
    </w:p>
    <w:p>
      <w:pPr>
        <w:pStyle w:val="Indenta"/>
      </w:pPr>
      <w:r>
        <w:tab/>
        <w:t>(a)</w:t>
      </w:r>
      <w:r>
        <w:tab/>
        <w:t>to hold the sheep or goats at the export depot; and</w:t>
      </w:r>
    </w:p>
    <w:p>
      <w:pPr>
        <w:pStyle w:val="Indenta"/>
      </w:pPr>
      <w:r>
        <w:tab/>
        <w:t>(b)</w:t>
      </w:r>
      <w:r>
        <w:tab/>
        <w:t>to move them to, and hold them at, another place specified by the inspector; and</w:t>
      </w:r>
    </w:p>
    <w:p>
      <w:pPr>
        <w:pStyle w:val="Indenta"/>
      </w:pPr>
      <w:r>
        <w:tab/>
        <w:t>(c)</w:t>
      </w:r>
      <w:r>
        <w:tab/>
        <w:t>to arrange for regulation 164ZO(1) to be complied with.</w:t>
      </w:r>
    </w:p>
    <w:p>
      <w:pPr>
        <w:pStyle w:val="Subsection"/>
      </w:pPr>
      <w:r>
        <w:tab/>
        <w:t>(2)</w:t>
      </w:r>
      <w:r>
        <w:tab/>
        <w:t>The export depot operator must comply with a direction given by an inspector under subregulation (1).</w:t>
      </w:r>
    </w:p>
    <w:p>
      <w:pPr>
        <w:pStyle w:val="Penstart"/>
      </w:pPr>
      <w:r>
        <w:tab/>
        <w:t>Penalty for this subregulation: a fine of $5 000.</w:t>
      </w:r>
    </w:p>
    <w:p>
      <w:pPr>
        <w:pStyle w:val="Footnotesection"/>
      </w:pPr>
      <w:bookmarkStart w:id="605" w:name="_Toc184300498"/>
      <w:bookmarkStart w:id="606" w:name="_Toc184724085"/>
      <w:r>
        <w:tab/>
        <w:t>[Regulation 164ZP inserted: SL 2024/264 r. 11.]</w:t>
      </w:r>
    </w:p>
    <w:p>
      <w:pPr>
        <w:pStyle w:val="Heading5"/>
      </w:pPr>
      <w:bookmarkStart w:id="607" w:name="_Toc185866502"/>
      <w:r>
        <w:rPr>
          <w:rStyle w:val="CharSectno"/>
        </w:rPr>
        <w:t>164ZQ</w:t>
      </w:r>
      <w:r>
        <w:t>.</w:t>
      </w:r>
      <w:r>
        <w:tab/>
        <w:t>Responsibility of export depot operator if sheep or goat born at or while being moved to export depot</w:t>
      </w:r>
      <w:bookmarkEnd w:id="605"/>
      <w:bookmarkEnd w:id="606"/>
      <w:bookmarkEnd w:id="607"/>
    </w:p>
    <w:p>
      <w:pPr>
        <w:pStyle w:val="Subsection"/>
      </w:pPr>
      <w:r>
        <w:tab/>
      </w:r>
      <w:r>
        <w:tab/>
        <w:t xml:space="preserve">If a sheep or goat is born at, or while being moved to, an export depot, the export depot operator must, as soon as practicable </w:t>
      </w:r>
      <w:r>
        <w:lastRenderedPageBreak/>
        <w:t>after its birth and before it is moved from the export depot, apply, or cause to be applied, to the sheep or goat an NLIS post breeder device.</w:t>
      </w:r>
    </w:p>
    <w:p>
      <w:pPr>
        <w:pStyle w:val="Penstart"/>
      </w:pPr>
      <w:r>
        <w:tab/>
        <w:t>Penalty: a fine of $5 000.</w:t>
      </w:r>
    </w:p>
    <w:p>
      <w:pPr>
        <w:pStyle w:val="Footnotesection"/>
      </w:pPr>
      <w:bookmarkStart w:id="608" w:name="_Toc184300499"/>
      <w:bookmarkStart w:id="609" w:name="_Toc184724086"/>
      <w:r>
        <w:tab/>
        <w:t>[Regulation 164ZQ inserted: SL 2024/264 r. 11.]</w:t>
      </w:r>
    </w:p>
    <w:p>
      <w:pPr>
        <w:pStyle w:val="Heading5"/>
      </w:pPr>
      <w:bookmarkStart w:id="610" w:name="_Toc185866503"/>
      <w:r>
        <w:rPr>
          <w:rStyle w:val="CharSectno"/>
        </w:rPr>
        <w:t>164ZR</w:t>
      </w:r>
      <w:r>
        <w:t>.</w:t>
      </w:r>
      <w:r>
        <w:tab/>
        <w:t>Responsibility of export depot operator if sheep or goat moved to export depot</w:t>
      </w:r>
      <w:bookmarkEnd w:id="608"/>
      <w:bookmarkEnd w:id="609"/>
      <w:bookmarkEnd w:id="610"/>
    </w:p>
    <w:p>
      <w:pPr>
        <w:pStyle w:val="Subsection"/>
      </w:pPr>
      <w:r>
        <w:tab/>
      </w:r>
      <w:r>
        <w:tab/>
        <w:t>If a sheep or goat is moved to an export depot, the export depot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export depot; </w:t>
      </w:r>
    </w:p>
    <w:p>
      <w:pPr>
        <w:pStyle w:val="Indenta"/>
      </w:pPr>
      <w:r>
        <w:tab/>
        <w:t>(c)</w:t>
      </w:r>
      <w:r>
        <w:tab/>
        <w:t>the serial number of the transport document relating to the movement of the sheep or goat to the export depot;</w:t>
      </w:r>
    </w:p>
    <w:p>
      <w:pPr>
        <w:pStyle w:val="Indenta"/>
      </w:pPr>
      <w:r>
        <w:tab/>
        <w:t>(d)</w:t>
      </w:r>
      <w:r>
        <w:tab/>
        <w:t>the date the sheep or goat arrived at the export depot.</w:t>
      </w:r>
    </w:p>
    <w:p>
      <w:pPr>
        <w:pStyle w:val="Penstart"/>
      </w:pPr>
      <w:r>
        <w:tab/>
        <w:t>Penalty: a fine of $5 000.</w:t>
      </w:r>
    </w:p>
    <w:p>
      <w:pPr>
        <w:pStyle w:val="Footnotesection"/>
      </w:pPr>
      <w:bookmarkStart w:id="611" w:name="_Toc184300500"/>
      <w:bookmarkStart w:id="612" w:name="_Toc184724087"/>
      <w:r>
        <w:tab/>
        <w:t>[Regulation 164ZR inserted: SL 2024/264 r. 11.]</w:t>
      </w:r>
    </w:p>
    <w:p>
      <w:pPr>
        <w:pStyle w:val="Heading5"/>
      </w:pPr>
      <w:bookmarkStart w:id="613" w:name="_Toc185866504"/>
      <w:r>
        <w:rPr>
          <w:rStyle w:val="CharSectno"/>
        </w:rPr>
        <w:t>164ZS</w:t>
      </w:r>
      <w:r>
        <w:t>.</w:t>
      </w:r>
      <w:r>
        <w:tab/>
        <w:t>Responsibilities of export depot operator if sheep or goat exported or otherwise moved from export depot</w:t>
      </w:r>
      <w:bookmarkEnd w:id="611"/>
      <w:bookmarkEnd w:id="612"/>
      <w:bookmarkEnd w:id="613"/>
    </w:p>
    <w:p>
      <w:pPr>
        <w:pStyle w:val="Subsection"/>
      </w:pPr>
      <w:r>
        <w:tab/>
        <w:t>(1)</w:t>
      </w:r>
      <w:r>
        <w:tab/>
        <w:t>If a sheep or goat is moved from an export depot for export, the export depot operator must, within 48 hours after the sheep or goat is moved, record in the NLIS database the following —</w:t>
      </w:r>
    </w:p>
    <w:p>
      <w:pPr>
        <w:pStyle w:val="Indenta"/>
      </w:pPr>
      <w:r>
        <w:tab/>
        <w:t>(a)</w:t>
      </w:r>
      <w:r>
        <w:tab/>
        <w:t xml:space="preserve">the relevant PIC of the export depot; </w:t>
      </w:r>
    </w:p>
    <w:p>
      <w:pPr>
        <w:pStyle w:val="Indenta"/>
      </w:pPr>
      <w:r>
        <w:tab/>
        <w:t>(b)</w:t>
      </w:r>
      <w:r>
        <w:tab/>
        <w:t>the relevant PIC of the port to which the sheep or goat has been moved;</w:t>
      </w:r>
    </w:p>
    <w:p>
      <w:pPr>
        <w:pStyle w:val="Indenta"/>
      </w:pPr>
      <w:r>
        <w:tab/>
        <w:t>(c)</w:t>
      </w:r>
      <w:r>
        <w:tab/>
        <w:t>the serial number of the transport document relating to the movement of the sheep or goat from the export depot;</w:t>
      </w:r>
    </w:p>
    <w:p>
      <w:pPr>
        <w:pStyle w:val="Indenta"/>
      </w:pPr>
      <w:r>
        <w:tab/>
        <w:t>(d)</w:t>
      </w:r>
      <w:r>
        <w:tab/>
        <w:t>the date the sheep or goat was moved from the export depot.</w:t>
      </w:r>
    </w:p>
    <w:p>
      <w:pPr>
        <w:pStyle w:val="Penstart"/>
      </w:pPr>
      <w:r>
        <w:lastRenderedPageBreak/>
        <w:tab/>
        <w:t>Penalty for this subregulation: a fine of $5 000.</w:t>
      </w:r>
    </w:p>
    <w:p>
      <w:pPr>
        <w:pStyle w:val="Subsection"/>
      </w:pPr>
      <w:r>
        <w:tab/>
        <w:t>(2)</w:t>
      </w:r>
      <w:r>
        <w:tab/>
        <w:t xml:space="preserve">Unless an inspector in a particular case approves otherwise, an export depot operator must not, except by export, move or permit to be moved from the export depot an NLIS identified sheep or goat unless — </w:t>
      </w:r>
    </w:p>
    <w:p>
      <w:pPr>
        <w:pStyle w:val="Indenta"/>
      </w:pPr>
      <w:r>
        <w:tab/>
        <w:t>(a)</w:t>
      </w:r>
      <w:r>
        <w:tab/>
        <w:t>it is to be moved back to the property from which it came or to another property with a relevant PIC; and</w:t>
      </w:r>
    </w:p>
    <w:p>
      <w:pPr>
        <w:pStyle w:val="Indenta"/>
      </w:pPr>
      <w:r>
        <w:tab/>
        <w:t>(b)</w:t>
      </w:r>
      <w:r>
        <w:tab/>
        <w:t>the export depot operator has obtained from the person to whom the sheep or goat is sold or otherwise supplied the relevant PIC of the property to which the sheep or goat is to be moved.</w:t>
      </w:r>
    </w:p>
    <w:p>
      <w:pPr>
        <w:pStyle w:val="Penstart"/>
      </w:pPr>
      <w:r>
        <w:tab/>
        <w:t>Penalty for this subregulation: a fine of $5 000.</w:t>
      </w:r>
    </w:p>
    <w:p>
      <w:pPr>
        <w:pStyle w:val="Subsection"/>
      </w:pPr>
      <w:r>
        <w:tab/>
        <w:t>(3)</w:t>
      </w:r>
      <w:r>
        <w:tab/>
        <w:t>Unless an inspector in a particular case approves otherwise, if a sheep or goat is moved from an export depot, except by export, the export depot operator must, within 48 hours after the sheep or goat is moved, record in the NLIS database the following —</w:t>
      </w:r>
    </w:p>
    <w:p>
      <w:pPr>
        <w:pStyle w:val="Indenta"/>
      </w:pPr>
      <w:r>
        <w:tab/>
        <w:t>(a)</w:t>
      </w:r>
      <w:r>
        <w:tab/>
        <w:t>the relevant PIC of the export depot;</w:t>
      </w:r>
    </w:p>
    <w:p>
      <w:pPr>
        <w:pStyle w:val="Indenta"/>
      </w:pPr>
      <w:r>
        <w:tab/>
        <w:t>(b)</w:t>
      </w:r>
      <w:r>
        <w:tab/>
        <w:t>the relevant PIC of the property to which the sheep or goat has been moved;</w:t>
      </w:r>
    </w:p>
    <w:p>
      <w:pPr>
        <w:pStyle w:val="Indenta"/>
      </w:pPr>
      <w:r>
        <w:tab/>
        <w:t>(c)</w:t>
      </w:r>
      <w:r>
        <w:tab/>
        <w:t>the serial number of the waybill relating to the movement of the sheep or goat from the export depot;</w:t>
      </w:r>
    </w:p>
    <w:p>
      <w:pPr>
        <w:pStyle w:val="Indenta"/>
      </w:pPr>
      <w:r>
        <w:tab/>
        <w:t>(d)</w:t>
      </w:r>
      <w:r>
        <w:tab/>
        <w:t>the date the sheep or goat was moved from the export depot.</w:t>
      </w:r>
    </w:p>
    <w:p>
      <w:pPr>
        <w:pStyle w:val="Penstart"/>
      </w:pPr>
      <w:r>
        <w:tab/>
        <w:t>Penalty for this subregulation: a fine of $5 000.</w:t>
      </w:r>
    </w:p>
    <w:p>
      <w:pPr>
        <w:pStyle w:val="Footnotesection"/>
      </w:pPr>
      <w:bookmarkStart w:id="614" w:name="_Toc184300501"/>
      <w:bookmarkStart w:id="615" w:name="_Toc184300599"/>
      <w:bookmarkStart w:id="616" w:name="_Toc184300682"/>
      <w:bookmarkStart w:id="617" w:name="_Toc184300796"/>
      <w:bookmarkStart w:id="618" w:name="_Toc184724088"/>
      <w:bookmarkStart w:id="619" w:name="_Toc185857394"/>
      <w:bookmarkStart w:id="620" w:name="_Toc185857738"/>
      <w:r>
        <w:tab/>
        <w:t>[Regulation 164ZS inserted: SL 2024/264 r. 11.]</w:t>
      </w:r>
    </w:p>
    <w:p>
      <w:pPr>
        <w:pStyle w:val="Heading3"/>
      </w:pPr>
      <w:bookmarkStart w:id="621" w:name="_Toc185866505"/>
      <w:r>
        <w:rPr>
          <w:rStyle w:val="CharDivNo"/>
        </w:rPr>
        <w:lastRenderedPageBreak/>
        <w:t>Division 4</w:t>
      </w:r>
      <w:r>
        <w:t> —</w:t>
      </w:r>
      <w:r>
        <w:rPr>
          <w:rStyle w:val="CharDivText"/>
        </w:rPr>
        <w:t> Carriers of sheep and goats</w:t>
      </w:r>
      <w:bookmarkEnd w:id="614"/>
      <w:bookmarkEnd w:id="615"/>
      <w:bookmarkEnd w:id="616"/>
      <w:bookmarkEnd w:id="617"/>
      <w:bookmarkEnd w:id="618"/>
      <w:bookmarkEnd w:id="619"/>
      <w:bookmarkEnd w:id="620"/>
      <w:bookmarkEnd w:id="621"/>
    </w:p>
    <w:p>
      <w:pPr>
        <w:pStyle w:val="Footnoteheading"/>
        <w:keepNext/>
      </w:pPr>
      <w:bookmarkStart w:id="622" w:name="_Toc184300502"/>
      <w:bookmarkStart w:id="623" w:name="_Toc184724089"/>
      <w:r>
        <w:tab/>
        <w:t>[Heading inserted: SL 2024/264 r. 11.]</w:t>
      </w:r>
    </w:p>
    <w:p>
      <w:pPr>
        <w:pStyle w:val="Heading5"/>
      </w:pPr>
      <w:bookmarkStart w:id="624" w:name="_Toc185866506"/>
      <w:r>
        <w:rPr>
          <w:rStyle w:val="CharSectno"/>
        </w:rPr>
        <w:t>164ZT</w:t>
      </w:r>
      <w:r>
        <w:t>.</w:t>
      </w:r>
      <w:r>
        <w:tab/>
        <w:t>Responsibilities of carriers</w:t>
      </w:r>
      <w:bookmarkEnd w:id="622"/>
      <w:bookmarkEnd w:id="623"/>
      <w:bookmarkEnd w:id="624"/>
    </w:p>
    <w:p>
      <w:pPr>
        <w:pStyle w:val="Subsection"/>
      </w:pPr>
      <w:r>
        <w:tab/>
        <w:t>(1)</w:t>
      </w:r>
      <w:r>
        <w:tab/>
        <w:t>A carrier moving a sheep or goat from a property to a holding yard must, as soon as practicable after arriving there, endorse on the transport document relating to the sheep or goat —</w:t>
      </w:r>
    </w:p>
    <w:p>
      <w:pPr>
        <w:pStyle w:val="Indenta"/>
      </w:pPr>
      <w:r>
        <w:tab/>
        <w:t>(a)</w:t>
      </w:r>
      <w:r>
        <w:tab/>
        <w:t>the relevant PIC of the holding yard; and</w:t>
      </w:r>
    </w:p>
    <w:p>
      <w:pPr>
        <w:pStyle w:val="Indenta"/>
      </w:pPr>
      <w:r>
        <w:tab/>
        <w:t>(b)</w:t>
      </w:r>
      <w:r>
        <w:tab/>
        <w:t>the relevant PIC of the property to which the sheep or goat is to be taken from the holding yard.</w:t>
      </w:r>
    </w:p>
    <w:p>
      <w:pPr>
        <w:pStyle w:val="Penstart"/>
      </w:pPr>
      <w:r>
        <w:tab/>
        <w:t>Penalty for this subregulation: a fine of $2 000.</w:t>
      </w:r>
    </w:p>
    <w:p>
      <w:pPr>
        <w:pStyle w:val="Subsection"/>
      </w:pPr>
      <w:r>
        <w:tab/>
        <w:t>(2)</w:t>
      </w:r>
      <w:r>
        <w:tab/>
        <w:t>If a carrier moves from a property a sheep or goat to which an NLIS device is not applied, the carrier must keep the sheep or goat separate from —</w:t>
      </w:r>
    </w:p>
    <w:p>
      <w:pPr>
        <w:pStyle w:val="Indenta"/>
      </w:pPr>
      <w:r>
        <w:tab/>
        <w:t>(a)</w:t>
      </w:r>
      <w:r>
        <w:tab/>
        <w:t>any NLIS identified sheep or goat; and</w:t>
      </w:r>
    </w:p>
    <w:p>
      <w:pPr>
        <w:pStyle w:val="Indenta"/>
      </w:pPr>
      <w:r>
        <w:tab/>
        <w:t>(b)</w:t>
      </w:r>
      <w:r>
        <w:tab/>
        <w:t>any sheep or goat being moved from another property.</w:t>
      </w:r>
    </w:p>
    <w:p>
      <w:pPr>
        <w:pStyle w:val="Penstart"/>
      </w:pPr>
      <w:r>
        <w:tab/>
        <w:t xml:space="preserve">Penalty for this subregulation: a fine of $2 000. </w:t>
      </w:r>
    </w:p>
    <w:p>
      <w:pPr>
        <w:pStyle w:val="Footnotesection"/>
      </w:pPr>
      <w:bookmarkStart w:id="625" w:name="_Toc184300503"/>
      <w:bookmarkStart w:id="626" w:name="_Toc184300601"/>
      <w:bookmarkStart w:id="627" w:name="_Toc184300684"/>
      <w:bookmarkStart w:id="628" w:name="_Toc184300798"/>
      <w:bookmarkStart w:id="629" w:name="_Toc184724090"/>
      <w:bookmarkStart w:id="630" w:name="_Toc185857396"/>
      <w:bookmarkStart w:id="631" w:name="_Toc185857740"/>
      <w:r>
        <w:tab/>
        <w:t>[Regulation 164ZT inserted: SL 2024/264 r. 11.]</w:t>
      </w:r>
    </w:p>
    <w:p>
      <w:pPr>
        <w:pStyle w:val="Heading3"/>
      </w:pPr>
      <w:bookmarkStart w:id="632" w:name="_Toc185866507"/>
      <w:r>
        <w:rPr>
          <w:rStyle w:val="CharDivNo"/>
        </w:rPr>
        <w:t>Division 5</w:t>
      </w:r>
      <w:r>
        <w:t> —</w:t>
      </w:r>
      <w:r>
        <w:rPr>
          <w:rStyle w:val="CharDivText"/>
        </w:rPr>
        <w:t> Other NLIS requirements for sheep and goats</w:t>
      </w:r>
      <w:bookmarkEnd w:id="625"/>
      <w:bookmarkEnd w:id="626"/>
      <w:bookmarkEnd w:id="627"/>
      <w:bookmarkEnd w:id="628"/>
      <w:bookmarkEnd w:id="629"/>
      <w:bookmarkEnd w:id="630"/>
      <w:bookmarkEnd w:id="631"/>
      <w:bookmarkEnd w:id="632"/>
    </w:p>
    <w:p>
      <w:pPr>
        <w:pStyle w:val="Footnoteheading"/>
      </w:pPr>
      <w:bookmarkStart w:id="633" w:name="_Toc184300504"/>
      <w:bookmarkStart w:id="634" w:name="_Toc184724091"/>
      <w:r>
        <w:tab/>
        <w:t>[Heading inserted: SL 2024/264 r. 11.]</w:t>
      </w:r>
    </w:p>
    <w:p>
      <w:pPr>
        <w:pStyle w:val="Heading5"/>
      </w:pPr>
      <w:bookmarkStart w:id="635" w:name="_Toc185866508"/>
      <w:r>
        <w:rPr>
          <w:rStyle w:val="CharSectno"/>
        </w:rPr>
        <w:t>164ZU</w:t>
      </w:r>
      <w:r>
        <w:t>.</w:t>
      </w:r>
      <w:r>
        <w:tab/>
        <w:t>Imported sheep and goats</w:t>
      </w:r>
      <w:bookmarkEnd w:id="633"/>
      <w:bookmarkEnd w:id="634"/>
      <w:bookmarkEnd w:id="635"/>
    </w:p>
    <w:p>
      <w:pPr>
        <w:pStyle w:val="Subsection"/>
      </w:pPr>
      <w:r>
        <w:tab/>
      </w:r>
      <w:r>
        <w:tab/>
        <w:t>A person must not take possession or control of an imported sheep or goat unless it has an NLIS device applied to it.</w:t>
      </w:r>
    </w:p>
    <w:p>
      <w:pPr>
        <w:pStyle w:val="Penstart"/>
      </w:pPr>
      <w:r>
        <w:tab/>
        <w:t>Penalty: a fine of $5 000.</w:t>
      </w:r>
    </w:p>
    <w:p>
      <w:pPr>
        <w:pStyle w:val="Footnotesection"/>
      </w:pPr>
      <w:bookmarkStart w:id="636" w:name="_Toc184300505"/>
      <w:bookmarkStart w:id="637" w:name="_Toc184724092"/>
      <w:r>
        <w:tab/>
        <w:t>[Regulation 164ZU inserted: SL 2024/264 r. 11.]</w:t>
      </w:r>
    </w:p>
    <w:p>
      <w:pPr>
        <w:pStyle w:val="Heading5"/>
      </w:pPr>
      <w:bookmarkStart w:id="638" w:name="_Toc185866509"/>
      <w:r>
        <w:rPr>
          <w:rStyle w:val="CharSectno"/>
        </w:rPr>
        <w:t>164ZV</w:t>
      </w:r>
      <w:r>
        <w:t>.</w:t>
      </w:r>
      <w:r>
        <w:tab/>
        <w:t>Sheep and goats from pound</w:t>
      </w:r>
      <w:bookmarkEnd w:id="636"/>
      <w:bookmarkEnd w:id="637"/>
      <w:bookmarkEnd w:id="638"/>
    </w:p>
    <w:p>
      <w:pPr>
        <w:pStyle w:val="Subsection"/>
      </w:pPr>
      <w:r>
        <w:tab/>
      </w:r>
      <w:r>
        <w:tab/>
        <w:t>A person must not take possession or control of a sheep or goat from a pound unless it has an NLIS device applied to it.</w:t>
      </w:r>
    </w:p>
    <w:p>
      <w:pPr>
        <w:pStyle w:val="Penstart"/>
      </w:pPr>
      <w:r>
        <w:lastRenderedPageBreak/>
        <w:tab/>
        <w:t>Penalty: a fine of $5 000.</w:t>
      </w:r>
    </w:p>
    <w:p>
      <w:pPr>
        <w:pStyle w:val="Footnotesection"/>
      </w:pPr>
      <w:bookmarkStart w:id="639" w:name="_Toc184300506"/>
      <w:bookmarkStart w:id="640" w:name="_Toc184724093"/>
      <w:r>
        <w:tab/>
        <w:t>[Regulation 164ZV inserted: SL 2024/264 r. 11.]</w:t>
      </w:r>
    </w:p>
    <w:p>
      <w:pPr>
        <w:pStyle w:val="Heading5"/>
      </w:pPr>
      <w:bookmarkStart w:id="641" w:name="_Toc185866510"/>
      <w:r>
        <w:rPr>
          <w:rStyle w:val="CharSectno"/>
        </w:rPr>
        <w:t>164ZW</w:t>
      </w:r>
      <w:r>
        <w:t>.</w:t>
      </w:r>
      <w:r>
        <w:tab/>
        <w:t>Dead stray sheep and goats</w:t>
      </w:r>
      <w:bookmarkEnd w:id="639"/>
      <w:bookmarkEnd w:id="640"/>
      <w:bookmarkEnd w:id="641"/>
    </w:p>
    <w:p>
      <w:pPr>
        <w:pStyle w:val="Subsection"/>
      </w:pPr>
      <w:r>
        <w:tab/>
        <w:t>(1)</w:t>
      </w:r>
      <w:r>
        <w:tab/>
        <w:t xml:space="preserve">In this regulation — </w:t>
      </w:r>
    </w:p>
    <w:p>
      <w:pPr>
        <w:pStyle w:val="Defstart"/>
      </w:pPr>
      <w:r>
        <w:tab/>
      </w:r>
      <w:r>
        <w:rPr>
          <w:rStyle w:val="CharDefText"/>
        </w:rPr>
        <w:t>designated person</w:t>
      </w:r>
      <w:r>
        <w:t xml:space="preserve"> means — </w:t>
      </w:r>
    </w:p>
    <w:p>
      <w:pPr>
        <w:pStyle w:val="Defpara"/>
      </w:pPr>
      <w:r>
        <w:tab/>
        <w:t>(a)</w:t>
      </w:r>
      <w:r>
        <w:tab/>
        <w:t>a ranger appointed by a local government; or</w:t>
      </w:r>
    </w:p>
    <w:p>
      <w:pPr>
        <w:pStyle w:val="Defpara"/>
      </w:pPr>
      <w:r>
        <w:tab/>
        <w:t>(b)</w:t>
      </w:r>
      <w:r>
        <w:tab/>
        <w:t>a person authorised by a local government to impound animals.</w:t>
      </w:r>
    </w:p>
    <w:p>
      <w:pPr>
        <w:pStyle w:val="Subsection"/>
      </w:pPr>
      <w:r>
        <w:tab/>
        <w:t>(2)</w:t>
      </w:r>
      <w:r>
        <w:tab/>
        <w:t xml:space="preserve">Subregulation (3) applies if a designated person finds a dead NLIS identified sheep or goat, or destroys an NLIS identified sheep or goat, on — </w:t>
      </w:r>
    </w:p>
    <w:p>
      <w:pPr>
        <w:pStyle w:val="Indenta"/>
      </w:pPr>
      <w:r>
        <w:tab/>
        <w:t>(a)</w:t>
      </w:r>
      <w:r>
        <w:tab/>
        <w:t xml:space="preserve">a street, way or place mentioned in the </w:t>
      </w:r>
      <w:r>
        <w:rPr>
          <w:i/>
        </w:rPr>
        <w:t>Local Government (Miscellaneous Provisions) Act 1960</w:t>
      </w:r>
      <w:r>
        <w:t xml:space="preserve"> section 447; or</w:t>
      </w:r>
    </w:p>
    <w:p>
      <w:pPr>
        <w:pStyle w:val="Indenta"/>
      </w:pPr>
      <w:r>
        <w:tab/>
        <w:t>(b)</w:t>
      </w:r>
      <w:r>
        <w:tab/>
        <w:t>vacant Crown land.</w:t>
      </w:r>
    </w:p>
    <w:p>
      <w:pPr>
        <w:pStyle w:val="Subsection"/>
      </w:pPr>
      <w:r>
        <w:tab/>
        <w:t>(3)</w:t>
      </w:r>
      <w:r>
        <w:tab/>
        <w:t xml:space="preserve">If this subregulation applies, the local government that appointed or authorised the designated person (as the case requires) must, within 48 hours after the NLIS identified sheep or goat is found dead or is destroyed, record in the NLIS database the following — </w:t>
      </w:r>
    </w:p>
    <w:p>
      <w:pPr>
        <w:pStyle w:val="Indenta"/>
      </w:pPr>
      <w:r>
        <w:tab/>
        <w:t>(a)</w:t>
      </w:r>
      <w:r>
        <w:tab/>
        <w:t>the PIC of the pound operated by the local government;</w:t>
      </w:r>
    </w:p>
    <w:p>
      <w:pPr>
        <w:pStyle w:val="Indenta"/>
      </w:pPr>
      <w:r>
        <w:tab/>
        <w:t>(b)</w:t>
      </w:r>
      <w:r>
        <w:tab/>
        <w:t>the date the sheep or goat was found dead or was destroyed.</w:t>
      </w:r>
    </w:p>
    <w:p>
      <w:pPr>
        <w:pStyle w:val="Penstart"/>
      </w:pPr>
      <w:r>
        <w:tab/>
        <w:t>Penalty for this subregulation: a fine of $2 000.</w:t>
      </w:r>
    </w:p>
    <w:p>
      <w:pPr>
        <w:pStyle w:val="Footnotesection"/>
      </w:pPr>
      <w:bookmarkStart w:id="642" w:name="_Toc185857400"/>
      <w:bookmarkStart w:id="643" w:name="_Toc185857744"/>
      <w:r>
        <w:tab/>
        <w:t>[Regulation 164ZW inserted: SL 2024/264 r. 11.]</w:t>
      </w:r>
    </w:p>
    <w:p>
      <w:pPr>
        <w:pStyle w:val="Heading2"/>
      </w:pPr>
      <w:bookmarkStart w:id="644" w:name="_Toc185866511"/>
      <w:r>
        <w:rPr>
          <w:rStyle w:val="CharPartNo"/>
        </w:rPr>
        <w:lastRenderedPageBreak/>
        <w:t>Part 7</w:t>
      </w:r>
      <w:r>
        <w:t> — </w:t>
      </w:r>
      <w:r>
        <w:rPr>
          <w:rStyle w:val="CharPartText"/>
        </w:rPr>
        <w:t>Identifying other species of stock</w:t>
      </w:r>
      <w:bookmarkEnd w:id="366"/>
      <w:bookmarkEnd w:id="642"/>
      <w:bookmarkEnd w:id="643"/>
      <w:bookmarkEnd w:id="644"/>
    </w:p>
    <w:p>
      <w:pPr>
        <w:pStyle w:val="Heading3"/>
      </w:pPr>
      <w:bookmarkStart w:id="645" w:name="_Toc185837742"/>
      <w:bookmarkStart w:id="646" w:name="_Toc185857401"/>
      <w:bookmarkStart w:id="647" w:name="_Toc185857745"/>
      <w:bookmarkStart w:id="648" w:name="_Toc185866512"/>
      <w:r>
        <w:rPr>
          <w:rStyle w:val="CharDivNo"/>
        </w:rPr>
        <w:t>Division 1</w:t>
      </w:r>
      <w:r>
        <w:t> — </w:t>
      </w:r>
      <w:r>
        <w:rPr>
          <w:rStyle w:val="CharDivText"/>
        </w:rPr>
        <w:t>Deer</w:t>
      </w:r>
      <w:bookmarkEnd w:id="645"/>
      <w:bookmarkEnd w:id="646"/>
      <w:bookmarkEnd w:id="647"/>
      <w:bookmarkEnd w:id="648"/>
    </w:p>
    <w:p>
      <w:pPr>
        <w:pStyle w:val="Heading5"/>
      </w:pPr>
      <w:bookmarkStart w:id="649" w:name="_Toc185866513"/>
      <w:r>
        <w:rPr>
          <w:rStyle w:val="CharSectno"/>
        </w:rPr>
        <w:t>165</w:t>
      </w:r>
      <w:r>
        <w:t>.</w:t>
      </w:r>
      <w:r>
        <w:tab/>
        <w:t>Owners to identify deer</w:t>
      </w:r>
      <w:bookmarkEnd w:id="649"/>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650" w:name="_Toc185866514"/>
      <w:r>
        <w:rPr>
          <w:rStyle w:val="CharSectno"/>
        </w:rPr>
        <w:t>166</w:t>
      </w:r>
      <w:r>
        <w:t>.</w:t>
      </w:r>
      <w:r>
        <w:tab/>
        <w:t>Exemption for unweaned deer</w:t>
      </w:r>
      <w:bookmarkEnd w:id="650"/>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651" w:name="_Toc185866515"/>
      <w:r>
        <w:rPr>
          <w:rStyle w:val="CharSectno"/>
        </w:rPr>
        <w:t>167</w:t>
      </w:r>
      <w:r>
        <w:t>.</w:t>
      </w:r>
      <w:r>
        <w:tab/>
        <w:t>Deer identified by previous owner</w:t>
      </w:r>
      <w:bookmarkEnd w:id="651"/>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652" w:name="_Toc185866516"/>
      <w:r>
        <w:rPr>
          <w:rStyle w:val="CharSectno"/>
        </w:rPr>
        <w:lastRenderedPageBreak/>
        <w:t>168</w:t>
      </w:r>
      <w:r>
        <w:t>.</w:t>
      </w:r>
      <w:r>
        <w:tab/>
        <w:t>Requirements for brands</w:t>
      </w:r>
      <w:bookmarkEnd w:id="652"/>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653" w:name="_Toc185866517"/>
      <w:r>
        <w:rPr>
          <w:rStyle w:val="CharSectno"/>
        </w:rPr>
        <w:t>169</w:t>
      </w:r>
      <w:r>
        <w:t>.</w:t>
      </w:r>
      <w:r>
        <w:tab/>
        <w:t>Requirements for earmarks</w:t>
      </w:r>
      <w:bookmarkEnd w:id="653"/>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654" w:name="_Toc185837748"/>
      <w:bookmarkStart w:id="655" w:name="_Toc185857407"/>
      <w:bookmarkStart w:id="656" w:name="_Toc185857751"/>
      <w:bookmarkStart w:id="657" w:name="_Toc185866518"/>
      <w:r>
        <w:rPr>
          <w:rStyle w:val="CharDivNo"/>
        </w:rPr>
        <w:t>Division 2</w:t>
      </w:r>
      <w:r>
        <w:t> — </w:t>
      </w:r>
      <w:r>
        <w:rPr>
          <w:rStyle w:val="CharDivText"/>
        </w:rPr>
        <w:t>Horses and donkeys</w:t>
      </w:r>
      <w:bookmarkEnd w:id="654"/>
      <w:bookmarkEnd w:id="655"/>
      <w:bookmarkEnd w:id="656"/>
      <w:bookmarkEnd w:id="657"/>
    </w:p>
    <w:p>
      <w:pPr>
        <w:pStyle w:val="Footnoteheading"/>
      </w:pPr>
      <w:r>
        <w:tab/>
        <w:t>[Heading inserted: Gazette 27 Jun 2019 p. 2444.]</w:t>
      </w:r>
    </w:p>
    <w:p>
      <w:pPr>
        <w:pStyle w:val="Heading5"/>
      </w:pPr>
      <w:bookmarkStart w:id="658" w:name="_Toc185866519"/>
      <w:r>
        <w:rPr>
          <w:rStyle w:val="CharSectno"/>
        </w:rPr>
        <w:t>170</w:t>
      </w:r>
      <w:r>
        <w:t>.</w:t>
      </w:r>
      <w:r>
        <w:tab/>
        <w:t>Owners to identify horses and donkeys</w:t>
      </w:r>
      <w:bookmarkEnd w:id="658"/>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lastRenderedPageBreak/>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659" w:name="_Toc185866520"/>
      <w:r>
        <w:rPr>
          <w:rStyle w:val="CharSectno"/>
        </w:rPr>
        <w:t>171</w:t>
      </w:r>
      <w:r>
        <w:t>.</w:t>
      </w:r>
      <w:r>
        <w:tab/>
        <w:t>Exemption for unweaned horses and donkeys</w:t>
      </w:r>
      <w:bookmarkEnd w:id="659"/>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660" w:name="_Toc185866521"/>
      <w:r>
        <w:rPr>
          <w:rStyle w:val="CharSectno"/>
        </w:rPr>
        <w:t>172</w:t>
      </w:r>
      <w:r>
        <w:t>.</w:t>
      </w:r>
      <w:r>
        <w:tab/>
        <w:t>Horses or donkeys identified by previous owner</w:t>
      </w:r>
      <w:bookmarkEnd w:id="660"/>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661" w:name="_Toc185866522"/>
      <w:r>
        <w:rPr>
          <w:rStyle w:val="CharSectno"/>
        </w:rPr>
        <w:t>173</w:t>
      </w:r>
      <w:r>
        <w:t>.</w:t>
      </w:r>
      <w:r>
        <w:tab/>
        <w:t>Requirements for brands</w:t>
      </w:r>
      <w:bookmarkEnd w:id="661"/>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keepNext/>
      </w:pPr>
      <w:r>
        <w:lastRenderedPageBreak/>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662" w:name="_Toc185837753"/>
      <w:bookmarkStart w:id="663" w:name="_Toc185857412"/>
      <w:bookmarkStart w:id="664" w:name="_Toc185857756"/>
      <w:bookmarkStart w:id="665" w:name="_Toc185866523"/>
      <w:r>
        <w:rPr>
          <w:rStyle w:val="CharDivNo"/>
        </w:rPr>
        <w:t>Division 5</w:t>
      </w:r>
      <w:r>
        <w:t> — </w:t>
      </w:r>
      <w:r>
        <w:rPr>
          <w:rStyle w:val="CharDivText"/>
        </w:rPr>
        <w:t>South American camelids</w:t>
      </w:r>
      <w:bookmarkEnd w:id="662"/>
      <w:bookmarkEnd w:id="663"/>
      <w:bookmarkEnd w:id="664"/>
      <w:bookmarkEnd w:id="665"/>
    </w:p>
    <w:p>
      <w:pPr>
        <w:pStyle w:val="Heading5"/>
      </w:pPr>
      <w:bookmarkStart w:id="666" w:name="_Toc185866524"/>
      <w:r>
        <w:rPr>
          <w:rStyle w:val="CharSectno"/>
        </w:rPr>
        <w:t>181</w:t>
      </w:r>
      <w:r>
        <w:t>.</w:t>
      </w:r>
      <w:r>
        <w:tab/>
        <w:t>Owners to identify South American camelids</w:t>
      </w:r>
      <w:bookmarkEnd w:id="666"/>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lastRenderedPageBreak/>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667" w:name="_Toc185866525"/>
      <w:r>
        <w:rPr>
          <w:rStyle w:val="CharSectno"/>
        </w:rPr>
        <w:lastRenderedPageBreak/>
        <w:t>182</w:t>
      </w:r>
      <w:r>
        <w:t>.</w:t>
      </w:r>
      <w:r>
        <w:tab/>
        <w:t>Exemption for unweaned South American camelids</w:t>
      </w:r>
      <w:bookmarkEnd w:id="667"/>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668" w:name="_Toc185866526"/>
      <w:r>
        <w:rPr>
          <w:rStyle w:val="CharSectno"/>
        </w:rPr>
        <w:t>183</w:t>
      </w:r>
      <w:r>
        <w:t>.</w:t>
      </w:r>
      <w:r>
        <w:tab/>
        <w:t>South American camelids identified by previous owner</w:t>
      </w:r>
      <w:bookmarkEnd w:id="668"/>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669" w:name="_Toc185866527"/>
      <w:r>
        <w:rPr>
          <w:rStyle w:val="CharSectno"/>
        </w:rPr>
        <w:t>184</w:t>
      </w:r>
      <w:r>
        <w:t>.</w:t>
      </w:r>
      <w:r>
        <w:tab/>
        <w:t>Registered identifier applied as brand</w:t>
      </w:r>
      <w:bookmarkEnd w:id="669"/>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670" w:name="_Toc185866528"/>
      <w:r>
        <w:rPr>
          <w:rStyle w:val="CharSectno"/>
        </w:rPr>
        <w:lastRenderedPageBreak/>
        <w:t>185</w:t>
      </w:r>
      <w:r>
        <w:t>.</w:t>
      </w:r>
      <w:r>
        <w:tab/>
        <w:t>Registered identifier applied as earmark</w:t>
      </w:r>
      <w:bookmarkEnd w:id="670"/>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671" w:name="_Toc185866529"/>
      <w:r>
        <w:rPr>
          <w:rStyle w:val="CharSectno"/>
        </w:rPr>
        <w:t>186</w:t>
      </w:r>
      <w:r>
        <w:t>.</w:t>
      </w:r>
      <w:r>
        <w:tab/>
        <w:t>Earmarks and other markings</w:t>
      </w:r>
      <w:bookmarkEnd w:id="671"/>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672" w:name="_Toc185837760"/>
      <w:bookmarkStart w:id="673" w:name="_Toc185857419"/>
      <w:bookmarkStart w:id="674" w:name="_Toc185857763"/>
      <w:bookmarkStart w:id="675" w:name="_Toc185866530"/>
      <w:r>
        <w:rPr>
          <w:rStyle w:val="CharPartNo"/>
        </w:rPr>
        <w:lastRenderedPageBreak/>
        <w:t>Part 8</w:t>
      </w:r>
      <w:r>
        <w:rPr>
          <w:rStyle w:val="CharDivNo"/>
        </w:rPr>
        <w:t> </w:t>
      </w:r>
      <w:r>
        <w:t>—</w:t>
      </w:r>
      <w:r>
        <w:rPr>
          <w:rStyle w:val="CharDivText"/>
        </w:rPr>
        <w:t> </w:t>
      </w:r>
      <w:r>
        <w:rPr>
          <w:rStyle w:val="CharPartText"/>
        </w:rPr>
        <w:t>Movement of animals</w:t>
      </w:r>
      <w:bookmarkEnd w:id="672"/>
      <w:bookmarkEnd w:id="673"/>
      <w:bookmarkEnd w:id="674"/>
      <w:bookmarkEnd w:id="675"/>
    </w:p>
    <w:p>
      <w:pPr>
        <w:pStyle w:val="Heading5"/>
      </w:pPr>
      <w:bookmarkStart w:id="676" w:name="_Toc185866531"/>
      <w:r>
        <w:rPr>
          <w:rStyle w:val="CharSectno"/>
        </w:rPr>
        <w:t>187</w:t>
      </w:r>
      <w:r>
        <w:t>.</w:t>
      </w:r>
      <w:r>
        <w:tab/>
        <w:t>Terms used</w:t>
      </w:r>
      <w:bookmarkEnd w:id="67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677" w:name="_Toc185866532"/>
      <w:r>
        <w:rPr>
          <w:rStyle w:val="CharSectno"/>
        </w:rPr>
        <w:t>188</w:t>
      </w:r>
      <w:r>
        <w:t>.</w:t>
      </w:r>
      <w:r>
        <w:tab/>
        <w:t>Application of Part</w:t>
      </w:r>
      <w:bookmarkEnd w:id="677"/>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678" w:name="_Toc185866533"/>
      <w:r>
        <w:rPr>
          <w:rStyle w:val="CharSectno"/>
        </w:rPr>
        <w:t>189</w:t>
      </w:r>
      <w:r>
        <w:t>.</w:t>
      </w:r>
      <w:r>
        <w:tab/>
        <w:t>When waybill is required</w:t>
      </w:r>
      <w:bookmarkEnd w:id="678"/>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lastRenderedPageBreak/>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679" w:name="_Toc185866534"/>
      <w:r>
        <w:rPr>
          <w:rStyle w:val="CharSectno"/>
        </w:rPr>
        <w:t>190</w:t>
      </w:r>
      <w:r>
        <w:t>.</w:t>
      </w:r>
      <w:r>
        <w:tab/>
        <w:t>General requirements for waybills</w:t>
      </w:r>
      <w:bookmarkEnd w:id="679"/>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lastRenderedPageBreak/>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lastRenderedPageBreak/>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680" w:name="_Toc185866535"/>
      <w:r>
        <w:rPr>
          <w:rStyle w:val="CharSectno"/>
        </w:rPr>
        <w:t>191</w:t>
      </w:r>
      <w:r>
        <w:t>.</w:t>
      </w:r>
      <w:r>
        <w:tab/>
        <w:t>Movements from saleyards</w:t>
      </w:r>
      <w:bookmarkEnd w:id="680"/>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lastRenderedPageBreak/>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681" w:name="_Toc185866536"/>
      <w:r>
        <w:rPr>
          <w:rStyle w:val="CharSectno"/>
        </w:rPr>
        <w:t>192</w:t>
      </w:r>
      <w:r>
        <w:t>.</w:t>
      </w:r>
      <w:r>
        <w:tab/>
        <w:t>When purchaser must provide waybill</w:t>
      </w:r>
      <w:bookmarkEnd w:id="681"/>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w:t>
      </w:r>
      <w:r>
        <w:lastRenderedPageBreak/>
        <w:t xml:space="preserve">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682" w:name="_Toc185866537"/>
      <w:r>
        <w:rPr>
          <w:rStyle w:val="CharSectno"/>
        </w:rPr>
        <w:t>193</w:t>
      </w:r>
      <w:r>
        <w:t>.</w:t>
      </w:r>
      <w:r>
        <w:tab/>
        <w:t>Movements from export depots</w:t>
      </w:r>
      <w:bookmarkEnd w:id="682"/>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lastRenderedPageBreak/>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683" w:name="_Toc185866538"/>
      <w:r>
        <w:rPr>
          <w:rStyle w:val="CharSectno"/>
        </w:rPr>
        <w:t>194</w:t>
      </w:r>
      <w:r>
        <w:t>.</w:t>
      </w:r>
      <w:r>
        <w:tab/>
        <w:t>Recording identifiers on waybills</w:t>
      </w:r>
      <w:bookmarkEnd w:id="683"/>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lastRenderedPageBreak/>
        <w:tab/>
        <w:t>[Regulation 194 amended: Gazette 27 Jun 2019 p. 2450.]</w:t>
      </w:r>
    </w:p>
    <w:p>
      <w:pPr>
        <w:pStyle w:val="Heading5"/>
      </w:pPr>
      <w:bookmarkStart w:id="684" w:name="_Toc185866539"/>
      <w:r>
        <w:rPr>
          <w:rStyle w:val="CharSectno"/>
        </w:rPr>
        <w:t>195</w:t>
      </w:r>
      <w:r>
        <w:t>.</w:t>
      </w:r>
      <w:r>
        <w:tab/>
        <w:t>When waybill is not required</w:t>
      </w:r>
      <w:bookmarkEnd w:id="684"/>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685" w:name="_Toc185866540"/>
      <w:r>
        <w:rPr>
          <w:rStyle w:val="CharSectno"/>
        </w:rPr>
        <w:t>196</w:t>
      </w:r>
      <w:r>
        <w:t>.</w:t>
      </w:r>
      <w:r>
        <w:tab/>
        <w:t>Movement permits</w:t>
      </w:r>
      <w:bookmarkEnd w:id="685"/>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lastRenderedPageBreak/>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lastRenderedPageBreak/>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686" w:name="_Toc185866541"/>
      <w:r>
        <w:rPr>
          <w:rStyle w:val="CharSectno"/>
        </w:rPr>
        <w:t>197</w:t>
      </w:r>
      <w:r>
        <w:t>.</w:t>
      </w:r>
      <w:r>
        <w:tab/>
        <w:t>When carrier may make out waybill</w:t>
      </w:r>
      <w:bookmarkEnd w:id="686"/>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lastRenderedPageBreak/>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687" w:name="_Toc185866542"/>
      <w:r>
        <w:rPr>
          <w:rStyle w:val="CharSectno"/>
        </w:rPr>
        <w:t>198</w:t>
      </w:r>
      <w:r>
        <w:t>.</w:t>
      </w:r>
      <w:r>
        <w:tab/>
        <w:t>Movement of animals if transport documents retained by inspector</w:t>
      </w:r>
      <w:bookmarkEnd w:id="687"/>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lastRenderedPageBreak/>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688" w:name="_Toc185866543"/>
      <w:r>
        <w:rPr>
          <w:rStyle w:val="CharSectno"/>
        </w:rPr>
        <w:t>199</w:t>
      </w:r>
      <w:r>
        <w:t>.</w:t>
      </w:r>
      <w:r>
        <w:tab/>
        <w:t>Transport document must accompany animal being moved</w:t>
      </w:r>
      <w:bookmarkEnd w:id="688"/>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689" w:name="_Toc185866544"/>
      <w:r>
        <w:rPr>
          <w:rStyle w:val="CharSectno"/>
        </w:rPr>
        <w:t>200</w:t>
      </w:r>
      <w:r>
        <w:t>.</w:t>
      </w:r>
      <w:r>
        <w:tab/>
        <w:t>Carrier to deliver transport document to operator of destination property</w:t>
      </w:r>
      <w:bookmarkEnd w:id="689"/>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lastRenderedPageBreak/>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690" w:name="_Toc185866545"/>
      <w:r>
        <w:rPr>
          <w:rStyle w:val="CharSectno"/>
        </w:rPr>
        <w:t>201</w:t>
      </w:r>
      <w:r>
        <w:t>.</w:t>
      </w:r>
      <w:r>
        <w:tab/>
        <w:t>Property operator to obtain transport document</w:t>
      </w:r>
      <w:bookmarkEnd w:id="690"/>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lastRenderedPageBreak/>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691" w:name="_Toc185837776"/>
      <w:bookmarkStart w:id="692" w:name="_Toc185857435"/>
      <w:bookmarkStart w:id="693" w:name="_Toc185857779"/>
      <w:bookmarkStart w:id="694" w:name="_Toc185866546"/>
      <w:r>
        <w:rPr>
          <w:rStyle w:val="CharPartNo"/>
        </w:rPr>
        <w:lastRenderedPageBreak/>
        <w:t>Part 9</w:t>
      </w:r>
      <w:r>
        <w:rPr>
          <w:rStyle w:val="CharDivNo"/>
        </w:rPr>
        <w:t> </w:t>
      </w:r>
      <w:r>
        <w:t>—</w:t>
      </w:r>
      <w:r>
        <w:rPr>
          <w:rStyle w:val="CharDivText"/>
        </w:rPr>
        <w:t> </w:t>
      </w:r>
      <w:r>
        <w:rPr>
          <w:rStyle w:val="CharPartText"/>
        </w:rPr>
        <w:t>Identification and movement of apiaries</w:t>
      </w:r>
      <w:bookmarkEnd w:id="691"/>
      <w:bookmarkEnd w:id="692"/>
      <w:bookmarkEnd w:id="693"/>
      <w:bookmarkEnd w:id="694"/>
    </w:p>
    <w:p>
      <w:pPr>
        <w:pStyle w:val="Heading5"/>
      </w:pPr>
      <w:bookmarkStart w:id="695" w:name="_Toc185866547"/>
      <w:r>
        <w:rPr>
          <w:rStyle w:val="CharSectno"/>
        </w:rPr>
        <w:t>202</w:t>
      </w:r>
      <w:r>
        <w:t>.</w:t>
      </w:r>
      <w:r>
        <w:tab/>
        <w:t>Beekeepers to identify hives</w:t>
      </w:r>
      <w:bookmarkEnd w:id="695"/>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696" w:name="_Toc185866548"/>
      <w:r>
        <w:rPr>
          <w:rStyle w:val="CharSectno"/>
        </w:rPr>
        <w:t>203</w:t>
      </w:r>
      <w:r>
        <w:t>.</w:t>
      </w:r>
      <w:r>
        <w:tab/>
        <w:t>Identifying hives</w:t>
      </w:r>
      <w:bookmarkEnd w:id="696"/>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697" w:name="_Toc185866549"/>
      <w:r>
        <w:rPr>
          <w:rStyle w:val="CharSectno"/>
        </w:rPr>
        <w:t>204</w:t>
      </w:r>
      <w:r>
        <w:t>.</w:t>
      </w:r>
      <w:r>
        <w:tab/>
        <w:t>Exclusive use of registered identifiers</w:t>
      </w:r>
      <w:bookmarkEnd w:id="697"/>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lastRenderedPageBreak/>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698" w:name="_Toc185866550"/>
      <w:r>
        <w:rPr>
          <w:rStyle w:val="CharSectno"/>
        </w:rPr>
        <w:t>205</w:t>
      </w:r>
      <w:r>
        <w:t>.</w:t>
      </w:r>
      <w:r>
        <w:tab/>
        <w:t>Successive owners of hives</w:t>
      </w:r>
      <w:bookmarkEnd w:id="698"/>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699" w:name="_Toc185866551"/>
      <w:r>
        <w:rPr>
          <w:rStyle w:val="CharSectno"/>
        </w:rPr>
        <w:t>206</w:t>
      </w:r>
      <w:r>
        <w:t>.</w:t>
      </w:r>
      <w:r>
        <w:tab/>
        <w:t>Altered or defaced identifiers</w:t>
      </w:r>
      <w:bookmarkEnd w:id="699"/>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700" w:name="_Toc185866552"/>
      <w:r>
        <w:rPr>
          <w:rStyle w:val="CharSectno"/>
        </w:rPr>
        <w:t>207</w:t>
      </w:r>
      <w:r>
        <w:t>.</w:t>
      </w:r>
      <w:r>
        <w:tab/>
        <w:t>Possession of unidentified hives</w:t>
      </w:r>
      <w:bookmarkEnd w:id="700"/>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701" w:name="_Toc185866553"/>
      <w:r>
        <w:rPr>
          <w:rStyle w:val="CharSectno"/>
        </w:rPr>
        <w:lastRenderedPageBreak/>
        <w:t>208</w:t>
      </w:r>
      <w:r>
        <w:t>.</w:t>
      </w:r>
      <w:r>
        <w:tab/>
        <w:t>Notices for apiaries</w:t>
      </w:r>
      <w:bookmarkEnd w:id="701"/>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702" w:name="_Toc185866554"/>
      <w:r>
        <w:rPr>
          <w:rStyle w:val="CharSectno"/>
        </w:rPr>
        <w:t>209</w:t>
      </w:r>
      <w:r>
        <w:t>.</w:t>
      </w:r>
      <w:r>
        <w:tab/>
        <w:t>Establishment and movement of apiaries</w:t>
      </w:r>
      <w:bookmarkEnd w:id="702"/>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lastRenderedPageBreak/>
        <w:tab/>
        <w:t>[Regulation 209 amended: SL 2021/204 r. 14.]</w:t>
      </w:r>
    </w:p>
    <w:p>
      <w:pPr>
        <w:pStyle w:val="Heading5"/>
      </w:pPr>
      <w:bookmarkStart w:id="703" w:name="_Toc185866555"/>
      <w:r>
        <w:rPr>
          <w:rStyle w:val="CharSectno"/>
        </w:rPr>
        <w:t>210</w:t>
      </w:r>
      <w:r>
        <w:t>.</w:t>
      </w:r>
      <w:r>
        <w:tab/>
        <w:t>Lease, supply or disposal of apiaries</w:t>
      </w:r>
      <w:bookmarkEnd w:id="703"/>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704" w:name="_Toc185837786"/>
      <w:bookmarkStart w:id="705" w:name="_Toc185857445"/>
      <w:bookmarkStart w:id="706" w:name="_Toc185857789"/>
      <w:bookmarkStart w:id="707" w:name="_Toc185866556"/>
      <w:r>
        <w:rPr>
          <w:rStyle w:val="CharPartNo"/>
        </w:rPr>
        <w:lastRenderedPageBreak/>
        <w:t>Part 10</w:t>
      </w:r>
      <w:r>
        <w:rPr>
          <w:rStyle w:val="CharDivNo"/>
        </w:rPr>
        <w:t> </w:t>
      </w:r>
      <w:r>
        <w:t>—</w:t>
      </w:r>
      <w:r>
        <w:rPr>
          <w:rStyle w:val="CharDivText"/>
        </w:rPr>
        <w:t> </w:t>
      </w:r>
      <w:r>
        <w:rPr>
          <w:rStyle w:val="CharPartText"/>
        </w:rPr>
        <w:t>Miscellaneous</w:t>
      </w:r>
      <w:bookmarkEnd w:id="704"/>
      <w:bookmarkEnd w:id="705"/>
      <w:bookmarkEnd w:id="706"/>
      <w:bookmarkEnd w:id="707"/>
    </w:p>
    <w:p>
      <w:pPr>
        <w:pStyle w:val="Heading5"/>
      </w:pPr>
      <w:bookmarkStart w:id="708" w:name="_Toc185866557"/>
      <w:r>
        <w:rPr>
          <w:rStyle w:val="CharSectno"/>
        </w:rPr>
        <w:t>211</w:t>
      </w:r>
      <w:r>
        <w:t>.</w:t>
      </w:r>
      <w:r>
        <w:tab/>
        <w:t>False or misleading information</w:t>
      </w:r>
      <w:bookmarkEnd w:id="708"/>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709" w:name="_Toc185866558"/>
      <w:r>
        <w:rPr>
          <w:rStyle w:val="CharSectno"/>
        </w:rPr>
        <w:lastRenderedPageBreak/>
        <w:t>212</w:t>
      </w:r>
      <w:r>
        <w:t>.</w:t>
      </w:r>
      <w:r>
        <w:tab/>
        <w:t>Directions may be given orally or in writing</w:t>
      </w:r>
      <w:bookmarkEnd w:id="709"/>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710" w:name="_Toc185837789"/>
      <w:bookmarkStart w:id="711" w:name="_Toc185857448"/>
      <w:bookmarkStart w:id="712" w:name="_Toc185857792"/>
      <w:bookmarkStart w:id="713" w:name="_Toc185866559"/>
      <w:r>
        <w:rPr>
          <w:rStyle w:val="CharPartNo"/>
        </w:rPr>
        <w:lastRenderedPageBreak/>
        <w:t>Part 11</w:t>
      </w:r>
      <w:r>
        <w:t> — </w:t>
      </w:r>
      <w:r>
        <w:rPr>
          <w:rStyle w:val="CharPartText"/>
        </w:rPr>
        <w:t>Repeal of regulations and transitional provisions</w:t>
      </w:r>
      <w:bookmarkEnd w:id="710"/>
      <w:bookmarkEnd w:id="711"/>
      <w:bookmarkEnd w:id="712"/>
      <w:bookmarkEnd w:id="713"/>
    </w:p>
    <w:p>
      <w:pPr>
        <w:pStyle w:val="Heading3"/>
      </w:pPr>
      <w:bookmarkStart w:id="714" w:name="_Toc185837790"/>
      <w:bookmarkStart w:id="715" w:name="_Toc185857449"/>
      <w:bookmarkStart w:id="716" w:name="_Toc185857793"/>
      <w:bookmarkStart w:id="717" w:name="_Toc185866560"/>
      <w:r>
        <w:rPr>
          <w:rStyle w:val="CharDivNo"/>
        </w:rPr>
        <w:t>Division 1</w:t>
      </w:r>
      <w:r>
        <w:t> — </w:t>
      </w:r>
      <w:r>
        <w:rPr>
          <w:rStyle w:val="CharDivText"/>
        </w:rPr>
        <w:t>Repeals</w:t>
      </w:r>
      <w:bookmarkEnd w:id="714"/>
      <w:bookmarkEnd w:id="715"/>
      <w:bookmarkEnd w:id="716"/>
      <w:bookmarkEnd w:id="717"/>
    </w:p>
    <w:p>
      <w:pPr>
        <w:pStyle w:val="Heading5"/>
      </w:pPr>
      <w:bookmarkStart w:id="718" w:name="_Toc185866561"/>
      <w:r>
        <w:rPr>
          <w:rStyle w:val="CharSectno"/>
        </w:rPr>
        <w:t>213</w:t>
      </w:r>
      <w:r>
        <w:t>.</w:t>
      </w:r>
      <w:r>
        <w:tab/>
        <w:t>Repeals</w:t>
      </w:r>
      <w:bookmarkEnd w:id="718"/>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719" w:name="_Toc185837792"/>
      <w:bookmarkStart w:id="720" w:name="_Toc185857451"/>
      <w:bookmarkStart w:id="721" w:name="_Toc185857795"/>
      <w:bookmarkStart w:id="722" w:name="_Toc185866562"/>
      <w:r>
        <w:rPr>
          <w:rStyle w:val="CharDivNo"/>
        </w:rPr>
        <w:t>Division 2</w:t>
      </w:r>
      <w:r>
        <w:t> — </w:t>
      </w:r>
      <w:r>
        <w:rPr>
          <w:rStyle w:val="CharDivText"/>
          <w:i/>
        </w:rPr>
        <w:t>Enzootic Diseases Regulations 1970</w:t>
      </w:r>
      <w:r>
        <w:rPr>
          <w:rStyle w:val="CharDivText"/>
        </w:rPr>
        <w:t>: transitional provisions</w:t>
      </w:r>
      <w:bookmarkEnd w:id="719"/>
      <w:bookmarkEnd w:id="720"/>
      <w:bookmarkEnd w:id="721"/>
      <w:bookmarkEnd w:id="722"/>
    </w:p>
    <w:p>
      <w:pPr>
        <w:pStyle w:val="Heading5"/>
      </w:pPr>
      <w:bookmarkStart w:id="723" w:name="_Toc185866563"/>
      <w:r>
        <w:rPr>
          <w:rStyle w:val="CharSectno"/>
        </w:rPr>
        <w:t>214</w:t>
      </w:r>
      <w:r>
        <w:t>.</w:t>
      </w:r>
      <w:r>
        <w:tab/>
        <w:t>Terms used</w:t>
      </w:r>
      <w:bookmarkEnd w:id="723"/>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724" w:name="_Toc185866564"/>
      <w:r>
        <w:rPr>
          <w:rStyle w:val="CharSectno"/>
        </w:rPr>
        <w:t>215</w:t>
      </w:r>
      <w:r>
        <w:t>.</w:t>
      </w:r>
      <w:r>
        <w:tab/>
        <w:t>Identification codes</w:t>
      </w:r>
      <w:bookmarkEnd w:id="724"/>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lastRenderedPageBreak/>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725" w:name="_Toc185866565"/>
      <w:r>
        <w:rPr>
          <w:rStyle w:val="CharSectno"/>
        </w:rPr>
        <w:t>216</w:t>
      </w:r>
      <w:r>
        <w:t>.</w:t>
      </w:r>
      <w:r>
        <w:tab/>
        <w:t xml:space="preserve">Notices given under </w:t>
      </w:r>
      <w:r>
        <w:rPr>
          <w:i/>
        </w:rPr>
        <w:t xml:space="preserve">Enzootic Diseases Regulations 1970 </w:t>
      </w:r>
      <w:r>
        <w:t>regulation 11(1)(a)</w:t>
      </w:r>
      <w:bookmarkEnd w:id="725"/>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726" w:name="_Toc185866566"/>
      <w:r>
        <w:rPr>
          <w:rStyle w:val="CharSectno"/>
        </w:rPr>
        <w:lastRenderedPageBreak/>
        <w:t>217</w:t>
      </w:r>
      <w:r>
        <w:t>.</w:t>
      </w:r>
      <w:r>
        <w:tab/>
        <w:t xml:space="preserve">Notices given under </w:t>
      </w:r>
      <w:r>
        <w:rPr>
          <w:i/>
        </w:rPr>
        <w:t xml:space="preserve">Enzootic Diseases Regulations 1970 </w:t>
      </w:r>
      <w:r>
        <w:t>regulation 11(1)(b)</w:t>
      </w:r>
      <w:bookmarkEnd w:id="726"/>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3"/>
      </w:pPr>
      <w:bookmarkStart w:id="727" w:name="_Toc184300508"/>
      <w:bookmarkStart w:id="728" w:name="_Toc184300606"/>
      <w:bookmarkStart w:id="729" w:name="_Toc184300689"/>
      <w:bookmarkStart w:id="730" w:name="_Toc184300803"/>
      <w:bookmarkStart w:id="731" w:name="_Toc184724095"/>
      <w:bookmarkStart w:id="732" w:name="_Toc185857456"/>
      <w:bookmarkStart w:id="733" w:name="_Toc185857800"/>
      <w:bookmarkStart w:id="734" w:name="_Toc185866567"/>
      <w:bookmarkStart w:id="735" w:name="_Toc185837797"/>
      <w:r>
        <w:rPr>
          <w:rStyle w:val="CharDivNo"/>
        </w:rPr>
        <w:t>Division 3</w:t>
      </w:r>
      <w:r>
        <w:t> —</w:t>
      </w:r>
      <w:r>
        <w:rPr>
          <w:rStyle w:val="CharDivText"/>
        </w:rPr>
        <w:t xml:space="preserve"> Transitional provisions for the </w:t>
      </w:r>
      <w:r>
        <w:rPr>
          <w:rStyle w:val="CharDivText"/>
          <w:i/>
        </w:rPr>
        <w:t>Biosecurity and Agriculture Management (Identification and Movement of Stock and Apiaries) Amendment Regulations 2024</w:t>
      </w:r>
      <w:bookmarkEnd w:id="727"/>
      <w:bookmarkEnd w:id="728"/>
      <w:bookmarkEnd w:id="729"/>
      <w:bookmarkEnd w:id="730"/>
      <w:bookmarkEnd w:id="731"/>
      <w:bookmarkEnd w:id="732"/>
      <w:bookmarkEnd w:id="733"/>
      <w:bookmarkEnd w:id="734"/>
    </w:p>
    <w:p>
      <w:pPr>
        <w:pStyle w:val="Footnoteheading"/>
      </w:pPr>
      <w:bookmarkStart w:id="736" w:name="_Toc184300509"/>
      <w:bookmarkStart w:id="737" w:name="_Toc184724096"/>
      <w:r>
        <w:tab/>
        <w:t>[Heading inserted: SL 2024/264 r. 12.]</w:t>
      </w:r>
    </w:p>
    <w:p>
      <w:pPr>
        <w:pStyle w:val="Heading5"/>
      </w:pPr>
      <w:bookmarkStart w:id="738" w:name="_Toc185866568"/>
      <w:r>
        <w:rPr>
          <w:rStyle w:val="CharSectno"/>
        </w:rPr>
        <w:t>217A</w:t>
      </w:r>
      <w:r>
        <w:t>.</w:t>
      </w:r>
      <w:r>
        <w:tab/>
        <w:t>Terms used</w:t>
      </w:r>
      <w:bookmarkEnd w:id="736"/>
      <w:bookmarkEnd w:id="737"/>
      <w:bookmarkEnd w:id="738"/>
    </w:p>
    <w:p>
      <w:pPr>
        <w:pStyle w:val="Subsection"/>
      </w:pPr>
      <w:r>
        <w:tab/>
      </w:r>
      <w:r>
        <w:tab/>
        <w:t xml:space="preserve">In this Division — </w:t>
      </w:r>
    </w:p>
    <w:p>
      <w:pPr>
        <w:pStyle w:val="Defstart"/>
      </w:pPr>
      <w:r>
        <w:tab/>
      </w:r>
      <w:r>
        <w:rPr>
          <w:rStyle w:val="CharDefText"/>
        </w:rPr>
        <w:t>amending regulations</w:t>
      </w:r>
      <w:r>
        <w:t xml:space="preserve"> means the </w:t>
      </w:r>
      <w:r>
        <w:rPr>
          <w:i/>
        </w:rPr>
        <w:t>Biosecurity and Agriculture Management (Identification and Movement of Stock and Apiaries) Amendment Regulations 2024</w:t>
      </w:r>
      <w:r>
        <w:t>;</w:t>
      </w:r>
    </w:p>
    <w:p>
      <w:pPr>
        <w:pStyle w:val="Defstart"/>
      </w:pPr>
      <w:r>
        <w:tab/>
      </w:r>
      <w:r>
        <w:rPr>
          <w:rStyle w:val="CharDefText"/>
        </w:rPr>
        <w:t>commencement day</w:t>
      </w:r>
      <w:r>
        <w:t xml:space="preserve"> means 1 January 2025;</w:t>
      </w:r>
    </w:p>
    <w:p>
      <w:pPr>
        <w:pStyle w:val="Defstart"/>
      </w:pPr>
      <w:r>
        <w:tab/>
      </w:r>
      <w:r>
        <w:rPr>
          <w:rStyle w:val="CharDefText"/>
        </w:rPr>
        <w:t>former regulations</w:t>
      </w:r>
      <w:r>
        <w:t xml:space="preserve"> means the </w:t>
      </w:r>
      <w:r>
        <w:rPr>
          <w:i/>
          <w:iCs/>
        </w:rPr>
        <w:t>Biosecurity and Agriculture Management (Identification and Movement of Stock and Apiaries) Regulations 2013</w:t>
      </w:r>
      <w:r>
        <w:t xml:space="preserve"> as in force immediately before commencement day.</w:t>
      </w:r>
    </w:p>
    <w:p>
      <w:pPr>
        <w:pStyle w:val="Footnotesection"/>
      </w:pPr>
      <w:bookmarkStart w:id="739" w:name="_Toc184300510"/>
      <w:bookmarkStart w:id="740" w:name="_Toc184724097"/>
      <w:r>
        <w:tab/>
        <w:t>[Regulation 217A inserted: SL 2024/264 r. 12.]</w:t>
      </w:r>
    </w:p>
    <w:p>
      <w:pPr>
        <w:pStyle w:val="Heading5"/>
      </w:pPr>
      <w:bookmarkStart w:id="741" w:name="_Toc185866569"/>
      <w:r>
        <w:rPr>
          <w:rStyle w:val="CharSectno"/>
        </w:rPr>
        <w:lastRenderedPageBreak/>
        <w:t>217B</w:t>
      </w:r>
      <w:r>
        <w:t>.</w:t>
      </w:r>
      <w:r>
        <w:tab/>
        <w:t>Sheep or goats born before commencement day</w:t>
      </w:r>
      <w:bookmarkEnd w:id="739"/>
      <w:bookmarkEnd w:id="740"/>
      <w:bookmarkEnd w:id="741"/>
    </w:p>
    <w:p>
      <w:pPr>
        <w:pStyle w:val="Subsection"/>
        <w:keepNext/>
      </w:pPr>
      <w:r>
        <w:tab/>
        <w:t>(1)</w:t>
      </w:r>
      <w:r>
        <w:tab/>
        <w:t xml:space="preserve">In this regulation — </w:t>
      </w:r>
    </w:p>
    <w:p>
      <w:pPr>
        <w:pStyle w:val="Defstart"/>
      </w:pPr>
      <w:r>
        <w:tab/>
      </w:r>
      <w:r>
        <w:rPr>
          <w:rStyle w:val="CharDefText"/>
        </w:rPr>
        <w:t>amended regulation 48</w:t>
      </w:r>
      <w:r>
        <w:t xml:space="preserve"> means regulation 48 as amended by regulation 4 of the amending regulations.</w:t>
      </w:r>
    </w:p>
    <w:p>
      <w:pPr>
        <w:pStyle w:val="Subsection"/>
      </w:pPr>
      <w:r>
        <w:tab/>
        <w:t>(2)</w:t>
      </w:r>
      <w:r>
        <w:tab/>
        <w:t>The former regulations, other than regulation 48, continue to apply during the period commencing on commencement day and ending on 30 June 2026 in respect of a sheep, or a goat, born before commencement day.</w:t>
      </w:r>
    </w:p>
    <w:p>
      <w:pPr>
        <w:pStyle w:val="Subsection"/>
      </w:pPr>
      <w:r>
        <w:tab/>
        <w:t>(3)</w:t>
      </w:r>
      <w:r>
        <w:tab/>
        <w:t>Amended regulation 48 applies in relation to a sheep or a goat, whether born before, on, or after commencement day.</w:t>
      </w:r>
    </w:p>
    <w:p>
      <w:pPr>
        <w:pStyle w:val="Footnotesection"/>
      </w:pPr>
      <w:bookmarkStart w:id="742" w:name="_Toc184300511"/>
      <w:bookmarkStart w:id="743" w:name="_Toc184724098"/>
      <w:r>
        <w:tab/>
        <w:t>[Regulation 217B inserted: SL 2024/264 r. 12.]</w:t>
      </w:r>
    </w:p>
    <w:p>
      <w:pPr>
        <w:pStyle w:val="Heading5"/>
      </w:pPr>
      <w:bookmarkStart w:id="744" w:name="_Toc185866570"/>
      <w:r>
        <w:rPr>
          <w:rStyle w:val="CharSectno"/>
        </w:rPr>
        <w:t>217C</w:t>
      </w:r>
      <w:r>
        <w:t>.</w:t>
      </w:r>
      <w:r>
        <w:tab/>
        <w:t>Amendments related to saleyards and abattoirs</w:t>
      </w:r>
      <w:bookmarkEnd w:id="742"/>
      <w:bookmarkEnd w:id="743"/>
      <w:bookmarkEnd w:id="744"/>
    </w:p>
    <w:p>
      <w:pPr>
        <w:pStyle w:val="Subsection"/>
      </w:pPr>
      <w:r>
        <w:tab/>
        <w:t>(1)</w:t>
      </w:r>
      <w:r>
        <w:tab/>
        <w:t xml:space="preserve">In this regulation — </w:t>
      </w:r>
    </w:p>
    <w:p>
      <w:pPr>
        <w:pStyle w:val="Defstart"/>
      </w:pPr>
      <w:r>
        <w:tab/>
      </w:r>
      <w:r>
        <w:rPr>
          <w:rStyle w:val="CharDefText"/>
        </w:rPr>
        <w:t>transitional period</w:t>
      </w:r>
      <w:r>
        <w:t xml:space="preserve"> means the period commencing on commencement day and ending on 30 June 2025.</w:t>
      </w:r>
    </w:p>
    <w:p>
      <w:pPr>
        <w:pStyle w:val="Subsection"/>
      </w:pPr>
      <w:r>
        <w:tab/>
        <w:t>(2)</w:t>
      </w:r>
      <w:r>
        <w:tab/>
        <w:t xml:space="preserve">Despite the amendments made by regulations 11 and 13 of the amending regulations, during the transitional period — </w:t>
      </w:r>
    </w:p>
    <w:p>
      <w:pPr>
        <w:pStyle w:val="Indenta"/>
      </w:pPr>
      <w:r>
        <w:tab/>
        <w:t>(a)</w:t>
      </w:r>
      <w:r>
        <w:tab/>
        <w:t>Part 6A Division 3 Subdivisions 4 and 5 have no effect; and</w:t>
      </w:r>
    </w:p>
    <w:p>
      <w:pPr>
        <w:pStyle w:val="Indenta"/>
      </w:pPr>
      <w:r>
        <w:tab/>
        <w:t>(b)</w:t>
      </w:r>
      <w:r>
        <w:tab/>
        <w:t>Part 6 Division 3 Subdivisions 6 and 7 of the former regulations continue to apply.</w:t>
      </w:r>
    </w:p>
    <w:p>
      <w:pPr>
        <w:pStyle w:val="Subsection"/>
      </w:pPr>
      <w:r>
        <w:tab/>
        <w:t>(3)</w:t>
      </w:r>
      <w:r>
        <w:tab/>
        <w:t xml:space="preserve">For the purposes of subregulation (2)(b), during the transitional period — </w:t>
      </w:r>
    </w:p>
    <w:p>
      <w:pPr>
        <w:pStyle w:val="Indenta"/>
      </w:pPr>
      <w:r>
        <w:tab/>
        <w:t>(a)</w:t>
      </w:r>
      <w:r>
        <w:tab/>
        <w:t>the reference in regulation 147 of the former regulations to regulations 142 to 146 is taken to be a reference to regulations 142 to 146 of the former regulations; and</w:t>
      </w:r>
    </w:p>
    <w:p>
      <w:pPr>
        <w:pStyle w:val="Indenta"/>
      </w:pPr>
      <w:r>
        <w:tab/>
        <w:t>(b)</w:t>
      </w:r>
      <w:r>
        <w:tab/>
        <w:t xml:space="preserve">the reference in regulation 153(2) of the former regulations to regulation 129(1) or 129B(1) is taken to </w:t>
      </w:r>
      <w:r>
        <w:lastRenderedPageBreak/>
        <w:t>be a reference to regulation 164K(1)(b) as inserted by the amending regulations.</w:t>
      </w:r>
    </w:p>
    <w:p>
      <w:pPr>
        <w:pStyle w:val="Footnotesection"/>
      </w:pPr>
      <w:r>
        <w:tab/>
        <w:t>[Regulation 217C inserted: SL 2024/264 r. 12.]</w:t>
      </w:r>
    </w:p>
    <w:p>
      <w:pPr>
        <w:pStyle w:val="Heading2"/>
      </w:pPr>
      <w:bookmarkStart w:id="745" w:name="_Toc185857460"/>
      <w:bookmarkStart w:id="746" w:name="_Toc185857804"/>
      <w:bookmarkStart w:id="747" w:name="_Toc185866571"/>
      <w:r>
        <w:rPr>
          <w:rStyle w:val="CharPartNo"/>
        </w:rPr>
        <w:lastRenderedPageBreak/>
        <w:t>Part 12</w:t>
      </w:r>
      <w:r>
        <w:t> — </w:t>
      </w:r>
      <w:r>
        <w:rPr>
          <w:rStyle w:val="CharPartText"/>
        </w:rPr>
        <w:t>Repealed Acts: transitional provisions</w:t>
      </w:r>
      <w:bookmarkEnd w:id="735"/>
      <w:bookmarkEnd w:id="745"/>
      <w:bookmarkEnd w:id="746"/>
      <w:bookmarkEnd w:id="747"/>
    </w:p>
    <w:p>
      <w:pPr>
        <w:pStyle w:val="Heading3"/>
      </w:pPr>
      <w:bookmarkStart w:id="748" w:name="_Toc185837798"/>
      <w:bookmarkStart w:id="749" w:name="_Toc185857461"/>
      <w:bookmarkStart w:id="750" w:name="_Toc185857805"/>
      <w:bookmarkStart w:id="751" w:name="_Toc185866572"/>
      <w:r>
        <w:rPr>
          <w:rStyle w:val="CharDivNo"/>
        </w:rPr>
        <w:t>Division 1</w:t>
      </w:r>
      <w:r>
        <w:t> — </w:t>
      </w:r>
      <w:r>
        <w:rPr>
          <w:rStyle w:val="CharDivText"/>
          <w:i/>
        </w:rPr>
        <w:t>Beekeepers Act 1963</w:t>
      </w:r>
      <w:bookmarkEnd w:id="748"/>
      <w:bookmarkEnd w:id="749"/>
      <w:bookmarkEnd w:id="750"/>
      <w:bookmarkEnd w:id="751"/>
    </w:p>
    <w:p>
      <w:pPr>
        <w:pStyle w:val="Heading5"/>
      </w:pPr>
      <w:bookmarkStart w:id="752" w:name="_Toc185866573"/>
      <w:r>
        <w:rPr>
          <w:rStyle w:val="CharSectno"/>
        </w:rPr>
        <w:t>218</w:t>
      </w:r>
      <w:r>
        <w:t>.</w:t>
      </w:r>
      <w:r>
        <w:tab/>
        <w:t>Terms used</w:t>
      </w:r>
      <w:bookmarkEnd w:id="75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753" w:name="_Toc185866574"/>
      <w:r>
        <w:rPr>
          <w:rStyle w:val="CharSectno"/>
        </w:rPr>
        <w:t>219</w:t>
      </w:r>
      <w:r>
        <w:t>.</w:t>
      </w:r>
      <w:r>
        <w:tab/>
        <w:t>Beekeepers</w:t>
      </w:r>
      <w:bookmarkEnd w:id="753"/>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754" w:name="_Toc185866575"/>
      <w:r>
        <w:rPr>
          <w:rStyle w:val="CharSectno"/>
        </w:rPr>
        <w:t>220</w:t>
      </w:r>
      <w:r>
        <w:t>.</w:t>
      </w:r>
      <w:r>
        <w:tab/>
        <w:t>Brands</w:t>
      </w:r>
      <w:bookmarkEnd w:id="754"/>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755" w:name="_Toc185837802"/>
      <w:bookmarkStart w:id="756" w:name="_Toc185857465"/>
      <w:bookmarkStart w:id="757" w:name="_Toc185857809"/>
      <w:bookmarkStart w:id="758" w:name="_Toc185866576"/>
      <w:r>
        <w:rPr>
          <w:rStyle w:val="CharDivNo"/>
        </w:rPr>
        <w:t>Division 2</w:t>
      </w:r>
      <w:r>
        <w:t> — </w:t>
      </w:r>
      <w:r>
        <w:rPr>
          <w:rStyle w:val="CharDivText"/>
          <w:i/>
        </w:rPr>
        <w:t>Stock (Identification and Movement) Act 1970</w:t>
      </w:r>
      <w:bookmarkEnd w:id="755"/>
      <w:bookmarkEnd w:id="756"/>
      <w:bookmarkEnd w:id="757"/>
      <w:bookmarkEnd w:id="758"/>
    </w:p>
    <w:p>
      <w:pPr>
        <w:pStyle w:val="Heading5"/>
      </w:pPr>
      <w:bookmarkStart w:id="759" w:name="_Toc185866577"/>
      <w:r>
        <w:rPr>
          <w:rStyle w:val="CharSectno"/>
        </w:rPr>
        <w:t>221</w:t>
      </w:r>
      <w:r>
        <w:t>.</w:t>
      </w:r>
      <w:r>
        <w:tab/>
        <w:t>Terms used</w:t>
      </w:r>
      <w:bookmarkEnd w:id="75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760" w:name="_Toc185866578"/>
      <w:r>
        <w:rPr>
          <w:rStyle w:val="CharSectno"/>
        </w:rPr>
        <w:t>222</w:t>
      </w:r>
      <w:r>
        <w:t>.</w:t>
      </w:r>
      <w:r>
        <w:tab/>
        <w:t>Owners of brands</w:t>
      </w:r>
      <w:bookmarkEnd w:id="760"/>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61" w:name="_Toc185837805"/>
      <w:bookmarkStart w:id="762" w:name="_Toc185857468"/>
      <w:bookmarkStart w:id="763" w:name="_Toc185857812"/>
      <w:bookmarkStart w:id="764" w:name="_Toc185866579"/>
      <w:r>
        <w:lastRenderedPageBreak/>
        <w:t>Notes</w:t>
      </w:r>
      <w:bookmarkEnd w:id="761"/>
      <w:bookmarkEnd w:id="762"/>
      <w:bookmarkEnd w:id="763"/>
      <w:bookmarkEnd w:id="764"/>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w:t>
      </w:r>
    </w:p>
    <w:p>
      <w:pPr>
        <w:pStyle w:val="nHeading3"/>
      </w:pPr>
      <w:bookmarkStart w:id="765" w:name="_Toc185866580"/>
      <w:r>
        <w:t>Compilation table</w:t>
      </w:r>
      <w:bookmarkEnd w:id="7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nil"/>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nil"/>
            </w:tcBorders>
          </w:tcPr>
          <w:p>
            <w:pPr>
              <w:pStyle w:val="nTable"/>
              <w:spacing w:after="40"/>
            </w:pPr>
            <w:r>
              <w:t>SL 2022/17 25 Feb 2022</w:t>
            </w:r>
          </w:p>
        </w:tc>
        <w:tc>
          <w:tcPr>
            <w:tcW w:w="2693" w:type="dxa"/>
            <w:tcBorders>
              <w:top w:val="nil"/>
              <w:bottom w:val="nil"/>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r>
        <w:tc>
          <w:tcPr>
            <w:tcW w:w="3118" w:type="dxa"/>
            <w:tcBorders>
              <w:top w:val="nil"/>
              <w:bottom w:val="single" w:sz="4" w:space="0" w:color="auto"/>
            </w:tcBorders>
          </w:tcPr>
          <w:p>
            <w:pPr>
              <w:pStyle w:val="nTable"/>
              <w:spacing w:after="40"/>
              <w:rPr>
                <w:i/>
              </w:rPr>
            </w:pPr>
            <w:r>
              <w:rPr>
                <w:i/>
              </w:rPr>
              <w:t>Biosecurity and Agriculture Management (Identification and Movement of Stock and Apiaries) Amendment Regulations 2024</w:t>
            </w:r>
          </w:p>
        </w:tc>
        <w:tc>
          <w:tcPr>
            <w:tcW w:w="1276" w:type="dxa"/>
            <w:tcBorders>
              <w:top w:val="nil"/>
              <w:bottom w:val="single" w:sz="4" w:space="0" w:color="auto"/>
            </w:tcBorders>
          </w:tcPr>
          <w:p>
            <w:pPr>
              <w:pStyle w:val="nTable"/>
              <w:spacing w:after="40"/>
            </w:pPr>
            <w:r>
              <w:t>SL 2024/264 11 Dec 2024</w:t>
            </w:r>
          </w:p>
        </w:tc>
        <w:tc>
          <w:tcPr>
            <w:tcW w:w="2693" w:type="dxa"/>
            <w:tcBorders>
              <w:top w:val="nil"/>
              <w:bottom w:val="single" w:sz="4" w:space="0" w:color="auto"/>
            </w:tcBorders>
          </w:tcPr>
          <w:p>
            <w:pPr>
              <w:pStyle w:val="nTable"/>
              <w:spacing w:after="40"/>
              <w:rPr>
                <w:snapToGrid w:val="0"/>
                <w:spacing w:val="-2"/>
              </w:rPr>
            </w:pPr>
            <w:r>
              <w:rPr>
                <w:snapToGrid w:val="0"/>
                <w:spacing w:val="-2"/>
              </w:rPr>
              <w:t>r. 1 and 2: 11 Dec 2024 (see r. 2(a));</w:t>
            </w:r>
            <w:r>
              <w:rPr>
                <w:snapToGrid w:val="0"/>
                <w:spacing w:val="-2"/>
              </w:rPr>
              <w:br/>
              <w:t xml:space="preserve">Regulations other than r. 1 and 2: </w:t>
            </w:r>
            <w:r>
              <w:t>1 Jan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767" w:name="_Toc185866581"/>
      <w:r>
        <w:rPr>
          <w:sz w:val="28"/>
        </w:rPr>
        <w:lastRenderedPageBreak/>
        <w:t>Defined terms</w:t>
      </w:r>
      <w:bookmarkEnd w:id="7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 164ZH(1)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amended regulation 48</w:t>
      </w:r>
      <w:r>
        <w:tab/>
        <w:t>217B(1)</w:t>
      </w:r>
    </w:p>
    <w:p>
      <w:pPr>
        <w:pStyle w:val="DefinedTerms"/>
      </w:pPr>
      <w:r>
        <w:t>amending regulations</w:t>
      </w:r>
      <w:r>
        <w:tab/>
        <w:t>217A</w:t>
      </w:r>
    </w:p>
    <w:p>
      <w:pPr>
        <w:pStyle w:val="DefinedTerms"/>
      </w:pPr>
      <w:r>
        <w:t>animal</w:t>
      </w:r>
      <w:r>
        <w:tab/>
        <w:t>75</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217A, 218, 221</w:t>
      </w:r>
    </w:p>
    <w:p>
      <w:pPr>
        <w:pStyle w:val="DefinedTerms"/>
      </w:pPr>
      <w:r>
        <w:t>corresponding PIC</w:t>
      </w:r>
      <w:r>
        <w:tab/>
        <w:t>3, 16(2)</w:t>
      </w:r>
    </w:p>
    <w:p>
      <w:pPr>
        <w:pStyle w:val="DefinedTerms"/>
      </w:pPr>
      <w:r>
        <w:t>deer</w:t>
      </w:r>
      <w:r>
        <w:tab/>
        <w:t>3</w:t>
      </w:r>
    </w:p>
    <w:p>
      <w:pPr>
        <w:pStyle w:val="DefinedTerms"/>
      </w:pPr>
      <w:r>
        <w:t>designated person</w:t>
      </w:r>
      <w:r>
        <w:tab/>
        <w:t>164ZW(1)</w:t>
      </w:r>
    </w:p>
    <w:p>
      <w:pPr>
        <w:pStyle w:val="DefinedTerms"/>
      </w:pPr>
      <w:r>
        <w:t>donkey</w:t>
      </w:r>
      <w:r>
        <w:tab/>
        <w:t>3</w:t>
      </w:r>
    </w:p>
    <w:p>
      <w:pPr>
        <w:pStyle w:val="DefinedTerms"/>
      </w:pPr>
      <w:r>
        <w:t>electronic number</w:t>
      </w:r>
      <w:r>
        <w:tab/>
        <w:t>2, 47(1)</w:t>
      </w:r>
    </w:p>
    <w:p>
      <w:pPr>
        <w:pStyle w:val="DefinedTerms"/>
      </w:pPr>
      <w:r>
        <w:t>export depot</w:t>
      </w:r>
      <w:r>
        <w:tab/>
        <w:t>3</w:t>
      </w:r>
    </w:p>
    <w:p>
      <w:pPr>
        <w:pStyle w:val="DefinedTerms"/>
      </w:pPr>
      <w:r>
        <w:t>farming property</w:t>
      </w:r>
      <w:r>
        <w:tab/>
        <w:t>3</w:t>
      </w:r>
    </w:p>
    <w:p>
      <w:pPr>
        <w:pStyle w:val="DefinedTerms"/>
      </w:pPr>
      <w:r>
        <w:t>first property</w:t>
      </w:r>
      <w:r>
        <w:tab/>
        <w:t>164M(1)</w:t>
      </w:r>
    </w:p>
    <w:p>
      <w:pPr>
        <w:pStyle w:val="DefinedTerms"/>
      </w:pPr>
      <w:r>
        <w:t>former regulations</w:t>
      </w:r>
      <w:r>
        <w:tab/>
        <w:t>217A</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67(7), 187</w:t>
      </w:r>
    </w:p>
    <w:p>
      <w:pPr>
        <w:pStyle w:val="DefinedTerms"/>
      </w:pPr>
      <w:r>
        <w:lastRenderedPageBreak/>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t>movement permit</w:t>
      </w:r>
      <w:r>
        <w:tab/>
        <w:t>3</w:t>
      </w:r>
    </w:p>
    <w:p>
      <w:pPr>
        <w:pStyle w:val="DefinedTerms"/>
      </w:pPr>
      <w:r>
        <w:t>NLIS database</w:t>
      </w:r>
      <w:r>
        <w:tab/>
        <w:t>3, 58(1)</w:t>
      </w:r>
    </w:p>
    <w:p>
      <w:pPr>
        <w:pStyle w:val="DefinedTerms"/>
      </w:pPr>
      <w:r>
        <w:t>NLIS device</w:t>
      </w:r>
      <w:r>
        <w:tab/>
        <w:t>3, 142(1), 147(1), 153(1), 160(1)</w:t>
      </w:r>
    </w:p>
    <w:p>
      <w:pPr>
        <w:pStyle w:val="DefinedTerms"/>
      </w:pPr>
      <w:r>
        <w:t>NLIS identified animal</w:t>
      </w:r>
      <w:r>
        <w:tab/>
        <w:t>87(1)</w:t>
      </w:r>
    </w:p>
    <w:p>
      <w:pPr>
        <w:pStyle w:val="DefinedTerms"/>
      </w:pPr>
      <w:r>
        <w:t>NLIS identified pig</w:t>
      </w:r>
      <w:r>
        <w:tab/>
        <w:t>133(1)</w:t>
      </w:r>
    </w:p>
    <w:p>
      <w:pPr>
        <w:pStyle w:val="DefinedTerms"/>
      </w:pPr>
      <w:r>
        <w:t>NLIS identified sheep or goat</w:t>
      </w:r>
      <w:r>
        <w:tab/>
        <w:t>164A</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2</w:t>
      </w:r>
    </w:p>
    <w:p>
      <w:pPr>
        <w:pStyle w:val="DefinedTerms"/>
      </w:pPr>
      <w:r>
        <w:t>port</w:t>
      </w:r>
      <w:r>
        <w:tab/>
        <w:t>3</w:t>
      </w:r>
    </w:p>
    <w:p>
      <w:pPr>
        <w:pStyle w:val="DefinedTerms"/>
      </w:pPr>
      <w:r>
        <w:t>poultry</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receiving owner</w:t>
      </w:r>
      <w:r>
        <w:tab/>
        <w:t>164A</w:t>
      </w:r>
    </w:p>
    <w:p>
      <w:pPr>
        <w:pStyle w:val="DefinedTerms"/>
      </w:pPr>
      <w:r>
        <w:t>register</w:t>
      </w:r>
      <w:r>
        <w:tab/>
        <w:t>2</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217C(3),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lastRenderedPageBreak/>
        <w:t>trading name</w:t>
      </w:r>
      <w:r>
        <w:tab/>
        <w:t>187</w:t>
      </w:r>
    </w:p>
    <w:p>
      <w:pPr>
        <w:pStyle w:val="DefinedTerms"/>
      </w:pPr>
      <w:r>
        <w:t>transferee</w:t>
      </w:r>
      <w:r>
        <w:tab/>
        <w:t>27(2)</w:t>
      </w:r>
    </w:p>
    <w:p>
      <w:pPr>
        <w:pStyle w:val="DefinedTerms"/>
      </w:pPr>
      <w:r>
        <w:t>transferor</w:t>
      </w:r>
      <w:r>
        <w:tab/>
        <w:t>27(2)</w:t>
      </w:r>
    </w:p>
    <w:p>
      <w:pPr>
        <w:pStyle w:val="DefinedTerms"/>
      </w:pPr>
      <w:r>
        <w:t>transitional period</w:t>
      </w:r>
      <w:r>
        <w:tab/>
        <w:t>217C(1)</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BCEF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338C51" w14:textId="0596EF23" w:rsidR="004F73D6" w:rsidRDefault="004E02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F00">
                        <w:rPr>
                          <w:sz w:val="16"/>
                        </w:rPr>
                        <w:t>2025</w:t>
                      </w:r>
                      <w:r>
                        <w:rPr>
                          <w:sz w:val="16"/>
                        </w:rPr>
                        <w:fldChar w:fldCharType="end"/>
                      </w:r>
                      <w:r>
                        <w:rPr>
                          <w:sz w:val="16"/>
                        </w:rPr>
                        <w:t>.</w:t>
                      </w:r>
                    </w:p>
                    <w:p w14:paraId="279AE960" w14:textId="77777777" w:rsidR="004F73D6" w:rsidRDefault="004E02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F7DBB7" w14:textId="546C1B84" w:rsidR="004F73D6" w:rsidRDefault="004E02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F00">
                        <w:rPr>
                          <w:sz w:val="16"/>
                        </w:rPr>
                        <w:t>2025</w:t>
                      </w:r>
                      <w:r>
                        <w:rPr>
                          <w:sz w:val="16"/>
                        </w:rPr>
                        <w:fldChar w:fldCharType="end"/>
                      </w:r>
                      <w:r>
                        <w:rPr>
                          <w:sz w:val="16"/>
                        </w:rPr>
                        <w:t>.</w:t>
                      </w:r>
                    </w:p>
                    <w:p w14:paraId="4BB5057F" w14:textId="77777777" w:rsidR="004F73D6" w:rsidRDefault="004E02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6" w:name="Compilation"/>
    <w:bookmarkEnd w:id="7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8" w:name="DefinedTerms"/>
    <w:bookmarkEnd w:id="7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9" w:name="Coversheet"/>
    <w:bookmarkEnd w:id="7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1011"/>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 w:name="WAFER_20241223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952_GUID" w:val="d1068b0c-38a9-490a-a4a3-71029281a93b"/>
    <w:docVar w:name="WAFER_2024122309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3091011_GUID" w:val="e5a41659-9222-4660-aece-5ebfe354c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48094</Words>
  <Characters>228450</Characters>
  <Application>Microsoft Office Word</Application>
  <DocSecurity>0</DocSecurity>
  <Lines>6174</Lines>
  <Paragraphs>3950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2013 - 00-i0-00</dc:title>
  <dc:subject/>
  <dc:creator/>
  <cp:keywords/>
  <dc:description/>
  <cp:lastModifiedBy>Master Repository Process</cp:lastModifiedBy>
  <cp:revision>4</cp:revision>
  <cp:lastPrinted>2013-01-07T01:31:00Z</cp:lastPrinted>
  <dcterms:created xsi:type="dcterms:W3CDTF">2025-06-23T07:00:00Z</dcterms:created>
  <dcterms:modified xsi:type="dcterms:W3CDTF">2025-06-23T07:00:00Z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20250101</vt:lpwstr>
  </property>
  <property fmtid="{D5CDD505-2E9C-101B-9397-08002B2CF9AE}" pid="5" name="CommencementAsAt">
    <vt:filetime>2024-12-31T16:00:00Z</vt:filetime>
  </property>
  <property fmtid="{D5CDD505-2E9C-101B-9397-08002B2CF9AE}" pid="6" name="CommencementYear">
    <vt:lpwstr>2025</vt:lpwstr>
  </property>
  <property fmtid="{D5CDD505-2E9C-101B-9397-08002B2CF9AE}" pid="7" name="AsAtDate">
    <vt:lpwstr>01 Jan 2025</vt:lpwstr>
  </property>
  <property fmtid="{D5CDD505-2E9C-101B-9397-08002B2CF9AE}" pid="8" name="Suffix">
    <vt:lpwstr>00-i0-00</vt:lpwstr>
  </property>
  <property fmtid="{D5CDD505-2E9C-101B-9397-08002B2CF9AE}" pid="9" name="Official">
    <vt:lpwstr/>
  </property>
</Properties>
</file>