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_Toc185929755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_Toc185929756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_Toc185929757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_Toc185929758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_Toc185929759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_Toc185929760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_Toc185929761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_Toc185929763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_Toc185929764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_Toc185929765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_Toc185929766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_Toc185929768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_Toc185929769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_Toc185929770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_Toc185929771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_Toc185929773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_Toc185929774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_Toc185929775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Application for variation of registration</w:t>
      </w:r>
      <w:r>
        <w:tab/>
      </w:r>
      <w:r>
        <w:fldChar w:fldCharType="begin"/>
      </w:r>
      <w:r>
        <w:instrText xml:space="preserve"> PAGEREF _Toc185929776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_Toc185929779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_Toc185929780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_Toc185929782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_Toc185929784 \h </w:instrText>
      </w:r>
      <w:r>
        <w:fldChar w:fldCharType="separate"/>
      </w:r>
      <w:r>
        <w:t>20</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_Toc185929785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_Toc185929787 \h </w:instrText>
      </w:r>
      <w:r>
        <w:fldChar w:fldCharType="separate"/>
      </w:r>
      <w:r>
        <w:t>23</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_Toc185929788 \h </w:instrText>
      </w:r>
      <w:r>
        <w:fldChar w:fldCharType="separate"/>
      </w:r>
      <w:r>
        <w:t>24</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_Toc185929789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_Toc185929791 \h </w:instrText>
      </w:r>
      <w:r>
        <w:fldChar w:fldCharType="separate"/>
      </w:r>
      <w:r>
        <w:t>26</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_Toc185929792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_Toc185929794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_Toc185929796 \h </w:instrText>
      </w:r>
      <w:r>
        <w:fldChar w:fldCharType="separate"/>
      </w:r>
      <w:r>
        <w:t>28</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_Toc185929797 \h </w:instrText>
      </w:r>
      <w:r>
        <w:fldChar w:fldCharType="separate"/>
      </w:r>
      <w:r>
        <w:t>28</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_Toc185929798 \h </w:instrText>
      </w:r>
      <w:r>
        <w:fldChar w:fldCharType="separate"/>
      </w:r>
      <w:r>
        <w:t>34</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_Toc185929799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_Toc185929801 \h </w:instrText>
      </w:r>
      <w:r>
        <w:fldChar w:fldCharType="separate"/>
      </w:r>
      <w:r>
        <w:t>38</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_Toc185929802 \h </w:instrText>
      </w:r>
      <w:r>
        <w:fldChar w:fldCharType="separate"/>
      </w:r>
      <w:r>
        <w:t>39</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_Toc185929803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_Toc185929805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_Toc185929808 \h </w:instrText>
      </w:r>
      <w:r>
        <w:fldChar w:fldCharType="separate"/>
      </w:r>
      <w:r>
        <w:t>42</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_Toc185929809 \h </w:instrText>
      </w:r>
      <w:r>
        <w:fldChar w:fldCharType="separate"/>
      </w:r>
      <w:r>
        <w:t>42</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_Toc185929810 \h </w:instrText>
      </w:r>
      <w:r>
        <w:fldChar w:fldCharType="separate"/>
      </w:r>
      <w:r>
        <w:t>42</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_Toc185929811 \h </w:instrText>
      </w:r>
      <w:r>
        <w:fldChar w:fldCharType="separate"/>
      </w:r>
      <w:r>
        <w:t>47</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_Toc185929812 \h </w:instrText>
      </w:r>
      <w:r>
        <w:fldChar w:fldCharType="separate"/>
      </w:r>
      <w:r>
        <w:t>47</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_Toc185929813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_Toc185929815 \h </w:instrText>
      </w:r>
      <w:r>
        <w:fldChar w:fldCharType="separate"/>
      </w:r>
      <w:r>
        <w:t>48</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_Toc185929816 \h </w:instrText>
      </w:r>
      <w:r>
        <w:fldChar w:fldCharType="separate"/>
      </w:r>
      <w:r>
        <w:t>48</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_Toc185929817 \h </w:instrText>
      </w:r>
      <w:r>
        <w:fldChar w:fldCharType="separate"/>
      </w:r>
      <w:r>
        <w:t>48</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_Toc185929818 \h </w:instrText>
      </w:r>
      <w:r>
        <w:fldChar w:fldCharType="separate"/>
      </w:r>
      <w:r>
        <w:t>49</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_Toc185929819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_Toc185929821 \h </w:instrText>
      </w:r>
      <w:r>
        <w:fldChar w:fldCharType="separate"/>
      </w:r>
      <w:r>
        <w:t>50</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_Toc185929822 \h </w:instrText>
      </w:r>
      <w:r>
        <w:fldChar w:fldCharType="separate"/>
      </w:r>
      <w:r>
        <w:t>50</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_Toc185929823 \h </w:instrText>
      </w:r>
      <w:r>
        <w:fldChar w:fldCharType="separate"/>
      </w:r>
      <w:r>
        <w:t>50</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_Toc185929824 \h </w:instrText>
      </w:r>
      <w:r>
        <w:fldChar w:fldCharType="separate"/>
      </w:r>
      <w:r>
        <w:t>52</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_Toc185929825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_Toc185929826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_Toc185929828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_Toc185929829 \h </w:instrText>
      </w:r>
      <w:r>
        <w:fldChar w:fldCharType="separate"/>
      </w:r>
      <w:r>
        <w:t>52</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_Toc185929830 \h </w:instrText>
      </w:r>
      <w:r>
        <w:fldChar w:fldCharType="separate"/>
      </w:r>
      <w:r>
        <w:t>53</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_Toc185929831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_Toc185929833 \h </w:instrText>
      </w:r>
      <w:r>
        <w:fldChar w:fldCharType="separate"/>
      </w:r>
      <w:r>
        <w:t>55</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_Toc185929834 \h </w:instrText>
      </w:r>
      <w:r>
        <w:fldChar w:fldCharType="separate"/>
      </w:r>
      <w:r>
        <w:t>57</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_Toc185929835 \h </w:instrText>
      </w:r>
      <w:r>
        <w:fldChar w:fldCharType="separate"/>
      </w:r>
      <w:r>
        <w:t>58</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_Toc185929836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_Toc185929838 \h </w:instrText>
      </w:r>
      <w:r>
        <w:fldChar w:fldCharType="separate"/>
      </w:r>
      <w:r>
        <w:t>61</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_Toc185929839 \h </w:instrText>
      </w:r>
      <w:r>
        <w:fldChar w:fldCharType="separate"/>
      </w:r>
      <w:r>
        <w:t>61</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_Toc185929840 \h </w:instrText>
      </w:r>
      <w:r>
        <w:fldChar w:fldCharType="separate"/>
      </w:r>
      <w:r>
        <w:t>61</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_Toc185929841 \h </w:instrText>
      </w:r>
      <w:r>
        <w:fldChar w:fldCharType="separate"/>
      </w:r>
      <w:r>
        <w:t>62</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_Toc185929842 \h </w:instrText>
      </w:r>
      <w:r>
        <w:fldChar w:fldCharType="separate"/>
      </w:r>
      <w:r>
        <w:t>62</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_Toc185929843 \h </w:instrText>
      </w:r>
      <w:r>
        <w:fldChar w:fldCharType="separate"/>
      </w:r>
      <w:r>
        <w:t>63</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_Toc185929844 \h </w:instrText>
      </w:r>
      <w:r>
        <w:fldChar w:fldCharType="separate"/>
      </w:r>
      <w:r>
        <w:t>63</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_Toc185929845 \h </w:instrText>
      </w:r>
      <w:r>
        <w:fldChar w:fldCharType="separate"/>
      </w:r>
      <w:r>
        <w:t>63</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_Toc185929846 \h </w:instrText>
      </w:r>
      <w:r>
        <w:fldChar w:fldCharType="separate"/>
      </w:r>
      <w:r>
        <w:t>63</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_Toc185929847 \h </w:instrText>
      </w:r>
      <w:r>
        <w:fldChar w:fldCharType="separate"/>
      </w:r>
      <w:r>
        <w:t>64</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_Toc185929848 \h </w:instrText>
      </w:r>
      <w:r>
        <w:fldChar w:fldCharType="separate"/>
      </w:r>
      <w:r>
        <w:t>64</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_Toc185929849 \h </w:instrText>
      </w:r>
      <w:r>
        <w:fldChar w:fldCharType="separate"/>
      </w:r>
      <w:r>
        <w:t>65</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_Toc185929850 \h </w:instrText>
      </w:r>
      <w:r>
        <w:fldChar w:fldCharType="separate"/>
      </w:r>
      <w:r>
        <w:t>65</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_Toc185929851 \h </w:instrText>
      </w:r>
      <w:r>
        <w:fldChar w:fldCharType="separate"/>
      </w:r>
      <w:r>
        <w:t>66</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_Toc185929852 \h </w:instrText>
      </w:r>
      <w:r>
        <w:fldChar w:fldCharType="separate"/>
      </w:r>
      <w:r>
        <w:t>66</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_Toc185929853 \h </w:instrText>
      </w:r>
      <w:r>
        <w:fldChar w:fldCharType="separate"/>
      </w:r>
      <w:r>
        <w:t>66</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_Toc185929854 \h </w:instrText>
      </w:r>
      <w:r>
        <w:fldChar w:fldCharType="separate"/>
      </w:r>
      <w:r>
        <w:t>67</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_Toc185929855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_Toc185929856 \h </w:instrText>
      </w:r>
      <w:r>
        <w:fldChar w:fldCharType="separate"/>
      </w:r>
      <w:r>
        <w:t>68</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_Toc185929857 \h </w:instrText>
      </w:r>
      <w:r>
        <w:fldChar w:fldCharType="separate"/>
      </w:r>
      <w:r>
        <w:t>69</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_Toc185929858 \h </w:instrText>
      </w:r>
      <w:r>
        <w:fldChar w:fldCharType="separate"/>
      </w:r>
      <w:r>
        <w:t>69</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_Toc185929859 \h </w:instrText>
      </w:r>
      <w:r>
        <w:fldChar w:fldCharType="separate"/>
      </w:r>
      <w:r>
        <w:t>69</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_Toc185929860 \h </w:instrText>
      </w:r>
      <w:r>
        <w:fldChar w:fldCharType="separate"/>
      </w:r>
      <w:r>
        <w:t>69</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_Toc185929861 \h </w:instrText>
      </w:r>
      <w:r>
        <w:fldChar w:fldCharType="separate"/>
      </w:r>
      <w:r>
        <w:t>70</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_Toc185929862 \h </w:instrText>
      </w:r>
      <w:r>
        <w:fldChar w:fldCharType="separate"/>
      </w:r>
      <w:r>
        <w:t>70</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_Toc185929863 \h </w:instrText>
      </w:r>
      <w:r>
        <w:fldChar w:fldCharType="separate"/>
      </w:r>
      <w:r>
        <w:t>70</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_Toc185929864 \h </w:instrText>
      </w:r>
      <w:r>
        <w:fldChar w:fldCharType="separate"/>
      </w:r>
      <w:r>
        <w:t>70</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_Toc185929865 \h </w:instrText>
      </w:r>
      <w:r>
        <w:fldChar w:fldCharType="separate"/>
      </w:r>
      <w:r>
        <w:t>70</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_Toc185929866 \h </w:instrText>
      </w:r>
      <w:r>
        <w:fldChar w:fldCharType="separate"/>
      </w:r>
      <w:r>
        <w:t>70</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_Toc185929867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_Toc185929870 \h </w:instrText>
      </w:r>
      <w:r>
        <w:fldChar w:fldCharType="separate"/>
      </w:r>
      <w:r>
        <w:t>72</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_Toc185929871 \h </w:instrText>
      </w:r>
      <w:r>
        <w:fldChar w:fldCharType="separate"/>
      </w:r>
      <w:r>
        <w:t>72</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_Toc185929872 \h </w:instrText>
      </w:r>
      <w:r>
        <w:fldChar w:fldCharType="separate"/>
      </w:r>
      <w:r>
        <w:t>73</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_Toc185929873 \h </w:instrText>
      </w:r>
      <w:r>
        <w:fldChar w:fldCharType="separate"/>
      </w:r>
      <w:r>
        <w:t>73</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_Toc185929874 \h </w:instrText>
      </w:r>
      <w:r>
        <w:fldChar w:fldCharType="separate"/>
      </w:r>
      <w:r>
        <w:t>73</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_Toc185929875 \h </w:instrText>
      </w:r>
      <w:r>
        <w:fldChar w:fldCharType="separate"/>
      </w:r>
      <w:r>
        <w:t>74</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_Toc185929876 \h </w:instrText>
      </w:r>
      <w:r>
        <w:fldChar w:fldCharType="separate"/>
      </w:r>
      <w:r>
        <w:t>74</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_Toc185929877 \h </w:instrText>
      </w:r>
      <w:r>
        <w:fldChar w:fldCharType="separate"/>
      </w:r>
      <w:r>
        <w:t>74</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_Toc185929878 \h </w:instrText>
      </w:r>
      <w:r>
        <w:fldChar w:fldCharType="separate"/>
      </w:r>
      <w:r>
        <w:t>75</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_Toc185929879 \h </w:instrText>
      </w:r>
      <w:r>
        <w:fldChar w:fldCharType="separate"/>
      </w:r>
      <w:r>
        <w:t>75</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_Toc185929880 \h </w:instrText>
      </w:r>
      <w:r>
        <w:fldChar w:fldCharType="separate"/>
      </w:r>
      <w:r>
        <w:t>75</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_Toc185929881 \h </w:instrText>
      </w:r>
      <w:r>
        <w:fldChar w:fldCharType="separate"/>
      </w:r>
      <w:r>
        <w:t>75</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_Toc185929882 \h </w:instrText>
      </w:r>
      <w:r>
        <w:fldChar w:fldCharType="separate"/>
      </w:r>
      <w:r>
        <w:t>75</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_Toc185929883 \h </w:instrText>
      </w:r>
      <w:r>
        <w:fldChar w:fldCharType="separate"/>
      </w:r>
      <w:r>
        <w:t>76</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_Toc185929884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_Toc185929886 \h </w:instrText>
      </w:r>
      <w:r>
        <w:fldChar w:fldCharType="separate"/>
      </w:r>
      <w:r>
        <w:t>77</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_Toc185929887 \h </w:instrText>
      </w:r>
      <w:r>
        <w:fldChar w:fldCharType="separate"/>
      </w:r>
      <w:r>
        <w:t>77</w:t>
      </w:r>
      <w:r>
        <w:fldChar w:fldCharType="end"/>
      </w:r>
    </w:p>
    <w:p>
      <w:pPr>
        <w:pStyle w:val="TOC8"/>
        <w:rPr>
          <w:rFonts w:asciiTheme="minorHAnsi" w:eastAsiaTheme="minorEastAsia" w:hAnsiTheme="minorHAnsi" w:cstheme="minorBidi"/>
          <w:szCs w:val="22"/>
        </w:rPr>
      </w:pPr>
      <w:r>
        <w:t>18.</w:t>
      </w:r>
      <w:r>
        <w:tab/>
        <w:t>Proceed authority exceeded</w:t>
      </w:r>
      <w:r>
        <w:tab/>
      </w:r>
      <w:r>
        <w:fldChar w:fldCharType="begin"/>
      </w:r>
      <w:r>
        <w:instrText xml:space="preserve"> PAGEREF _Toc185929888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19.</w:t>
      </w:r>
      <w:r>
        <w:tab/>
        <w:t>Rolling stock runaway</w:t>
      </w:r>
      <w:r>
        <w:tab/>
      </w:r>
      <w:r>
        <w:fldChar w:fldCharType="begin"/>
      </w:r>
      <w:r>
        <w:instrText xml:space="preserve"> PAGEREF _Toc185929889 \h </w:instrText>
      </w:r>
      <w:r>
        <w:fldChar w:fldCharType="separate"/>
      </w:r>
      <w:r>
        <w:t>78</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_Toc185929890 \h </w:instrText>
      </w:r>
      <w:r>
        <w:fldChar w:fldCharType="separate"/>
      </w:r>
      <w:r>
        <w:t>78</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_Toc185929891 \h </w:instrText>
      </w:r>
      <w:r>
        <w:fldChar w:fldCharType="separate"/>
      </w:r>
      <w:r>
        <w:t>78</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_Toc185929892 \h </w:instrText>
      </w:r>
      <w:r>
        <w:fldChar w:fldCharType="separate"/>
      </w:r>
      <w:r>
        <w:t>79</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_Toc185929893 \h </w:instrText>
      </w:r>
      <w:r>
        <w:fldChar w:fldCharType="separate"/>
      </w:r>
      <w:r>
        <w:t>79</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_Toc185929894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_Toc185929896 \h </w:instrText>
      </w:r>
      <w:r>
        <w:fldChar w:fldCharType="separate"/>
      </w:r>
      <w:r>
        <w:t>80</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_Toc185929897 \h </w:instrText>
      </w:r>
      <w:r>
        <w:fldChar w:fldCharType="separate"/>
      </w:r>
      <w:r>
        <w:t>80</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_Toc185929898 \h </w:instrText>
      </w:r>
      <w:r>
        <w:fldChar w:fldCharType="separate"/>
      </w:r>
      <w:r>
        <w:t>80</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_Toc185929899 \h </w:instrText>
      </w:r>
      <w:r>
        <w:fldChar w:fldCharType="separate"/>
      </w:r>
      <w:r>
        <w:t>80</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_Toc185929900 \h </w:instrText>
      </w:r>
      <w:r>
        <w:fldChar w:fldCharType="separate"/>
      </w:r>
      <w:r>
        <w:t>81</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_Toc185929901 \h </w:instrText>
      </w:r>
      <w:r>
        <w:fldChar w:fldCharType="separate"/>
      </w:r>
      <w:r>
        <w:t>81</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_Toc185929902 \h </w:instrText>
      </w:r>
      <w:r>
        <w:fldChar w:fldCharType="separate"/>
      </w:r>
      <w:r>
        <w:t>81</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_Toc185929903 \h </w:instrText>
      </w:r>
      <w:r>
        <w:fldChar w:fldCharType="separate"/>
      </w:r>
      <w:r>
        <w:t>82</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_Toc185929904 \h </w:instrText>
      </w:r>
      <w:r>
        <w:fldChar w:fldCharType="separate"/>
      </w:r>
      <w:r>
        <w:t>82</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_Toc185929905 \h </w:instrText>
      </w:r>
      <w:r>
        <w:fldChar w:fldCharType="separate"/>
      </w:r>
      <w:r>
        <w:t>82</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_Toc185929906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_Toc185929909 \h </w:instrText>
      </w:r>
      <w:r>
        <w:fldChar w:fldCharType="separate"/>
      </w:r>
      <w:r>
        <w:t>84</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_Toc185929910 \h </w:instrText>
      </w:r>
      <w:r>
        <w:fldChar w:fldCharType="separate"/>
      </w:r>
      <w:r>
        <w:t>84</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_Toc185929911 \h </w:instrText>
      </w:r>
      <w:r>
        <w:fldChar w:fldCharType="separate"/>
      </w:r>
      <w:r>
        <w:t>85</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_Toc185929912 \h </w:instrText>
      </w:r>
      <w:r>
        <w:fldChar w:fldCharType="separate"/>
      </w:r>
      <w:r>
        <w:t>85</w:t>
      </w:r>
      <w:r>
        <w:fldChar w:fldCharType="end"/>
      </w:r>
    </w:p>
    <w:p>
      <w:pPr>
        <w:pStyle w:val="TOC8"/>
        <w:rPr>
          <w:rFonts w:asciiTheme="minorHAnsi" w:eastAsiaTheme="minorEastAsia" w:hAnsiTheme="minorHAnsi" w:cstheme="minorBidi"/>
          <w:szCs w:val="22"/>
        </w:rPr>
      </w:pPr>
      <w:r>
        <w:t>5.</w:t>
      </w:r>
      <w:r>
        <w:tab/>
        <w:t>Train drivers who are transported to home depot or rest place</w:t>
      </w:r>
      <w:r>
        <w:tab/>
      </w:r>
      <w:r>
        <w:fldChar w:fldCharType="begin"/>
      </w:r>
      <w:r>
        <w:instrText xml:space="preserve"> PAGEREF _Toc185929913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6.</w:t>
      </w:r>
      <w:r>
        <w:tab/>
        <w:t>Emergencies and accidents</w:t>
      </w:r>
      <w:r>
        <w:tab/>
      </w:r>
      <w:r>
        <w:fldChar w:fldCharType="begin"/>
      </w:r>
      <w:r>
        <w:instrText xml:space="preserve"> PAGEREF _Toc185929914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_Toc185929916 \h </w:instrText>
      </w:r>
      <w:r>
        <w:fldChar w:fldCharType="separate"/>
      </w:r>
      <w:r>
        <w:t>87</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_Toc185929917 \h </w:instrText>
      </w:r>
      <w:r>
        <w:fldChar w:fldCharType="separate"/>
      </w:r>
      <w:r>
        <w:t>88</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_Toc185929918 \h </w:instrText>
      </w:r>
      <w:r>
        <w:fldChar w:fldCharType="separate"/>
      </w:r>
      <w:r>
        <w:t>88</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_Toc185929919 \h </w:instrText>
      </w:r>
      <w:r>
        <w:fldChar w:fldCharType="separate"/>
      </w:r>
      <w:r>
        <w:t>89</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_Toc185929920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_Toc185929924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_Toc185929926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_Toc185929927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185924891"/>
      <w:bookmarkStart w:id="3" w:name="_Toc185927529"/>
      <w:bookmarkStart w:id="4" w:name="_Toc18592975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5929755"/>
      <w:r>
        <w:rPr>
          <w:rStyle w:val="CharSectno"/>
        </w:rPr>
        <w:t>1</w:t>
      </w:r>
      <w:r>
        <w:t>.</w:t>
      </w:r>
      <w:r>
        <w:tab/>
        <w:t>Citation</w:t>
      </w:r>
      <w:bookmarkEnd w:id="5"/>
    </w:p>
    <w:p>
      <w:pPr>
        <w:pStyle w:val="Subsection"/>
      </w:pPr>
      <w:r>
        <w:tab/>
      </w:r>
      <w:r>
        <w:tab/>
      </w:r>
      <w:bookmarkStart w:id="6" w:name="Start_Cursor"/>
      <w:bookmarkEnd w:id="6"/>
      <w:r>
        <w:t xml:space="preserve">These regulations may be cited as the </w:t>
      </w:r>
      <w:r>
        <w:rPr>
          <w:i/>
          <w:iCs/>
        </w:rPr>
        <w:t>Rail Safety National Regulations (WA)</w:t>
      </w:r>
      <w:r>
        <w:t>.</w:t>
      </w:r>
    </w:p>
    <w:p>
      <w:pPr>
        <w:pStyle w:val="Heading5"/>
        <w:rPr>
          <w:spacing w:val="-2"/>
        </w:rPr>
      </w:pPr>
      <w:bookmarkStart w:id="7" w:name="_Toc185929756"/>
      <w:r>
        <w:rPr>
          <w:rStyle w:val="CharSectno"/>
        </w:rPr>
        <w:t>2</w:t>
      </w:r>
      <w:r>
        <w:rPr>
          <w:spacing w:val="-2"/>
        </w:rPr>
        <w:t>.</w:t>
      </w:r>
      <w:r>
        <w:rPr>
          <w:spacing w:val="-2"/>
        </w:rPr>
        <w:tab/>
        <w:t>Commencement</w:t>
      </w:r>
      <w:bookmarkEnd w:id="7"/>
    </w:p>
    <w:p>
      <w:pPr>
        <w:pStyle w:val="Subsection"/>
      </w:pPr>
      <w:r>
        <w:tab/>
      </w:r>
      <w:r>
        <w:tab/>
        <w:t>These regulations will commence in a participating jurisdiction on the day on which Part 10 Division 9 of the Law commences in that jurisdiction.</w:t>
      </w:r>
    </w:p>
    <w:p>
      <w:pPr>
        <w:pStyle w:val="PermNoteHeading"/>
      </w:pPr>
      <w:r>
        <w:tab/>
      </w:r>
      <w:r>
        <w:fldChar w:fldCharType="begin"/>
      </w:r>
      <w:r>
        <w:instrText xml:space="preserve"> LISTNUM PermanentNotesNumbering \l 1 </w:instrText>
      </w:r>
      <w:r>
        <w:fldChar w:fldCharType="end">
          <w:numberingChange w:id="8" w:author="Irene Wringe" w:date="2024-12-20T12:22:00Z" w:original=""/>
        </w:fldChar>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9" w:name="_Toc185929757"/>
      <w:r>
        <w:rPr>
          <w:rStyle w:val="CharSectno"/>
        </w:rPr>
        <w:t>3</w:t>
      </w:r>
      <w:r>
        <w:rPr>
          <w:spacing w:val="-2"/>
        </w:rPr>
        <w:t>.</w:t>
      </w:r>
      <w:r>
        <w:rPr>
          <w:spacing w:val="-2"/>
        </w:rPr>
        <w:tab/>
      </w:r>
      <w:r>
        <w:t>Interpretation</w:t>
      </w:r>
      <w:bookmarkEnd w:id="9"/>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0" w:name="_Toc185929758"/>
      <w:r>
        <w:rPr>
          <w:rStyle w:val="CharSectno"/>
          <w:szCs w:val="24"/>
        </w:rPr>
        <w:t>4</w:t>
      </w:r>
      <w:r>
        <w:rPr>
          <w:snapToGrid w:val="0"/>
          <w:szCs w:val="24"/>
        </w:rPr>
        <w:t>.</w:t>
      </w:r>
      <w:r>
        <w:rPr>
          <w:snapToGrid w:val="0"/>
          <w:szCs w:val="24"/>
        </w:rPr>
        <w:tab/>
      </w:r>
      <w:r>
        <w:rPr>
          <w:szCs w:val="24"/>
        </w:rPr>
        <w:t>Definition of occupational health and safety legislation</w:t>
      </w:r>
      <w:bookmarkEnd w:id="10"/>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1" w:name="_Toc185929759"/>
      <w:r>
        <w:rPr>
          <w:rStyle w:val="CharSectno"/>
        </w:rPr>
        <w:t>5</w:t>
      </w:r>
      <w:r>
        <w:t>.</w:t>
      </w:r>
      <w:r>
        <w:tab/>
        <w:t>Declaration of drug</w:t>
      </w:r>
      <w:bookmarkEnd w:id="11"/>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2" w:name="_Toc185929760"/>
      <w:r>
        <w:rPr>
          <w:rStyle w:val="CharSectno"/>
        </w:rPr>
        <w:lastRenderedPageBreak/>
        <w:t>6</w:t>
      </w:r>
      <w:r>
        <w:t>.</w:t>
      </w:r>
      <w:r>
        <w:tab/>
        <w:t>Meaning of prescribed notifiable occurrence</w:t>
      </w:r>
      <w:bookmarkEnd w:id="12"/>
    </w:p>
    <w:p>
      <w:pPr>
        <w:pStyle w:val="Subsection"/>
        <w:rPr>
          <w:szCs w:val="24"/>
        </w:rPr>
      </w:pPr>
      <w:r>
        <w:rPr>
          <w:szCs w:val="24"/>
        </w:rPr>
        <w:tab/>
      </w:r>
      <w:r>
        <w:rPr>
          <w:szCs w:val="24"/>
        </w:rPr>
        <w:tab/>
        <w:t>A prescribed notifiable occurrence is a Category A notifiable occurrence.</w:t>
      </w:r>
    </w:p>
    <w:p>
      <w:pPr>
        <w:pStyle w:val="Heading5"/>
      </w:pPr>
      <w:bookmarkStart w:id="13" w:name="_Toc185929761"/>
      <w:r>
        <w:rPr>
          <w:rStyle w:val="CharSectno"/>
        </w:rPr>
        <w:t>7</w:t>
      </w:r>
      <w:r>
        <w:t>.</w:t>
      </w:r>
      <w:r>
        <w:tab/>
        <w:t>Railways to which Law does or does not apply</w:t>
      </w:r>
      <w:bookmarkEnd w:id="13"/>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14" w:name="_Toc185924899"/>
      <w:bookmarkStart w:id="15" w:name="_Toc185927537"/>
      <w:bookmarkStart w:id="16" w:name="_Toc185929762"/>
      <w:r>
        <w:rPr>
          <w:rStyle w:val="CharPartNo"/>
        </w:rPr>
        <w:lastRenderedPageBreak/>
        <w:t>Part 1A</w:t>
      </w:r>
      <w:r>
        <w:rPr>
          <w:rStyle w:val="CharDivNo"/>
        </w:rPr>
        <w:t> </w:t>
      </w:r>
      <w:r>
        <w:t>—</w:t>
      </w:r>
      <w:r>
        <w:rPr>
          <w:rStyle w:val="CharDivText"/>
        </w:rPr>
        <w:t> </w:t>
      </w:r>
      <w:r>
        <w:rPr>
          <w:rStyle w:val="CharPartText"/>
        </w:rPr>
        <w:t>Annual report provisions</w:t>
      </w:r>
      <w:bookmarkEnd w:id="14"/>
      <w:bookmarkEnd w:id="15"/>
      <w:bookmarkEnd w:id="16"/>
    </w:p>
    <w:p>
      <w:pPr>
        <w:pStyle w:val="Heading5"/>
      </w:pPr>
      <w:bookmarkStart w:id="17" w:name="_Toc185929763"/>
      <w:r>
        <w:rPr>
          <w:rStyle w:val="CharSectno"/>
        </w:rPr>
        <w:t>7A</w:t>
      </w:r>
      <w:r>
        <w:t>.</w:t>
      </w:r>
      <w:r>
        <w:tab/>
        <w:t>Application</w:t>
      </w:r>
      <w:bookmarkEnd w:id="17"/>
    </w:p>
    <w:p>
      <w:pPr>
        <w:pStyle w:val="Subsection"/>
        <w:rPr>
          <w:szCs w:val="24"/>
        </w:rPr>
      </w:pPr>
      <w:r>
        <w:rPr>
          <w:szCs w:val="24"/>
        </w:rPr>
        <w:tab/>
      </w:r>
      <w:r>
        <w:rPr>
          <w:szCs w:val="24"/>
        </w:rPr>
        <w:tab/>
        <w:t>This Part applies for the purposes of section 43 (Annual report) of the Law.</w:t>
      </w:r>
    </w:p>
    <w:p>
      <w:pPr>
        <w:pStyle w:val="Heading5"/>
      </w:pPr>
      <w:bookmarkStart w:id="18" w:name="_Toc185929764"/>
      <w:r>
        <w:rPr>
          <w:rStyle w:val="CharSectno"/>
        </w:rPr>
        <w:t>7B</w:t>
      </w:r>
      <w:r>
        <w:t>.</w:t>
      </w:r>
      <w:r>
        <w:tab/>
        <w:t>Auditors</w:t>
      </w:r>
      <w:bookmarkEnd w:id="18"/>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19" w:name="_Toc185929765"/>
      <w:r>
        <w:rPr>
          <w:rStyle w:val="CharSectno"/>
          <w:szCs w:val="24"/>
        </w:rPr>
        <w:t>7C</w:t>
      </w:r>
      <w:r>
        <w:rPr>
          <w:szCs w:val="24"/>
        </w:rPr>
        <w:t>.</w:t>
      </w:r>
      <w:r>
        <w:rPr>
          <w:szCs w:val="24"/>
        </w:rPr>
        <w:tab/>
        <w:t>Financial statements</w:t>
      </w:r>
      <w:bookmarkEnd w:id="19"/>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20" w:name="_Toc185929766"/>
      <w:r>
        <w:rPr>
          <w:rStyle w:val="CharSectno"/>
          <w:szCs w:val="24"/>
        </w:rPr>
        <w:t>7D</w:t>
      </w:r>
      <w:r>
        <w:rPr>
          <w:szCs w:val="24"/>
        </w:rPr>
        <w:t>.</w:t>
      </w:r>
      <w:r>
        <w:rPr>
          <w:szCs w:val="24"/>
        </w:rPr>
        <w:tab/>
        <w:t>Auditor not subject to direction</w:t>
      </w:r>
      <w:bookmarkEnd w:id="20"/>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21" w:name="_Toc185924904"/>
      <w:bookmarkStart w:id="22" w:name="_Toc185927542"/>
      <w:bookmarkStart w:id="23" w:name="_Toc185929767"/>
      <w:r>
        <w:rPr>
          <w:rStyle w:val="CharPartNo"/>
        </w:rPr>
        <w:lastRenderedPageBreak/>
        <w:t>Part 2</w:t>
      </w:r>
      <w:r>
        <w:rPr>
          <w:rStyle w:val="CharDivNo"/>
        </w:rPr>
        <w:t> </w:t>
      </w:r>
      <w:r>
        <w:t>—</w:t>
      </w:r>
      <w:r>
        <w:rPr>
          <w:rStyle w:val="CharDivText"/>
        </w:rPr>
        <w:t> </w:t>
      </w:r>
      <w:r>
        <w:rPr>
          <w:rStyle w:val="CharPartText"/>
        </w:rPr>
        <w:t>Accreditation</w:t>
      </w:r>
      <w:bookmarkEnd w:id="21"/>
      <w:bookmarkEnd w:id="22"/>
      <w:bookmarkEnd w:id="23"/>
    </w:p>
    <w:p>
      <w:pPr>
        <w:pStyle w:val="Heading5"/>
        <w:rPr>
          <w:szCs w:val="24"/>
        </w:rPr>
      </w:pPr>
      <w:bookmarkStart w:id="24" w:name="_Toc185929768"/>
      <w:r>
        <w:rPr>
          <w:rStyle w:val="CharSectno"/>
          <w:szCs w:val="24"/>
        </w:rPr>
        <w:t>8</w:t>
      </w:r>
      <w:r>
        <w:rPr>
          <w:szCs w:val="24"/>
        </w:rPr>
        <w:t>.</w:t>
      </w:r>
      <w:r>
        <w:rPr>
          <w:szCs w:val="24"/>
        </w:rPr>
        <w:tab/>
        <w:t>Application for accreditation</w:t>
      </w:r>
      <w:bookmarkEnd w:id="24"/>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25" w:name="_Toc185929769"/>
      <w:r>
        <w:rPr>
          <w:rStyle w:val="CharSectno"/>
        </w:rPr>
        <w:t>9</w:t>
      </w:r>
      <w:r>
        <w:t>.</w:t>
      </w:r>
      <w:r>
        <w:tab/>
        <w:t>Prescribed conditions and restrictions</w:t>
      </w:r>
      <w:bookmarkEnd w:id="25"/>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26" w:name="_Toc185929770"/>
      <w:r>
        <w:rPr>
          <w:rStyle w:val="CharSectno"/>
        </w:rPr>
        <w:t>10</w:t>
      </w:r>
      <w:r>
        <w:t>.</w:t>
      </w:r>
      <w:r>
        <w:tab/>
        <w:t>Prescribed details for required notification</w:t>
      </w:r>
      <w:bookmarkEnd w:id="26"/>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27" w:name="_Toc185929771"/>
      <w:r>
        <w:rPr>
          <w:rStyle w:val="CharSectno"/>
        </w:rPr>
        <w:lastRenderedPageBreak/>
        <w:t>11</w:t>
      </w:r>
      <w:r>
        <w:t>.</w:t>
      </w:r>
      <w:r>
        <w:tab/>
        <w:t>Application for variation of accreditation</w:t>
      </w:r>
      <w:bookmarkEnd w:id="27"/>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28" w:name="_Toc185924909"/>
      <w:bookmarkStart w:id="29" w:name="_Toc185927547"/>
      <w:bookmarkStart w:id="30" w:name="_Toc185929772"/>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28"/>
      <w:bookmarkEnd w:id="29"/>
      <w:bookmarkEnd w:id="30"/>
    </w:p>
    <w:p>
      <w:pPr>
        <w:pStyle w:val="Heading5"/>
      </w:pPr>
      <w:bookmarkStart w:id="31" w:name="_Toc185929773"/>
      <w:r>
        <w:rPr>
          <w:rStyle w:val="CharSectno"/>
        </w:rPr>
        <w:t>12</w:t>
      </w:r>
      <w:r>
        <w:t>.</w:t>
      </w:r>
      <w:r>
        <w:tab/>
        <w:t>Application for registration</w:t>
      </w:r>
      <w:bookmarkEnd w:id="31"/>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32" w:name="_Toc185929774"/>
      <w:r>
        <w:rPr>
          <w:rStyle w:val="CharSectno"/>
        </w:rPr>
        <w:t>13</w:t>
      </w:r>
      <w:r>
        <w:t>.</w:t>
      </w:r>
      <w:r>
        <w:tab/>
        <w:t>Prescribed conditions and restrictions</w:t>
      </w:r>
      <w:bookmarkEnd w:id="32"/>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33" w:name="_Toc185929775"/>
      <w:r>
        <w:rPr>
          <w:rStyle w:val="CharSectno"/>
        </w:rPr>
        <w:t>14</w:t>
      </w:r>
      <w:r>
        <w:t>.</w:t>
      </w:r>
      <w:r>
        <w:tab/>
        <w:t>Prescribed details for required notification</w:t>
      </w:r>
      <w:bookmarkEnd w:id="33"/>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34" w:name="_Toc185929776"/>
      <w:r>
        <w:rPr>
          <w:rStyle w:val="CharSectno"/>
        </w:rPr>
        <w:lastRenderedPageBreak/>
        <w:t>15</w:t>
      </w:r>
      <w:r>
        <w:t>.</w:t>
      </w:r>
      <w:r>
        <w:tab/>
        <w:t>Application for variation of registration</w:t>
      </w:r>
      <w:bookmarkEnd w:id="34"/>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35" w:name="_Toc185924914"/>
      <w:bookmarkStart w:id="36" w:name="_Toc185927552"/>
      <w:bookmarkStart w:id="37" w:name="_Toc185929777"/>
      <w:r>
        <w:rPr>
          <w:rStyle w:val="CharPartNo"/>
        </w:rPr>
        <w:lastRenderedPageBreak/>
        <w:t>Part 4</w:t>
      </w:r>
      <w:r>
        <w:t> — </w:t>
      </w:r>
      <w:r>
        <w:rPr>
          <w:rStyle w:val="CharPartText"/>
        </w:rPr>
        <w:t>Safety management</w:t>
      </w:r>
      <w:bookmarkEnd w:id="35"/>
      <w:bookmarkEnd w:id="36"/>
      <w:bookmarkEnd w:id="37"/>
    </w:p>
    <w:p>
      <w:pPr>
        <w:pStyle w:val="Heading3"/>
      </w:pPr>
      <w:bookmarkStart w:id="38" w:name="_Toc185924915"/>
      <w:bookmarkStart w:id="39" w:name="_Toc185927553"/>
      <w:bookmarkStart w:id="40" w:name="_Toc185929778"/>
      <w:r>
        <w:rPr>
          <w:rStyle w:val="CharDivNo"/>
        </w:rPr>
        <w:t>Division 1</w:t>
      </w:r>
      <w:r>
        <w:t> — </w:t>
      </w:r>
      <w:r>
        <w:rPr>
          <w:rStyle w:val="CharDivText"/>
        </w:rPr>
        <w:t>Safety management systems</w:t>
      </w:r>
      <w:bookmarkEnd w:id="38"/>
      <w:bookmarkEnd w:id="39"/>
      <w:bookmarkEnd w:id="40"/>
    </w:p>
    <w:p>
      <w:pPr>
        <w:pStyle w:val="Heading5"/>
      </w:pPr>
      <w:bookmarkStart w:id="41" w:name="_Toc185929779"/>
      <w:r>
        <w:rPr>
          <w:rStyle w:val="CharSectno"/>
        </w:rPr>
        <w:t>16</w:t>
      </w:r>
      <w:r>
        <w:t>.</w:t>
      </w:r>
      <w:r>
        <w:tab/>
        <w:t>Prescribed requirements for safety management system</w:t>
      </w:r>
      <w:bookmarkEnd w:id="41"/>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42" w:name="_Toc185929780"/>
      <w:r>
        <w:rPr>
          <w:rStyle w:val="CharSectno"/>
        </w:rPr>
        <w:t>17</w:t>
      </w:r>
      <w:r>
        <w:t>.</w:t>
      </w:r>
      <w:r>
        <w:tab/>
        <w:t>Review of safety management system</w:t>
      </w:r>
      <w:bookmarkEnd w:id="42"/>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lastRenderedPageBreak/>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43" w:name="_Toc185924918"/>
      <w:bookmarkStart w:id="44" w:name="_Toc185927556"/>
      <w:bookmarkStart w:id="45" w:name="_Toc185929781"/>
      <w:r>
        <w:rPr>
          <w:rStyle w:val="CharDivNo"/>
        </w:rPr>
        <w:t>Division 2</w:t>
      </w:r>
      <w:r>
        <w:t> — </w:t>
      </w:r>
      <w:r>
        <w:rPr>
          <w:rStyle w:val="CharDivText"/>
        </w:rPr>
        <w:t>Security management plans</w:t>
      </w:r>
      <w:bookmarkEnd w:id="43"/>
      <w:bookmarkEnd w:id="44"/>
      <w:bookmarkEnd w:id="45"/>
    </w:p>
    <w:p>
      <w:pPr>
        <w:pStyle w:val="Heading5"/>
      </w:pPr>
      <w:bookmarkStart w:id="46" w:name="_Toc185929782"/>
      <w:r>
        <w:rPr>
          <w:rStyle w:val="CharSectno"/>
        </w:rPr>
        <w:t>18</w:t>
      </w:r>
      <w:r>
        <w:t>.</w:t>
      </w:r>
      <w:r>
        <w:tab/>
        <w:t>Security management plan</w:t>
      </w:r>
      <w:bookmarkEnd w:id="46"/>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 xml:space="preserve">if the rail transport operator shares a location (such as a modal interchange or port) with 1 or more other </w:t>
      </w:r>
      <w:r>
        <w:rPr>
          <w:szCs w:val="24"/>
        </w:rPr>
        <w:lastRenderedPageBreak/>
        <w:t>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47" w:name="_Toc185924920"/>
      <w:bookmarkStart w:id="48" w:name="_Toc185927558"/>
      <w:bookmarkStart w:id="49" w:name="_Toc185929783"/>
      <w:r>
        <w:rPr>
          <w:rStyle w:val="CharDivNo"/>
        </w:rPr>
        <w:t>Division 3</w:t>
      </w:r>
      <w:r>
        <w:t> — </w:t>
      </w:r>
      <w:r>
        <w:rPr>
          <w:rStyle w:val="CharDivText"/>
        </w:rPr>
        <w:t>Emergency management plans</w:t>
      </w:r>
      <w:bookmarkEnd w:id="47"/>
      <w:bookmarkEnd w:id="48"/>
      <w:bookmarkEnd w:id="49"/>
    </w:p>
    <w:p>
      <w:pPr>
        <w:pStyle w:val="Heading5"/>
      </w:pPr>
      <w:bookmarkStart w:id="50" w:name="_Toc185929784"/>
      <w:r>
        <w:rPr>
          <w:rStyle w:val="CharSectno"/>
        </w:rPr>
        <w:t>19</w:t>
      </w:r>
      <w:r>
        <w:t>.</w:t>
      </w:r>
      <w:r>
        <w:tab/>
        <w:t>Emergency management plan</w:t>
      </w:r>
      <w:bookmarkEnd w:id="50"/>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 xml:space="preserve">an entity (whether publicly or privately owned) that provides, or intends to provide, water, sewerage, drainage, gas, electricity, telephone, telecommunication or other like services under </w:t>
      </w:r>
      <w:r>
        <w:rPr>
          <w:szCs w:val="24"/>
        </w:rPr>
        <w:lastRenderedPageBreak/>
        <w:t>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 xml:space="preserve">procedures for liaison with relevant emergency services, including information about the circumstances in which </w:t>
      </w:r>
      <w:r>
        <w:rPr>
          <w:szCs w:val="24"/>
        </w:rPr>
        <w:lastRenderedPageBreak/>
        <w:t>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51" w:name="_Toc185929785"/>
      <w:r>
        <w:rPr>
          <w:rStyle w:val="CharSectno"/>
          <w:szCs w:val="24"/>
        </w:rPr>
        <w:t>20</w:t>
      </w:r>
      <w:r>
        <w:rPr>
          <w:szCs w:val="24"/>
        </w:rPr>
        <w:t>.</w:t>
      </w:r>
      <w:r>
        <w:rPr>
          <w:szCs w:val="24"/>
        </w:rPr>
        <w:tab/>
        <w:t>Keeping, maintaining and testing emergency management plan</w:t>
      </w:r>
      <w:bookmarkEnd w:id="51"/>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lastRenderedPageBreak/>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52" w:name="_Toc185924923"/>
      <w:bookmarkStart w:id="53" w:name="_Toc185927561"/>
      <w:bookmarkStart w:id="54" w:name="_Toc185929786"/>
      <w:r>
        <w:rPr>
          <w:rStyle w:val="CharDivNo"/>
        </w:rPr>
        <w:t>Division 4</w:t>
      </w:r>
      <w:r>
        <w:t> — </w:t>
      </w:r>
      <w:r>
        <w:rPr>
          <w:rStyle w:val="CharDivText"/>
        </w:rPr>
        <w:t>Network rules</w:t>
      </w:r>
      <w:bookmarkEnd w:id="52"/>
      <w:bookmarkEnd w:id="53"/>
      <w:bookmarkEnd w:id="54"/>
    </w:p>
    <w:p>
      <w:pPr>
        <w:pStyle w:val="Heading5"/>
        <w:rPr>
          <w:szCs w:val="24"/>
        </w:rPr>
      </w:pPr>
      <w:bookmarkStart w:id="55" w:name="_Toc185929787"/>
      <w:r>
        <w:rPr>
          <w:rStyle w:val="CharSectno"/>
          <w:szCs w:val="24"/>
        </w:rPr>
        <w:t>21</w:t>
      </w:r>
      <w:r>
        <w:rPr>
          <w:szCs w:val="24"/>
        </w:rPr>
        <w:t>.</w:t>
      </w:r>
      <w:r>
        <w:rPr>
          <w:szCs w:val="24"/>
        </w:rPr>
        <w:tab/>
        <w:t>Interpretation</w:t>
      </w:r>
      <w:bookmarkEnd w:id="55"/>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lastRenderedPageBreak/>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56" w:name="_Toc185929788"/>
      <w:r>
        <w:rPr>
          <w:rStyle w:val="CharSectno"/>
        </w:rPr>
        <w:t>22</w:t>
      </w:r>
      <w:r>
        <w:t>.</w:t>
      </w:r>
      <w:r>
        <w:tab/>
        <w:t>Establishing and amending network rules</w:t>
      </w:r>
      <w:bookmarkEnd w:id="56"/>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lastRenderedPageBreak/>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57" w:name="_Toc185929789"/>
      <w:r>
        <w:rPr>
          <w:rStyle w:val="CharSectno"/>
        </w:rPr>
        <w:t>23</w:t>
      </w:r>
      <w:r>
        <w:t>.</w:t>
      </w:r>
      <w:r>
        <w:tab/>
        <w:t>Emergency amendments to network rules</w:t>
      </w:r>
      <w:bookmarkEnd w:id="57"/>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lastRenderedPageBreak/>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58" w:name="_Toc185924927"/>
      <w:bookmarkStart w:id="59" w:name="_Toc185927565"/>
      <w:bookmarkStart w:id="60" w:name="_Toc185929790"/>
      <w:r>
        <w:rPr>
          <w:rStyle w:val="CharDivNo"/>
        </w:rPr>
        <w:t>Division 5</w:t>
      </w:r>
      <w:r>
        <w:t> — </w:t>
      </w:r>
      <w:r>
        <w:rPr>
          <w:rStyle w:val="CharDivText"/>
        </w:rPr>
        <w:t>Interface agreements</w:t>
      </w:r>
      <w:bookmarkEnd w:id="58"/>
      <w:bookmarkEnd w:id="59"/>
      <w:bookmarkEnd w:id="60"/>
    </w:p>
    <w:p>
      <w:pPr>
        <w:pStyle w:val="Heading5"/>
        <w:rPr>
          <w:szCs w:val="24"/>
        </w:rPr>
      </w:pPr>
      <w:bookmarkStart w:id="61" w:name="_Toc185929791"/>
      <w:r>
        <w:rPr>
          <w:rStyle w:val="CharSectno"/>
        </w:rPr>
        <w:t>24</w:t>
      </w:r>
      <w:r>
        <w:t>.</w:t>
      </w:r>
      <w:r>
        <w:tab/>
        <w:t xml:space="preserve">Interface coordination — rail infrastructure and public </w:t>
      </w:r>
      <w:r>
        <w:rPr>
          <w:szCs w:val="24"/>
        </w:rPr>
        <w:t>roads</w:t>
      </w:r>
      <w:bookmarkEnd w:id="61"/>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62" w:name="_Toc185929792"/>
      <w:r>
        <w:rPr>
          <w:rStyle w:val="CharSectno"/>
          <w:szCs w:val="24"/>
        </w:rPr>
        <w:t>25</w:t>
      </w:r>
      <w:r>
        <w:rPr>
          <w:szCs w:val="24"/>
        </w:rPr>
        <w:t>.</w:t>
      </w:r>
      <w:r>
        <w:rPr>
          <w:szCs w:val="24"/>
        </w:rPr>
        <w:tab/>
        <w:t>Interface coordination — rail infrastructure and private roads</w:t>
      </w:r>
      <w:bookmarkEnd w:id="62"/>
    </w:p>
    <w:p>
      <w:pPr>
        <w:pStyle w:val="Subsection"/>
        <w:rPr>
          <w:szCs w:val="24"/>
        </w:rPr>
      </w:pPr>
      <w:r>
        <w:rPr>
          <w:szCs w:val="24"/>
        </w:rPr>
        <w:tab/>
      </w:r>
      <w:r>
        <w:rPr>
          <w:szCs w:val="24"/>
        </w:rPr>
        <w:tab/>
        <w:t xml:space="preserve">For the purposes of section 108(1)(b) (Interface coordination — rail infrastructure and private roads) of the Law, a protocol </w:t>
      </w:r>
      <w:r>
        <w:rPr>
          <w:szCs w:val="24"/>
        </w:rPr>
        <w:lastRenderedPageBreak/>
        <w:t xml:space="preserve">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63" w:name="_Toc185924930"/>
      <w:bookmarkStart w:id="64" w:name="_Toc185927568"/>
      <w:bookmarkStart w:id="65" w:name="_Toc185929793"/>
      <w:r>
        <w:rPr>
          <w:rStyle w:val="CharDivNo"/>
        </w:rPr>
        <w:t>Division 6</w:t>
      </w:r>
      <w:r>
        <w:t> — </w:t>
      </w:r>
      <w:r>
        <w:rPr>
          <w:rStyle w:val="CharDivText"/>
        </w:rPr>
        <w:t>Disclosure of train safety recordings</w:t>
      </w:r>
      <w:bookmarkEnd w:id="63"/>
      <w:bookmarkEnd w:id="64"/>
      <w:bookmarkEnd w:id="65"/>
    </w:p>
    <w:p>
      <w:pPr>
        <w:pStyle w:val="Heading5"/>
      </w:pPr>
      <w:bookmarkStart w:id="66" w:name="_Toc185929794"/>
      <w:r>
        <w:rPr>
          <w:rStyle w:val="CharSectno"/>
        </w:rPr>
        <w:t>26</w:t>
      </w:r>
      <w:r>
        <w:t>.</w:t>
      </w:r>
      <w:r>
        <w:tab/>
        <w:t>Disclosure of train safety recordings</w:t>
      </w:r>
      <w:bookmarkEnd w:id="66"/>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67" w:name="_Toc185924932"/>
      <w:bookmarkStart w:id="68" w:name="_Toc185927570"/>
      <w:bookmarkStart w:id="69" w:name="_Toc185929795"/>
      <w:r>
        <w:rPr>
          <w:rStyle w:val="CharPartNo"/>
        </w:rPr>
        <w:lastRenderedPageBreak/>
        <w:t>Part 5</w:t>
      </w:r>
      <w:r>
        <w:rPr>
          <w:rStyle w:val="CharDivNo"/>
        </w:rPr>
        <w:t> </w:t>
      </w:r>
      <w:r>
        <w:t>—</w:t>
      </w:r>
      <w:r>
        <w:rPr>
          <w:rStyle w:val="CharDivText"/>
        </w:rPr>
        <w:t> </w:t>
      </w:r>
      <w:r>
        <w:rPr>
          <w:rStyle w:val="CharPartText"/>
        </w:rPr>
        <w:t>Rail safety workers</w:t>
      </w:r>
      <w:bookmarkEnd w:id="67"/>
      <w:bookmarkEnd w:id="68"/>
      <w:bookmarkEnd w:id="69"/>
    </w:p>
    <w:p>
      <w:pPr>
        <w:pStyle w:val="Heading5"/>
      </w:pPr>
      <w:bookmarkStart w:id="70" w:name="_Toc185929796"/>
      <w:r>
        <w:rPr>
          <w:rStyle w:val="CharSectno"/>
        </w:rPr>
        <w:t>27</w:t>
      </w:r>
      <w:r>
        <w:t>.</w:t>
      </w:r>
      <w:r>
        <w:tab/>
        <w:t>Health and fitness management program</w:t>
      </w:r>
      <w:bookmarkEnd w:id="70"/>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71" w:name="_Toc185929797"/>
      <w:r>
        <w:rPr>
          <w:rStyle w:val="CharSectno"/>
        </w:rPr>
        <w:t>28</w:t>
      </w:r>
      <w:r>
        <w:t>.</w:t>
      </w:r>
      <w:r>
        <w:tab/>
        <w:t>Drug and alcohol management program</w:t>
      </w:r>
      <w:bookmarkEnd w:id="71"/>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lastRenderedPageBreak/>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 xml:space="preserve">the provision of information to rail safety workers with respect to the effect of alcohol and other drugs and the possible disciplinary action and other penalties that may </w:t>
      </w:r>
      <w:r>
        <w:rPr>
          <w:szCs w:val="24"/>
        </w:rPr>
        <w:lastRenderedPageBreak/>
        <w:t>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72" w:name="_Toc185929798"/>
      <w:r>
        <w:rPr>
          <w:rStyle w:val="CharSectno"/>
        </w:rPr>
        <w:lastRenderedPageBreak/>
        <w:t>29</w:t>
      </w:r>
      <w:r>
        <w:t>.</w:t>
      </w:r>
      <w:r>
        <w:tab/>
        <w:t>Fatigue risk management program</w:t>
      </w:r>
      <w:bookmarkEnd w:id="72"/>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lastRenderedPageBreak/>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73" w:name="_Toc185929799"/>
      <w:r>
        <w:rPr>
          <w:rStyle w:val="CharSectno"/>
        </w:rPr>
        <w:t>30</w:t>
      </w:r>
      <w:r>
        <w:t>.</w:t>
      </w:r>
      <w:r>
        <w:tab/>
        <w:t>Records of competence</w:t>
      </w:r>
      <w:bookmarkEnd w:id="73"/>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74" w:name="_Toc185924937"/>
      <w:bookmarkStart w:id="75" w:name="_Toc185927575"/>
      <w:bookmarkStart w:id="76" w:name="_Toc185929800"/>
      <w:r>
        <w:rPr>
          <w:rStyle w:val="CharPartNo"/>
        </w:rPr>
        <w:lastRenderedPageBreak/>
        <w:t>Part 6</w:t>
      </w:r>
      <w:r>
        <w:rPr>
          <w:rStyle w:val="CharDivNo"/>
        </w:rPr>
        <w:t> </w:t>
      </w:r>
      <w:r>
        <w:t>—</w:t>
      </w:r>
      <w:r>
        <w:rPr>
          <w:rStyle w:val="CharDivText"/>
        </w:rPr>
        <w:t> </w:t>
      </w:r>
      <w:r>
        <w:rPr>
          <w:rStyle w:val="CharPartText"/>
        </w:rPr>
        <w:t>Exemptions granted by Regulator</w:t>
      </w:r>
      <w:bookmarkEnd w:id="74"/>
      <w:bookmarkEnd w:id="75"/>
      <w:bookmarkEnd w:id="76"/>
    </w:p>
    <w:p>
      <w:pPr>
        <w:pStyle w:val="Heading5"/>
      </w:pPr>
      <w:bookmarkStart w:id="77" w:name="_Toc185929801"/>
      <w:r>
        <w:rPr>
          <w:rStyle w:val="CharSectno"/>
        </w:rPr>
        <w:t>31</w:t>
      </w:r>
      <w:r>
        <w:t>.</w:t>
      </w:r>
      <w:r>
        <w:tab/>
        <w:t>Application for exemption</w:t>
      </w:r>
      <w:bookmarkEnd w:id="77"/>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78" w:name="_Toc185929802"/>
      <w:r>
        <w:rPr>
          <w:rStyle w:val="CharSectno"/>
        </w:rPr>
        <w:t>32</w:t>
      </w:r>
      <w:r>
        <w:t>.</w:t>
      </w:r>
      <w:r>
        <w:tab/>
        <w:t>Prescribed details for required notification</w:t>
      </w:r>
      <w:bookmarkEnd w:id="78"/>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79" w:name="_Toc185929803"/>
      <w:r>
        <w:rPr>
          <w:rStyle w:val="CharSectno"/>
          <w:szCs w:val="24"/>
        </w:rPr>
        <w:t>33</w:t>
      </w:r>
      <w:r>
        <w:rPr>
          <w:szCs w:val="24"/>
        </w:rPr>
        <w:t>.</w:t>
      </w:r>
      <w:r>
        <w:rPr>
          <w:szCs w:val="24"/>
        </w:rPr>
        <w:tab/>
        <w:t>Application for variation of an exemption</w:t>
      </w:r>
      <w:bookmarkEnd w:id="79"/>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80" w:name="_Toc185924941"/>
      <w:bookmarkStart w:id="81" w:name="_Toc185927579"/>
      <w:bookmarkStart w:id="82" w:name="_Toc185929804"/>
      <w:r>
        <w:rPr>
          <w:rStyle w:val="CharPartNo"/>
        </w:rPr>
        <w:lastRenderedPageBreak/>
        <w:t>Part 7</w:t>
      </w:r>
      <w:r>
        <w:rPr>
          <w:rStyle w:val="CharDivNo"/>
        </w:rPr>
        <w:t> </w:t>
      </w:r>
      <w:r>
        <w:t>—</w:t>
      </w:r>
      <w:r>
        <w:rPr>
          <w:rStyle w:val="CharDivText"/>
        </w:rPr>
        <w:t> </w:t>
      </w:r>
      <w:r>
        <w:rPr>
          <w:rStyle w:val="CharPartText"/>
        </w:rPr>
        <w:t>Infringement penalty provisions</w:t>
      </w:r>
      <w:bookmarkEnd w:id="80"/>
      <w:bookmarkEnd w:id="81"/>
      <w:bookmarkEnd w:id="82"/>
    </w:p>
    <w:p>
      <w:pPr>
        <w:pStyle w:val="Heading5"/>
      </w:pPr>
      <w:bookmarkStart w:id="83" w:name="_Toc185929805"/>
      <w:r>
        <w:rPr>
          <w:rStyle w:val="CharSectno"/>
        </w:rPr>
        <w:t>34</w:t>
      </w:r>
      <w:r>
        <w:t>.</w:t>
      </w:r>
      <w:r>
        <w:tab/>
        <w:t>Infringement penalty provisions</w:t>
      </w:r>
      <w:bookmarkEnd w:id="83"/>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84" w:name="_Toc185924943"/>
      <w:bookmarkStart w:id="85" w:name="_Toc185927581"/>
      <w:bookmarkStart w:id="86" w:name="_Toc185929806"/>
      <w:r>
        <w:rPr>
          <w:rStyle w:val="CharPartNo"/>
        </w:rPr>
        <w:lastRenderedPageBreak/>
        <w:t>Part 8</w:t>
      </w:r>
      <w:r>
        <w:t> — </w:t>
      </w:r>
      <w:r>
        <w:rPr>
          <w:rStyle w:val="CharPartText"/>
        </w:rPr>
        <w:t>Application of certain South Australian Acts to the Law</w:t>
      </w:r>
      <w:bookmarkEnd w:id="84"/>
      <w:bookmarkEnd w:id="85"/>
      <w:bookmarkEnd w:id="86"/>
    </w:p>
    <w:p>
      <w:pPr>
        <w:pStyle w:val="Heading3"/>
      </w:pPr>
      <w:bookmarkStart w:id="87" w:name="_Toc185924944"/>
      <w:bookmarkStart w:id="88" w:name="_Toc185927582"/>
      <w:bookmarkStart w:id="89" w:name="_Toc185929807"/>
      <w:r>
        <w:rPr>
          <w:rStyle w:val="CharDivNo"/>
        </w:rPr>
        <w:t>Division 1</w:t>
      </w:r>
      <w:r>
        <w:t> — </w:t>
      </w:r>
      <w:r>
        <w:rPr>
          <w:rStyle w:val="CharDivText"/>
        </w:rPr>
        <w:t>Application of South Australian FOI Act</w:t>
      </w:r>
      <w:bookmarkEnd w:id="87"/>
      <w:bookmarkEnd w:id="88"/>
      <w:bookmarkEnd w:id="89"/>
    </w:p>
    <w:p>
      <w:pPr>
        <w:pStyle w:val="Heading5"/>
      </w:pPr>
      <w:bookmarkStart w:id="90" w:name="_Toc185929808"/>
      <w:r>
        <w:rPr>
          <w:rStyle w:val="CharSectno"/>
        </w:rPr>
        <w:t>35</w:t>
      </w:r>
      <w:r>
        <w:t>.</w:t>
      </w:r>
      <w:r>
        <w:tab/>
        <w:t>Interpretation</w:t>
      </w:r>
      <w:bookmarkEnd w:id="90"/>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91" w:name="_Toc185929809"/>
      <w:r>
        <w:rPr>
          <w:rStyle w:val="CharSectno"/>
        </w:rPr>
        <w:t>36</w:t>
      </w:r>
      <w:r>
        <w:t>.</w:t>
      </w:r>
      <w:r>
        <w:tab/>
      </w:r>
      <w:r>
        <w:rPr>
          <w:szCs w:val="24"/>
        </w:rPr>
        <w:t>Application of FOI Act</w:t>
      </w:r>
      <w:bookmarkEnd w:id="91"/>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92" w:name="_Toc185929810"/>
      <w:r>
        <w:rPr>
          <w:rStyle w:val="CharSectno"/>
          <w:szCs w:val="24"/>
        </w:rPr>
        <w:t>37</w:t>
      </w:r>
      <w:r>
        <w:rPr>
          <w:szCs w:val="24"/>
        </w:rPr>
        <w:t>.</w:t>
      </w:r>
      <w:r>
        <w:rPr>
          <w:szCs w:val="24"/>
        </w:rPr>
        <w:tab/>
        <w:t>Modifications of FOI Act for purposes of national rail safety scheme</w:t>
      </w:r>
      <w:bookmarkEnd w:id="92"/>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93"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93"/>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94" w:name="_Toc185929811"/>
      <w:r>
        <w:rPr>
          <w:rStyle w:val="CharSectno"/>
        </w:rPr>
        <w:t>38</w:t>
      </w:r>
      <w:r>
        <w:t>.</w:t>
      </w:r>
      <w:r>
        <w:tab/>
        <w:t>Conferral of jurisdiction on District Court of South Australia</w:t>
      </w:r>
      <w:bookmarkEnd w:id="94"/>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95" w:name="_Toc185929812"/>
      <w:r>
        <w:rPr>
          <w:rStyle w:val="CharSectno"/>
          <w:szCs w:val="24"/>
        </w:rPr>
        <w:t>39</w:t>
      </w:r>
      <w:r>
        <w:rPr>
          <w:szCs w:val="24"/>
        </w:rPr>
        <w:t>.</w:t>
      </w:r>
      <w:r>
        <w:rPr>
          <w:szCs w:val="24"/>
        </w:rPr>
        <w:tab/>
        <w:t>Modification of Freedom of Information (Fees and Charges) Regulations</w:t>
      </w:r>
      <w:bookmarkEnd w:id="95"/>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96" w:name="_Toc185929813"/>
      <w:r>
        <w:rPr>
          <w:rStyle w:val="CharSectno"/>
        </w:rPr>
        <w:t>40</w:t>
      </w:r>
      <w:r>
        <w:t>.</w:t>
      </w:r>
      <w:r>
        <w:tab/>
        <w:t>Disapplication of other regulations</w:t>
      </w:r>
      <w:bookmarkEnd w:id="96"/>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97" w:name="_Toc185924951"/>
      <w:bookmarkStart w:id="98" w:name="_Toc185927589"/>
      <w:bookmarkStart w:id="99" w:name="_Toc185929814"/>
      <w:r>
        <w:rPr>
          <w:rStyle w:val="CharDivNo"/>
        </w:rPr>
        <w:lastRenderedPageBreak/>
        <w:t>Division 2</w:t>
      </w:r>
      <w:r>
        <w:t> — </w:t>
      </w:r>
      <w:r>
        <w:rPr>
          <w:rStyle w:val="CharDivText"/>
        </w:rPr>
        <w:t>Application of South Australian Ombudsman Act</w:t>
      </w:r>
      <w:bookmarkEnd w:id="97"/>
      <w:bookmarkEnd w:id="98"/>
      <w:bookmarkEnd w:id="99"/>
    </w:p>
    <w:p>
      <w:pPr>
        <w:pStyle w:val="Heading5"/>
        <w:rPr>
          <w:szCs w:val="24"/>
        </w:rPr>
      </w:pPr>
      <w:bookmarkStart w:id="100" w:name="_Toc185929815"/>
      <w:r>
        <w:rPr>
          <w:rStyle w:val="CharSectno"/>
          <w:szCs w:val="24"/>
        </w:rPr>
        <w:t>41</w:t>
      </w:r>
      <w:r>
        <w:rPr>
          <w:szCs w:val="24"/>
        </w:rPr>
        <w:t>.</w:t>
      </w:r>
      <w:r>
        <w:rPr>
          <w:szCs w:val="24"/>
        </w:rPr>
        <w:tab/>
        <w:t>Interpretation</w:t>
      </w:r>
      <w:bookmarkEnd w:id="10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01" w:name="_Toc185929816"/>
      <w:r>
        <w:rPr>
          <w:rStyle w:val="CharSectno"/>
          <w:szCs w:val="24"/>
        </w:rPr>
        <w:t>42</w:t>
      </w:r>
      <w:r>
        <w:rPr>
          <w:szCs w:val="24"/>
        </w:rPr>
        <w:t>.</w:t>
      </w:r>
      <w:r>
        <w:rPr>
          <w:szCs w:val="24"/>
        </w:rPr>
        <w:tab/>
        <w:t>Application of Ombudsman Act</w:t>
      </w:r>
      <w:bookmarkEnd w:id="101"/>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02" w:name="_Toc185929817"/>
      <w:r>
        <w:rPr>
          <w:rStyle w:val="CharSectno"/>
          <w:szCs w:val="24"/>
        </w:rPr>
        <w:t>43</w:t>
      </w:r>
      <w:r>
        <w:rPr>
          <w:szCs w:val="24"/>
        </w:rPr>
        <w:t>.</w:t>
      </w:r>
      <w:r>
        <w:rPr>
          <w:szCs w:val="24"/>
        </w:rPr>
        <w:tab/>
        <w:t>Modifications of Ombudsman Act for purposes of national rail safety scheme</w:t>
      </w:r>
      <w:bookmarkEnd w:id="102"/>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103" w:name="_Toc185929818"/>
      <w:r>
        <w:rPr>
          <w:rStyle w:val="CharSectno"/>
          <w:szCs w:val="24"/>
        </w:rPr>
        <w:t>44</w:t>
      </w:r>
      <w:r>
        <w:rPr>
          <w:szCs w:val="24"/>
        </w:rPr>
        <w:t>.</w:t>
      </w:r>
      <w:r>
        <w:rPr>
          <w:szCs w:val="24"/>
        </w:rPr>
        <w:tab/>
        <w:t>Conferral of function on Ombudsman of South Australia</w:t>
      </w:r>
      <w:bookmarkEnd w:id="103"/>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104" w:name="_Toc185929819"/>
      <w:r>
        <w:rPr>
          <w:rStyle w:val="CharSectno"/>
          <w:szCs w:val="24"/>
        </w:rPr>
        <w:t>45</w:t>
      </w:r>
      <w:r>
        <w:rPr>
          <w:szCs w:val="24"/>
        </w:rPr>
        <w:t>.</w:t>
      </w:r>
      <w:r>
        <w:rPr>
          <w:szCs w:val="24"/>
        </w:rPr>
        <w:tab/>
        <w:t>Conferral of jurisdiction on Supreme Court of South Australia</w:t>
      </w:r>
      <w:bookmarkEnd w:id="104"/>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105" w:name="_Toc185924957"/>
      <w:bookmarkStart w:id="106" w:name="_Toc185927595"/>
      <w:bookmarkStart w:id="107" w:name="_Toc185929820"/>
      <w:r>
        <w:rPr>
          <w:rStyle w:val="CharDivNo"/>
        </w:rPr>
        <w:lastRenderedPageBreak/>
        <w:t>Division 3</w:t>
      </w:r>
      <w:r>
        <w:t> — </w:t>
      </w:r>
      <w:r>
        <w:rPr>
          <w:rStyle w:val="CharDivText"/>
        </w:rPr>
        <w:t>Application of South Australian Public Finance and Audit Act</w:t>
      </w:r>
      <w:bookmarkEnd w:id="105"/>
      <w:bookmarkEnd w:id="106"/>
      <w:bookmarkEnd w:id="107"/>
    </w:p>
    <w:p>
      <w:pPr>
        <w:pStyle w:val="Heading5"/>
        <w:rPr>
          <w:szCs w:val="24"/>
        </w:rPr>
      </w:pPr>
      <w:bookmarkStart w:id="108" w:name="_Toc185929821"/>
      <w:r>
        <w:rPr>
          <w:rStyle w:val="CharSectno"/>
          <w:szCs w:val="24"/>
        </w:rPr>
        <w:t>46</w:t>
      </w:r>
      <w:r>
        <w:rPr>
          <w:szCs w:val="24"/>
        </w:rPr>
        <w:t>.</w:t>
      </w:r>
      <w:r>
        <w:rPr>
          <w:szCs w:val="24"/>
        </w:rPr>
        <w:tab/>
        <w:t>Interpretation</w:t>
      </w:r>
      <w:bookmarkEnd w:id="10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109" w:name="_Toc185929822"/>
      <w:r>
        <w:rPr>
          <w:rStyle w:val="CharSectno"/>
          <w:szCs w:val="24"/>
        </w:rPr>
        <w:t>47</w:t>
      </w:r>
      <w:r>
        <w:rPr>
          <w:szCs w:val="24"/>
        </w:rPr>
        <w:t>.</w:t>
      </w:r>
      <w:r>
        <w:rPr>
          <w:szCs w:val="24"/>
        </w:rPr>
        <w:tab/>
        <w:t>Application of Public Finance and Audit Act</w:t>
      </w:r>
      <w:bookmarkEnd w:id="109"/>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110" w:name="_Toc185929823"/>
      <w:r>
        <w:rPr>
          <w:rStyle w:val="CharSectno"/>
          <w:szCs w:val="24"/>
        </w:rPr>
        <w:t>48</w:t>
      </w:r>
      <w:r>
        <w:rPr>
          <w:szCs w:val="24"/>
        </w:rPr>
        <w:t>.</w:t>
      </w:r>
      <w:r>
        <w:rPr>
          <w:szCs w:val="24"/>
        </w:rPr>
        <w:tab/>
        <w:t>Modifications of PFA Act for purposes of national rail safety scheme</w:t>
      </w:r>
      <w:bookmarkEnd w:id="110"/>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111" w:name="_Toc185929824"/>
      <w:r>
        <w:rPr>
          <w:rStyle w:val="CharSectno"/>
          <w:szCs w:val="24"/>
        </w:rPr>
        <w:lastRenderedPageBreak/>
        <w:t>49</w:t>
      </w:r>
      <w:r>
        <w:rPr>
          <w:szCs w:val="24"/>
        </w:rPr>
        <w:t>.</w:t>
      </w:r>
      <w:r>
        <w:rPr>
          <w:szCs w:val="24"/>
        </w:rPr>
        <w:tab/>
        <w:t>Conferral of function on Auditor General of South Australia</w:t>
      </w:r>
      <w:bookmarkEnd w:id="111"/>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112" w:name="_Toc185929825"/>
      <w:r>
        <w:rPr>
          <w:rStyle w:val="CharSectno"/>
          <w:szCs w:val="24"/>
        </w:rPr>
        <w:t>50</w:t>
      </w:r>
      <w:r>
        <w:rPr>
          <w:szCs w:val="24"/>
        </w:rPr>
        <w:t>.</w:t>
      </w:r>
      <w:r>
        <w:rPr>
          <w:szCs w:val="24"/>
        </w:rPr>
        <w:tab/>
        <w:t>Conferral of jurisdiction on Supreme Court of South Australia</w:t>
      </w:r>
      <w:bookmarkEnd w:id="112"/>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113" w:name="_Toc185929826"/>
      <w:r>
        <w:rPr>
          <w:rStyle w:val="CharSectno"/>
          <w:szCs w:val="24"/>
        </w:rPr>
        <w:t>51</w:t>
      </w:r>
      <w:r>
        <w:rPr>
          <w:szCs w:val="24"/>
        </w:rPr>
        <w:t>.</w:t>
      </w:r>
      <w:r>
        <w:rPr>
          <w:szCs w:val="24"/>
        </w:rPr>
        <w:tab/>
        <w:t>Disapplication of regulations</w:t>
      </w:r>
      <w:bookmarkEnd w:id="113"/>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114" w:name="_Toc185924964"/>
      <w:bookmarkStart w:id="115" w:name="_Toc185927602"/>
      <w:bookmarkStart w:id="116" w:name="_Toc185929827"/>
      <w:r>
        <w:rPr>
          <w:rStyle w:val="CharDivNo"/>
        </w:rPr>
        <w:t>Division 4</w:t>
      </w:r>
      <w:r>
        <w:t> — </w:t>
      </w:r>
      <w:r>
        <w:rPr>
          <w:rStyle w:val="CharDivText"/>
        </w:rPr>
        <w:t>Application of South Australian State Records Act</w:t>
      </w:r>
      <w:bookmarkEnd w:id="114"/>
      <w:bookmarkEnd w:id="115"/>
      <w:bookmarkEnd w:id="116"/>
    </w:p>
    <w:p>
      <w:pPr>
        <w:pStyle w:val="Heading5"/>
        <w:rPr>
          <w:szCs w:val="24"/>
        </w:rPr>
      </w:pPr>
      <w:bookmarkStart w:id="117" w:name="_Toc185929828"/>
      <w:r>
        <w:rPr>
          <w:rStyle w:val="CharSectno"/>
          <w:szCs w:val="24"/>
        </w:rPr>
        <w:t>52</w:t>
      </w:r>
      <w:r>
        <w:rPr>
          <w:szCs w:val="24"/>
        </w:rPr>
        <w:t>.</w:t>
      </w:r>
      <w:r>
        <w:rPr>
          <w:szCs w:val="24"/>
        </w:rPr>
        <w:tab/>
        <w:t>Interpretation</w:t>
      </w:r>
      <w:bookmarkEnd w:id="117"/>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118" w:name="_Toc185929829"/>
      <w:r>
        <w:rPr>
          <w:rStyle w:val="CharSectno"/>
          <w:szCs w:val="24"/>
        </w:rPr>
        <w:t>53</w:t>
      </w:r>
      <w:r>
        <w:rPr>
          <w:szCs w:val="24"/>
        </w:rPr>
        <w:t>.</w:t>
      </w:r>
      <w:r>
        <w:rPr>
          <w:szCs w:val="24"/>
        </w:rPr>
        <w:tab/>
        <w:t>Application of State Records Act</w:t>
      </w:r>
      <w:bookmarkEnd w:id="118"/>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119" w:name="_Toc185929830"/>
      <w:r>
        <w:rPr>
          <w:rStyle w:val="CharSectno"/>
          <w:szCs w:val="24"/>
        </w:rPr>
        <w:lastRenderedPageBreak/>
        <w:t>54</w:t>
      </w:r>
      <w:r>
        <w:rPr>
          <w:szCs w:val="24"/>
        </w:rPr>
        <w:t>.</w:t>
      </w:r>
      <w:r>
        <w:rPr>
          <w:szCs w:val="24"/>
        </w:rPr>
        <w:tab/>
        <w:t>Modifications of State Records Act for purposes of national rail safety scheme</w:t>
      </w:r>
      <w:bookmarkEnd w:id="119"/>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120" w:name="_Toc185929831"/>
      <w:r>
        <w:rPr>
          <w:rStyle w:val="CharSectno"/>
        </w:rPr>
        <w:lastRenderedPageBreak/>
        <w:t>55</w:t>
      </w:r>
      <w:r>
        <w:t>.</w:t>
      </w:r>
      <w:r>
        <w:tab/>
      </w:r>
      <w:r>
        <w:rPr>
          <w:szCs w:val="24"/>
        </w:rPr>
        <w:t>Conferral of functions on South Australian Manager and Council</w:t>
      </w:r>
      <w:bookmarkEnd w:id="120"/>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121" w:name="_Toc185924969"/>
      <w:bookmarkStart w:id="122" w:name="_Toc185927607"/>
      <w:bookmarkStart w:id="123" w:name="_Toc185929832"/>
      <w:r>
        <w:rPr>
          <w:rStyle w:val="CharPartNo"/>
        </w:rPr>
        <w:lastRenderedPageBreak/>
        <w:t>Part 9</w:t>
      </w:r>
      <w:r>
        <w:rPr>
          <w:rStyle w:val="CharDivNo"/>
        </w:rPr>
        <w:t> </w:t>
      </w:r>
      <w:r>
        <w:t>—</w:t>
      </w:r>
      <w:r>
        <w:rPr>
          <w:rStyle w:val="CharDivText"/>
        </w:rPr>
        <w:t> </w:t>
      </w:r>
      <w:r>
        <w:rPr>
          <w:rStyle w:val="CharPartText"/>
        </w:rPr>
        <w:t>Miscellaneous</w:t>
      </w:r>
      <w:bookmarkEnd w:id="121"/>
      <w:bookmarkEnd w:id="122"/>
      <w:bookmarkEnd w:id="123"/>
    </w:p>
    <w:p>
      <w:pPr>
        <w:pStyle w:val="Heading5"/>
        <w:rPr>
          <w:szCs w:val="24"/>
        </w:rPr>
      </w:pPr>
      <w:bookmarkStart w:id="124" w:name="_Toc185929833"/>
      <w:r>
        <w:rPr>
          <w:rStyle w:val="CharSectno"/>
          <w:szCs w:val="24"/>
        </w:rPr>
        <w:t>56</w:t>
      </w:r>
      <w:r>
        <w:rPr>
          <w:szCs w:val="24"/>
        </w:rPr>
        <w:t>.</w:t>
      </w:r>
      <w:r>
        <w:rPr>
          <w:szCs w:val="24"/>
        </w:rPr>
        <w:tab/>
        <w:t>Periodic information to be supplied monthly</w:t>
      </w:r>
      <w:bookmarkEnd w:id="12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125" w:name="_Toc185929834"/>
      <w:r>
        <w:rPr>
          <w:rStyle w:val="CharSectno"/>
        </w:rPr>
        <w:t>56A</w:t>
      </w:r>
      <w:r>
        <w:t>.</w:t>
      </w:r>
      <w:r>
        <w:tab/>
        <w:t>Periodic information to be supplied annually</w:t>
      </w:r>
      <w:bookmarkEnd w:id="12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126" w:name="_Toc185929835"/>
      <w:r>
        <w:rPr>
          <w:rStyle w:val="CharSectno"/>
        </w:rPr>
        <w:t>57</w:t>
      </w:r>
      <w:r>
        <w:t>.</w:t>
      </w:r>
      <w:r>
        <w:tab/>
        <w:t>Reporting of notifiable occurrences</w:t>
      </w:r>
      <w:bookmarkEnd w:id="12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127" w:name="_Toc185929836"/>
      <w:r>
        <w:rPr>
          <w:rStyle w:val="CharSectno"/>
          <w:szCs w:val="24"/>
        </w:rPr>
        <w:t>58</w:t>
      </w:r>
      <w:r>
        <w:rPr>
          <w:szCs w:val="24"/>
        </w:rPr>
        <w:t>.</w:t>
      </w:r>
      <w:r>
        <w:rPr>
          <w:szCs w:val="24"/>
        </w:rPr>
        <w:tab/>
        <w:t>Fees</w:t>
      </w:r>
      <w:bookmarkEnd w:id="127"/>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8" w:name="_Toc185924974"/>
      <w:bookmarkStart w:id="129" w:name="_Toc185927612"/>
      <w:bookmarkStart w:id="130" w:name="_Toc185929837"/>
      <w:r>
        <w:rPr>
          <w:rStyle w:val="CharSchNo"/>
        </w:rPr>
        <w:lastRenderedPageBreak/>
        <w:t>Schedule 1</w:t>
      </w:r>
      <w:r>
        <w:rPr>
          <w:rStyle w:val="CharSDivNo"/>
        </w:rPr>
        <w:t> </w:t>
      </w:r>
      <w:r>
        <w:t>—</w:t>
      </w:r>
      <w:r>
        <w:rPr>
          <w:rStyle w:val="CharSDivText"/>
        </w:rPr>
        <w:t> </w:t>
      </w:r>
      <w:r>
        <w:rPr>
          <w:rStyle w:val="CharSchText"/>
        </w:rPr>
        <w:t>Content of safety management system</w:t>
      </w:r>
      <w:bookmarkEnd w:id="128"/>
      <w:bookmarkEnd w:id="129"/>
      <w:bookmarkEnd w:id="130"/>
    </w:p>
    <w:p>
      <w:pPr>
        <w:pStyle w:val="yHeading5"/>
      </w:pPr>
      <w:bookmarkStart w:id="131" w:name="_Toc185929838"/>
      <w:r>
        <w:rPr>
          <w:rStyle w:val="CharSClsNo"/>
        </w:rPr>
        <w:t>1</w:t>
      </w:r>
      <w:r>
        <w:t>.</w:t>
      </w:r>
      <w:r>
        <w:tab/>
        <w:t>Interpretation</w:t>
      </w:r>
      <w:bookmarkEnd w:id="131"/>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132" w:name="_Toc185929839"/>
      <w:r>
        <w:rPr>
          <w:rStyle w:val="CharSClsNo"/>
          <w:szCs w:val="22"/>
        </w:rPr>
        <w:t>2</w:t>
      </w:r>
      <w:r>
        <w:rPr>
          <w:szCs w:val="22"/>
        </w:rPr>
        <w:t>.</w:t>
      </w:r>
      <w:r>
        <w:rPr>
          <w:szCs w:val="22"/>
        </w:rPr>
        <w:tab/>
        <w:t>Safety policy</w:t>
      </w:r>
      <w:bookmarkEnd w:id="132"/>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133" w:name="_Toc185929840"/>
      <w:r>
        <w:rPr>
          <w:rStyle w:val="CharSClsNo"/>
          <w:szCs w:val="22"/>
        </w:rPr>
        <w:t>3</w:t>
      </w:r>
      <w:r>
        <w:rPr>
          <w:szCs w:val="22"/>
        </w:rPr>
        <w:t>.</w:t>
      </w:r>
      <w:r>
        <w:rPr>
          <w:szCs w:val="22"/>
        </w:rPr>
        <w:tab/>
        <w:t>Safety culture</w:t>
      </w:r>
      <w:bookmarkEnd w:id="133"/>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134" w:name="_Toc185929841"/>
      <w:r>
        <w:rPr>
          <w:rStyle w:val="CharSClsNo"/>
          <w:szCs w:val="22"/>
        </w:rPr>
        <w:lastRenderedPageBreak/>
        <w:t>4</w:t>
      </w:r>
      <w:r>
        <w:rPr>
          <w:szCs w:val="22"/>
        </w:rPr>
        <w:t>.</w:t>
      </w:r>
      <w:r>
        <w:rPr>
          <w:szCs w:val="22"/>
        </w:rPr>
        <w:tab/>
        <w:t>Governance and internal control arrangements</w:t>
      </w:r>
      <w:bookmarkEnd w:id="134"/>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135" w:name="_Toc185929842"/>
      <w:r>
        <w:rPr>
          <w:rStyle w:val="CharSClsNo"/>
          <w:szCs w:val="22"/>
        </w:rPr>
        <w:t>5</w:t>
      </w:r>
      <w:r>
        <w:rPr>
          <w:szCs w:val="22"/>
        </w:rPr>
        <w:t>.</w:t>
      </w:r>
      <w:r>
        <w:rPr>
          <w:szCs w:val="22"/>
        </w:rPr>
        <w:tab/>
        <w:t>Management, responsibilities, accountabilities and authorities</w:t>
      </w:r>
      <w:bookmarkEnd w:id="135"/>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136" w:name="_Toc185929843"/>
      <w:r>
        <w:rPr>
          <w:rStyle w:val="CharSClsNo"/>
          <w:szCs w:val="22"/>
        </w:rPr>
        <w:lastRenderedPageBreak/>
        <w:t>6</w:t>
      </w:r>
      <w:r>
        <w:rPr>
          <w:szCs w:val="22"/>
        </w:rPr>
        <w:t>.</w:t>
      </w:r>
      <w:r>
        <w:rPr>
          <w:szCs w:val="22"/>
        </w:rPr>
        <w:tab/>
        <w:t>Regulatory compliance</w:t>
      </w:r>
      <w:bookmarkEnd w:id="136"/>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137" w:name="_Toc185929844"/>
      <w:r>
        <w:rPr>
          <w:rStyle w:val="CharSClsNo"/>
          <w:szCs w:val="22"/>
        </w:rPr>
        <w:t>7</w:t>
      </w:r>
      <w:r>
        <w:rPr>
          <w:szCs w:val="22"/>
        </w:rPr>
        <w:t>.</w:t>
      </w:r>
      <w:r>
        <w:rPr>
          <w:szCs w:val="22"/>
        </w:rPr>
        <w:tab/>
        <w:t>Document control arrangements and information management</w:t>
      </w:r>
      <w:bookmarkEnd w:id="137"/>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138" w:name="_Toc185929845"/>
      <w:r>
        <w:rPr>
          <w:rStyle w:val="CharSClsNo"/>
          <w:szCs w:val="22"/>
        </w:rPr>
        <w:t>8</w:t>
      </w:r>
      <w:r>
        <w:rPr>
          <w:szCs w:val="22"/>
        </w:rPr>
        <w:t>.</w:t>
      </w:r>
      <w:r>
        <w:rPr>
          <w:szCs w:val="22"/>
        </w:rPr>
        <w:tab/>
        <w:t>Review of the safety management system</w:t>
      </w:r>
      <w:bookmarkEnd w:id="138"/>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139" w:name="_Toc185929846"/>
      <w:r>
        <w:rPr>
          <w:rStyle w:val="CharSClsNo"/>
        </w:rPr>
        <w:t>9</w:t>
      </w:r>
      <w:r>
        <w:t>.</w:t>
      </w:r>
      <w:r>
        <w:tab/>
        <w:t>Safety performance measures</w:t>
      </w:r>
      <w:bookmarkEnd w:id="139"/>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140" w:name="_Toc185929847"/>
      <w:r>
        <w:rPr>
          <w:rStyle w:val="CharSClsNo"/>
          <w:szCs w:val="22"/>
        </w:rPr>
        <w:lastRenderedPageBreak/>
        <w:t>10</w:t>
      </w:r>
      <w:r>
        <w:rPr>
          <w:szCs w:val="22"/>
        </w:rPr>
        <w:t>.</w:t>
      </w:r>
      <w:r>
        <w:rPr>
          <w:szCs w:val="22"/>
        </w:rPr>
        <w:tab/>
        <w:t>Safety audit arrangements</w:t>
      </w:r>
      <w:bookmarkEnd w:id="140"/>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141" w:name="_Toc185929848"/>
      <w:r>
        <w:rPr>
          <w:rStyle w:val="CharSClsNo"/>
          <w:szCs w:val="22"/>
        </w:rPr>
        <w:t>11</w:t>
      </w:r>
      <w:r>
        <w:rPr>
          <w:szCs w:val="22"/>
        </w:rPr>
        <w:t>.</w:t>
      </w:r>
      <w:r>
        <w:rPr>
          <w:szCs w:val="22"/>
        </w:rPr>
        <w:tab/>
        <w:t>Corrective action</w:t>
      </w:r>
      <w:bookmarkEnd w:id="141"/>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142" w:name="_Toc185929849"/>
      <w:r>
        <w:rPr>
          <w:rStyle w:val="CharSClsNo"/>
          <w:szCs w:val="22"/>
        </w:rPr>
        <w:t>12</w:t>
      </w:r>
      <w:r>
        <w:rPr>
          <w:szCs w:val="22"/>
        </w:rPr>
        <w:t>.</w:t>
      </w:r>
      <w:r>
        <w:rPr>
          <w:szCs w:val="22"/>
        </w:rPr>
        <w:tab/>
        <w:t>Management of change</w:t>
      </w:r>
      <w:bookmarkEnd w:id="142"/>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143" w:name="_Toc185929850"/>
      <w:r>
        <w:rPr>
          <w:rStyle w:val="CharSClsNo"/>
        </w:rPr>
        <w:t>13</w:t>
      </w:r>
      <w:r>
        <w:t>.</w:t>
      </w:r>
      <w:r>
        <w:tab/>
        <w:t>Consultation</w:t>
      </w:r>
      <w:bookmarkEnd w:id="143"/>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144" w:name="_Toc185929851"/>
      <w:r>
        <w:rPr>
          <w:rStyle w:val="CharSClsNo"/>
          <w:szCs w:val="22"/>
        </w:rPr>
        <w:lastRenderedPageBreak/>
        <w:t>14</w:t>
      </w:r>
      <w:r>
        <w:rPr>
          <w:szCs w:val="22"/>
        </w:rPr>
        <w:t>.</w:t>
      </w:r>
      <w:r>
        <w:rPr>
          <w:szCs w:val="22"/>
        </w:rPr>
        <w:tab/>
        <w:t>Internal communication</w:t>
      </w:r>
      <w:bookmarkEnd w:id="144"/>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145" w:name="_Toc185929852"/>
      <w:r>
        <w:rPr>
          <w:rStyle w:val="CharSClsNo"/>
          <w:szCs w:val="22"/>
        </w:rPr>
        <w:t>15</w:t>
      </w:r>
      <w:r>
        <w:rPr>
          <w:szCs w:val="22"/>
        </w:rPr>
        <w:t>.</w:t>
      </w:r>
      <w:r>
        <w:rPr>
          <w:szCs w:val="22"/>
        </w:rPr>
        <w:tab/>
        <w:t>Training and instruction</w:t>
      </w:r>
      <w:bookmarkEnd w:id="145"/>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146" w:name="_Toc185929853"/>
      <w:r>
        <w:rPr>
          <w:rStyle w:val="CharSClsNo"/>
          <w:szCs w:val="22"/>
        </w:rPr>
        <w:t>16</w:t>
      </w:r>
      <w:r>
        <w:rPr>
          <w:szCs w:val="22"/>
        </w:rPr>
        <w:t>.</w:t>
      </w:r>
      <w:r>
        <w:rPr>
          <w:szCs w:val="22"/>
        </w:rPr>
        <w:tab/>
        <w:t>Risk management</w:t>
      </w:r>
      <w:bookmarkEnd w:id="146"/>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147" w:name="_Toc185929854"/>
      <w:r>
        <w:rPr>
          <w:rStyle w:val="CharSClsNo"/>
          <w:szCs w:val="22"/>
        </w:rPr>
        <w:t>17</w:t>
      </w:r>
      <w:r>
        <w:rPr>
          <w:szCs w:val="22"/>
        </w:rPr>
        <w:t>.</w:t>
      </w:r>
      <w:r>
        <w:rPr>
          <w:szCs w:val="22"/>
        </w:rPr>
        <w:tab/>
        <w:t>Human factors</w:t>
      </w:r>
      <w:bookmarkEnd w:id="147"/>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148" w:name="_Toc185929855"/>
      <w:r>
        <w:rPr>
          <w:rStyle w:val="CharSClsNo"/>
          <w:szCs w:val="22"/>
        </w:rPr>
        <w:t>18</w:t>
      </w:r>
      <w:r>
        <w:rPr>
          <w:szCs w:val="22"/>
        </w:rPr>
        <w:t>.</w:t>
      </w:r>
      <w:r>
        <w:rPr>
          <w:szCs w:val="22"/>
        </w:rPr>
        <w:tab/>
        <w:t>Procurement and contract management</w:t>
      </w:r>
      <w:bookmarkEnd w:id="148"/>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149" w:name="_Toc185929856"/>
      <w:r>
        <w:rPr>
          <w:rStyle w:val="CharSClsNo"/>
          <w:szCs w:val="22"/>
        </w:rPr>
        <w:t>19</w:t>
      </w:r>
      <w:r>
        <w:rPr>
          <w:szCs w:val="22"/>
        </w:rPr>
        <w:t>.</w:t>
      </w:r>
      <w:r>
        <w:rPr>
          <w:szCs w:val="22"/>
        </w:rPr>
        <w:tab/>
        <w:t>General engineering and operational systems safety requirements</w:t>
      </w:r>
      <w:bookmarkEnd w:id="149"/>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150" w:name="_Toc185929857"/>
      <w:r>
        <w:rPr>
          <w:rStyle w:val="CharSClsNo"/>
          <w:szCs w:val="22"/>
        </w:rPr>
        <w:lastRenderedPageBreak/>
        <w:t>20</w:t>
      </w:r>
      <w:r>
        <w:rPr>
          <w:szCs w:val="22"/>
        </w:rPr>
        <w:t>.</w:t>
      </w:r>
      <w:r>
        <w:rPr>
          <w:szCs w:val="22"/>
        </w:rPr>
        <w:tab/>
        <w:t>Process control</w:t>
      </w:r>
      <w:bookmarkEnd w:id="150"/>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151" w:name="_Toc185929858"/>
      <w:r>
        <w:rPr>
          <w:rStyle w:val="CharSClsNo"/>
          <w:szCs w:val="22"/>
        </w:rPr>
        <w:t>21</w:t>
      </w:r>
      <w:r>
        <w:rPr>
          <w:szCs w:val="22"/>
        </w:rPr>
        <w:t>.</w:t>
      </w:r>
      <w:r>
        <w:rPr>
          <w:szCs w:val="22"/>
        </w:rPr>
        <w:tab/>
        <w:t>Asset management</w:t>
      </w:r>
      <w:bookmarkEnd w:id="151"/>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152" w:name="_Toc185929859"/>
      <w:r>
        <w:rPr>
          <w:rStyle w:val="CharSClsNo"/>
          <w:szCs w:val="22"/>
        </w:rPr>
        <w:t>22</w:t>
      </w:r>
      <w:r>
        <w:rPr>
          <w:szCs w:val="22"/>
        </w:rPr>
        <w:t>.</w:t>
      </w:r>
      <w:r>
        <w:rPr>
          <w:szCs w:val="22"/>
        </w:rPr>
        <w:tab/>
        <w:t>Safety interface coordination</w:t>
      </w:r>
      <w:bookmarkEnd w:id="152"/>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153" w:name="_Toc185929860"/>
      <w:r>
        <w:rPr>
          <w:rStyle w:val="CharSClsNo"/>
          <w:szCs w:val="22"/>
        </w:rPr>
        <w:t>23</w:t>
      </w:r>
      <w:r>
        <w:rPr>
          <w:szCs w:val="22"/>
        </w:rPr>
        <w:t>.</w:t>
      </w:r>
      <w:r>
        <w:rPr>
          <w:szCs w:val="22"/>
        </w:rPr>
        <w:tab/>
        <w:t>Management of notifiable occurrences</w:t>
      </w:r>
      <w:bookmarkEnd w:id="153"/>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154" w:name="_Toc185929861"/>
      <w:r>
        <w:rPr>
          <w:rStyle w:val="CharSClsNo"/>
          <w:szCs w:val="22"/>
        </w:rPr>
        <w:lastRenderedPageBreak/>
        <w:t>24</w:t>
      </w:r>
      <w:r>
        <w:rPr>
          <w:szCs w:val="22"/>
        </w:rPr>
        <w:t>.</w:t>
      </w:r>
      <w:r>
        <w:rPr>
          <w:szCs w:val="22"/>
        </w:rPr>
        <w:tab/>
        <w:t>Rail safety worker competence</w:t>
      </w:r>
      <w:bookmarkEnd w:id="154"/>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155" w:name="_Toc185929862"/>
      <w:r>
        <w:rPr>
          <w:rStyle w:val="CharSClsNo"/>
          <w:szCs w:val="22"/>
        </w:rPr>
        <w:t>25</w:t>
      </w:r>
      <w:r>
        <w:rPr>
          <w:szCs w:val="22"/>
        </w:rPr>
        <w:t>.</w:t>
      </w:r>
      <w:r>
        <w:rPr>
          <w:szCs w:val="22"/>
        </w:rPr>
        <w:tab/>
        <w:t>Security management</w:t>
      </w:r>
      <w:bookmarkEnd w:id="155"/>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156" w:name="_Toc185929863"/>
      <w:r>
        <w:rPr>
          <w:rStyle w:val="CharSClsNo"/>
          <w:szCs w:val="22"/>
        </w:rPr>
        <w:t>26</w:t>
      </w:r>
      <w:r>
        <w:rPr>
          <w:szCs w:val="22"/>
        </w:rPr>
        <w:t>.</w:t>
      </w:r>
      <w:r>
        <w:rPr>
          <w:szCs w:val="22"/>
        </w:rPr>
        <w:tab/>
        <w:t>Emergency management</w:t>
      </w:r>
      <w:bookmarkEnd w:id="156"/>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157" w:name="_Toc185929864"/>
      <w:r>
        <w:rPr>
          <w:rStyle w:val="CharSClsNo"/>
          <w:szCs w:val="22"/>
        </w:rPr>
        <w:t>27</w:t>
      </w:r>
      <w:r>
        <w:rPr>
          <w:szCs w:val="22"/>
        </w:rPr>
        <w:t>.</w:t>
      </w:r>
      <w:r>
        <w:rPr>
          <w:szCs w:val="22"/>
        </w:rPr>
        <w:tab/>
        <w:t>Health and fitness</w:t>
      </w:r>
      <w:bookmarkEnd w:id="157"/>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158" w:name="_Toc185929865"/>
      <w:r>
        <w:rPr>
          <w:rStyle w:val="CharSClsNo"/>
          <w:szCs w:val="22"/>
        </w:rPr>
        <w:t>28</w:t>
      </w:r>
      <w:r>
        <w:rPr>
          <w:szCs w:val="22"/>
        </w:rPr>
        <w:t>.</w:t>
      </w:r>
      <w:r>
        <w:rPr>
          <w:szCs w:val="22"/>
        </w:rPr>
        <w:tab/>
        <w:t>Drugs and alcohol</w:t>
      </w:r>
      <w:bookmarkEnd w:id="158"/>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159" w:name="_Toc185929866"/>
      <w:r>
        <w:rPr>
          <w:rStyle w:val="CharSClsNo"/>
          <w:szCs w:val="22"/>
        </w:rPr>
        <w:t>29</w:t>
      </w:r>
      <w:r>
        <w:rPr>
          <w:szCs w:val="22"/>
        </w:rPr>
        <w:t>.</w:t>
      </w:r>
      <w:r>
        <w:rPr>
          <w:szCs w:val="22"/>
        </w:rPr>
        <w:tab/>
        <w:t>Fatigue risk management</w:t>
      </w:r>
      <w:bookmarkEnd w:id="159"/>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160" w:name="_Toc185929867"/>
      <w:r>
        <w:rPr>
          <w:rStyle w:val="CharSClsNo"/>
          <w:szCs w:val="22"/>
        </w:rPr>
        <w:lastRenderedPageBreak/>
        <w:t>30</w:t>
      </w:r>
      <w:r>
        <w:rPr>
          <w:szCs w:val="22"/>
        </w:rPr>
        <w:t>.</w:t>
      </w:r>
      <w:r>
        <w:rPr>
          <w:szCs w:val="22"/>
        </w:rPr>
        <w:tab/>
        <w:t>Resource availability</w:t>
      </w:r>
      <w:bookmarkEnd w:id="160"/>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161" w:name="_Toc185925005"/>
      <w:bookmarkStart w:id="162" w:name="_Toc185927643"/>
      <w:bookmarkStart w:id="163" w:name="_Toc185929868"/>
      <w:r>
        <w:rPr>
          <w:rStyle w:val="CharSchNo"/>
        </w:rPr>
        <w:lastRenderedPageBreak/>
        <w:t>Schedule 1A</w:t>
      </w:r>
      <w:r>
        <w:t> — </w:t>
      </w:r>
      <w:r>
        <w:rPr>
          <w:rStyle w:val="CharSchText"/>
        </w:rPr>
        <w:t>Notifiable occurrences</w:t>
      </w:r>
      <w:bookmarkEnd w:id="161"/>
      <w:bookmarkEnd w:id="162"/>
      <w:bookmarkEnd w:id="163"/>
    </w:p>
    <w:p>
      <w:pPr>
        <w:pStyle w:val="yHeading3"/>
      </w:pPr>
      <w:bookmarkStart w:id="164" w:name="_Toc185925006"/>
      <w:bookmarkStart w:id="165" w:name="_Toc185927644"/>
      <w:bookmarkStart w:id="166" w:name="_Toc185929869"/>
      <w:r>
        <w:rPr>
          <w:rStyle w:val="CharSDivNo"/>
        </w:rPr>
        <w:t>Part 1</w:t>
      </w:r>
      <w:r>
        <w:t> — </w:t>
      </w:r>
      <w:r>
        <w:rPr>
          <w:rStyle w:val="CharSDivText"/>
        </w:rPr>
        <w:t>Category A notifiable occurrences</w:t>
      </w:r>
      <w:bookmarkEnd w:id="164"/>
      <w:bookmarkEnd w:id="165"/>
      <w:bookmarkEnd w:id="166"/>
    </w:p>
    <w:p>
      <w:pPr>
        <w:pStyle w:val="yHeading5"/>
        <w:rPr>
          <w:szCs w:val="22"/>
        </w:rPr>
      </w:pPr>
      <w:bookmarkStart w:id="167" w:name="_Toc185929870"/>
      <w:r>
        <w:rPr>
          <w:rStyle w:val="CharSClsNo"/>
          <w:szCs w:val="22"/>
        </w:rPr>
        <w:t>1</w:t>
      </w:r>
      <w:r>
        <w:rPr>
          <w:szCs w:val="22"/>
        </w:rPr>
        <w:t>.</w:t>
      </w:r>
      <w:r>
        <w:rPr>
          <w:szCs w:val="22"/>
        </w:rPr>
        <w:tab/>
        <w:t>Collisions and near hits</w:t>
      </w:r>
      <w:bookmarkEnd w:id="167"/>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168" w:name="_Toc185929871"/>
      <w:r>
        <w:rPr>
          <w:rStyle w:val="CharSClsNo"/>
        </w:rPr>
        <w:t>2</w:t>
      </w:r>
      <w:r>
        <w:t>.</w:t>
      </w:r>
      <w:r>
        <w:tab/>
        <w:t>De</w:t>
      </w:r>
      <w:r>
        <w:rPr>
          <w:szCs w:val="22"/>
        </w:rPr>
        <w:t>railment</w:t>
      </w:r>
      <w:bookmarkEnd w:id="168"/>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169" w:name="_Toc185929872"/>
      <w:r>
        <w:rPr>
          <w:rStyle w:val="CharSClsNo"/>
          <w:szCs w:val="22"/>
        </w:rPr>
        <w:lastRenderedPageBreak/>
        <w:t>3</w:t>
      </w:r>
      <w:r>
        <w:rPr>
          <w:szCs w:val="22"/>
        </w:rPr>
        <w:t>.</w:t>
      </w:r>
      <w:r>
        <w:rPr>
          <w:szCs w:val="22"/>
        </w:rPr>
        <w:tab/>
        <w:t>Wrong side failure</w:t>
      </w:r>
      <w:bookmarkEnd w:id="169"/>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170" w:name="_Toc185929873"/>
      <w:r>
        <w:rPr>
          <w:rStyle w:val="CharSClsNo"/>
          <w:szCs w:val="22"/>
        </w:rPr>
        <w:t>4</w:t>
      </w:r>
      <w:r>
        <w:rPr>
          <w:szCs w:val="22"/>
        </w:rPr>
        <w:t>.</w:t>
      </w:r>
      <w:r>
        <w:rPr>
          <w:szCs w:val="22"/>
        </w:rPr>
        <w:tab/>
        <w:t>Proceed authority exceeded</w:t>
      </w:r>
      <w:bookmarkEnd w:id="170"/>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171" w:name="_Toc185929874"/>
      <w:r>
        <w:rPr>
          <w:rStyle w:val="CharSClsNo"/>
          <w:szCs w:val="22"/>
        </w:rPr>
        <w:t>5</w:t>
      </w:r>
      <w:r>
        <w:rPr>
          <w:szCs w:val="22"/>
        </w:rPr>
        <w:t>.</w:t>
      </w:r>
      <w:r>
        <w:rPr>
          <w:szCs w:val="22"/>
        </w:rPr>
        <w:tab/>
        <w:t>Rolling stock runaway</w:t>
      </w:r>
      <w:bookmarkEnd w:id="171"/>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172" w:name="_Toc185929875"/>
      <w:r>
        <w:rPr>
          <w:rStyle w:val="CharSClsNo"/>
        </w:rPr>
        <w:t>6</w:t>
      </w:r>
      <w:r>
        <w:t>.</w:t>
      </w:r>
      <w:r>
        <w:tab/>
      </w:r>
      <w:r>
        <w:rPr>
          <w:szCs w:val="22"/>
        </w:rPr>
        <w:t>Fire, explosion or dangerous goods spill</w:t>
      </w:r>
      <w:bookmarkEnd w:id="172"/>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173" w:name="_Toc185929876"/>
      <w:r>
        <w:rPr>
          <w:rStyle w:val="CharSClsNo"/>
          <w:szCs w:val="22"/>
        </w:rPr>
        <w:t>7</w:t>
      </w:r>
      <w:r>
        <w:rPr>
          <w:szCs w:val="22"/>
        </w:rPr>
        <w:t>.</w:t>
      </w:r>
      <w:r>
        <w:rPr>
          <w:szCs w:val="22"/>
        </w:rPr>
        <w:tab/>
        <w:t>Breach of network rules or procedures</w:t>
      </w:r>
      <w:bookmarkEnd w:id="173"/>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174" w:name="_Toc185929877"/>
      <w:r>
        <w:rPr>
          <w:rStyle w:val="CharSClsNo"/>
          <w:szCs w:val="22"/>
        </w:rPr>
        <w:t>8</w:t>
      </w:r>
      <w:r>
        <w:rPr>
          <w:szCs w:val="22"/>
        </w:rPr>
        <w:t>.</w:t>
      </w:r>
      <w:r>
        <w:rPr>
          <w:szCs w:val="22"/>
        </w:rPr>
        <w:tab/>
        <w:t>Load irregularity</w:t>
      </w:r>
      <w:bookmarkEnd w:id="174"/>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175" w:name="_Toc185929878"/>
      <w:r>
        <w:rPr>
          <w:rStyle w:val="CharSClsNo"/>
          <w:szCs w:val="22"/>
        </w:rPr>
        <w:lastRenderedPageBreak/>
        <w:t>9</w:t>
      </w:r>
      <w:r>
        <w:rPr>
          <w:szCs w:val="22"/>
        </w:rPr>
        <w:t>.</w:t>
      </w:r>
      <w:r>
        <w:rPr>
          <w:szCs w:val="22"/>
        </w:rPr>
        <w:tab/>
        <w:t>Rolling stock irregularity (including monitoring systems)</w:t>
      </w:r>
      <w:bookmarkEnd w:id="175"/>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176" w:name="_Toc185929879"/>
      <w:r>
        <w:rPr>
          <w:rStyle w:val="CharSClsNo"/>
          <w:szCs w:val="22"/>
        </w:rPr>
        <w:t>10</w:t>
      </w:r>
      <w:r>
        <w:rPr>
          <w:szCs w:val="22"/>
        </w:rPr>
        <w:t>.</w:t>
      </w:r>
      <w:r>
        <w:rPr>
          <w:szCs w:val="22"/>
        </w:rPr>
        <w:tab/>
        <w:t>Track irregularity</w:t>
      </w:r>
      <w:bookmarkEnd w:id="176"/>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177" w:name="_Toc185929880"/>
      <w:r>
        <w:rPr>
          <w:rStyle w:val="CharSClsNo"/>
          <w:szCs w:val="22"/>
        </w:rPr>
        <w:t>11</w:t>
      </w:r>
      <w:r>
        <w:rPr>
          <w:szCs w:val="22"/>
        </w:rPr>
        <w:t>.</w:t>
      </w:r>
      <w:r>
        <w:rPr>
          <w:szCs w:val="22"/>
        </w:rPr>
        <w:tab/>
        <w:t>Civil infrastructure irregularity</w:t>
      </w:r>
      <w:bookmarkEnd w:id="177"/>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178" w:name="_Toc185929881"/>
      <w:r>
        <w:rPr>
          <w:rStyle w:val="CharSClsNo"/>
          <w:szCs w:val="22"/>
        </w:rPr>
        <w:t>12</w:t>
      </w:r>
      <w:r>
        <w:rPr>
          <w:szCs w:val="22"/>
        </w:rPr>
        <w:t>.</w:t>
      </w:r>
      <w:r>
        <w:rPr>
          <w:szCs w:val="22"/>
        </w:rPr>
        <w:tab/>
        <w:t>Electrical traction irregularity</w:t>
      </w:r>
      <w:bookmarkEnd w:id="178"/>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179" w:name="_Toc185929882"/>
      <w:r>
        <w:rPr>
          <w:rStyle w:val="CharSClsNo"/>
          <w:szCs w:val="22"/>
        </w:rPr>
        <w:t>13</w:t>
      </w:r>
      <w:r>
        <w:rPr>
          <w:szCs w:val="22"/>
        </w:rPr>
        <w:t>.</w:t>
      </w:r>
      <w:r>
        <w:rPr>
          <w:szCs w:val="22"/>
        </w:rPr>
        <w:tab/>
        <w:t>Incidents at person and train interfaces</w:t>
      </w:r>
      <w:bookmarkEnd w:id="179"/>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180" w:name="_Toc185929883"/>
      <w:r>
        <w:rPr>
          <w:rStyle w:val="CharSClsNo"/>
          <w:szCs w:val="22"/>
        </w:rPr>
        <w:t>14</w:t>
      </w:r>
      <w:r>
        <w:rPr>
          <w:szCs w:val="22"/>
        </w:rPr>
        <w:t>.</w:t>
      </w:r>
      <w:r>
        <w:rPr>
          <w:szCs w:val="22"/>
        </w:rPr>
        <w:tab/>
        <w:t>Other incidents or accidents involving serious injury or fatality</w:t>
      </w:r>
      <w:bookmarkEnd w:id="180"/>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181" w:name="_Toc185929884"/>
      <w:r>
        <w:rPr>
          <w:rStyle w:val="CharSClsNo"/>
          <w:szCs w:val="22"/>
        </w:rPr>
        <w:t>15</w:t>
      </w:r>
      <w:r>
        <w:rPr>
          <w:szCs w:val="22"/>
        </w:rPr>
        <w:t>.</w:t>
      </w:r>
      <w:r>
        <w:rPr>
          <w:szCs w:val="22"/>
        </w:rPr>
        <w:tab/>
        <w:t>Other incidents or accidents directly threatening rail safety</w:t>
      </w:r>
      <w:bookmarkEnd w:id="181"/>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182" w:name="_Toc185925022"/>
      <w:bookmarkStart w:id="183" w:name="_Toc185927660"/>
      <w:bookmarkStart w:id="184" w:name="_Toc185929885"/>
      <w:r>
        <w:rPr>
          <w:rStyle w:val="CharSDivNo"/>
        </w:rPr>
        <w:lastRenderedPageBreak/>
        <w:t>Part 2</w:t>
      </w:r>
      <w:r>
        <w:t> — </w:t>
      </w:r>
      <w:r>
        <w:rPr>
          <w:rStyle w:val="CharSDivText"/>
        </w:rPr>
        <w:t>Category B notifiable occurrences</w:t>
      </w:r>
      <w:bookmarkEnd w:id="182"/>
      <w:bookmarkEnd w:id="183"/>
      <w:bookmarkEnd w:id="184"/>
    </w:p>
    <w:p>
      <w:pPr>
        <w:pStyle w:val="yHeading5"/>
        <w:rPr>
          <w:szCs w:val="22"/>
        </w:rPr>
      </w:pPr>
      <w:bookmarkStart w:id="185" w:name="_Toc185929886"/>
      <w:r>
        <w:rPr>
          <w:rStyle w:val="CharSClsNo"/>
          <w:szCs w:val="22"/>
        </w:rPr>
        <w:t>16</w:t>
      </w:r>
      <w:r>
        <w:rPr>
          <w:szCs w:val="22"/>
        </w:rPr>
        <w:t>.</w:t>
      </w:r>
      <w:r>
        <w:rPr>
          <w:szCs w:val="22"/>
        </w:rPr>
        <w:tab/>
        <w:t>Collisions and near hits</w:t>
      </w:r>
      <w:bookmarkEnd w:id="185"/>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186" w:name="_Toc185929887"/>
      <w:r>
        <w:rPr>
          <w:rStyle w:val="CharSClsNo"/>
        </w:rPr>
        <w:t>17</w:t>
      </w:r>
      <w:r>
        <w:t>.</w:t>
      </w:r>
      <w:r>
        <w:tab/>
        <w:t>Derailment</w:t>
      </w:r>
      <w:bookmarkEnd w:id="186"/>
    </w:p>
    <w:p>
      <w:pPr>
        <w:pStyle w:val="ySubsection"/>
        <w:rPr>
          <w:szCs w:val="22"/>
        </w:rPr>
      </w:pPr>
      <w:r>
        <w:rPr>
          <w:szCs w:val="22"/>
        </w:rPr>
        <w:tab/>
      </w:r>
      <w:r>
        <w:rPr>
          <w:szCs w:val="22"/>
        </w:rPr>
        <w:tab/>
        <w:t>A derailment that is not a Category A notifiable occurrence.</w:t>
      </w:r>
    </w:p>
    <w:p>
      <w:pPr>
        <w:pStyle w:val="yHeading5"/>
        <w:rPr>
          <w:szCs w:val="22"/>
        </w:rPr>
      </w:pPr>
      <w:bookmarkStart w:id="187" w:name="_Toc185929888"/>
      <w:r>
        <w:rPr>
          <w:rStyle w:val="CharSClsNo"/>
          <w:szCs w:val="22"/>
        </w:rPr>
        <w:t>18</w:t>
      </w:r>
      <w:r>
        <w:rPr>
          <w:szCs w:val="22"/>
        </w:rPr>
        <w:t>.</w:t>
      </w:r>
      <w:r>
        <w:rPr>
          <w:szCs w:val="22"/>
        </w:rPr>
        <w:tab/>
        <w:t>Proceed authority exceeded</w:t>
      </w:r>
      <w:bookmarkEnd w:id="187"/>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188" w:name="_Toc185929889"/>
      <w:r>
        <w:rPr>
          <w:rStyle w:val="CharSClsNo"/>
          <w:szCs w:val="22"/>
        </w:rPr>
        <w:lastRenderedPageBreak/>
        <w:t>19</w:t>
      </w:r>
      <w:r>
        <w:rPr>
          <w:szCs w:val="22"/>
        </w:rPr>
        <w:t>.</w:t>
      </w:r>
      <w:r>
        <w:rPr>
          <w:szCs w:val="22"/>
        </w:rPr>
        <w:tab/>
        <w:t>Rolling stock runaway</w:t>
      </w:r>
      <w:bookmarkEnd w:id="188"/>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189" w:name="_Toc185929890"/>
      <w:r>
        <w:rPr>
          <w:rStyle w:val="CharSClsNo"/>
          <w:szCs w:val="22"/>
        </w:rPr>
        <w:t>20</w:t>
      </w:r>
      <w:r>
        <w:rPr>
          <w:szCs w:val="22"/>
        </w:rPr>
        <w:t>.</w:t>
      </w:r>
      <w:r>
        <w:rPr>
          <w:szCs w:val="22"/>
        </w:rPr>
        <w:tab/>
        <w:t>Fire, explosion or spill of dangerous goods</w:t>
      </w:r>
      <w:bookmarkEnd w:id="189"/>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190" w:name="_Toc185929891"/>
      <w:r>
        <w:rPr>
          <w:rStyle w:val="CharSClsNo"/>
          <w:szCs w:val="22"/>
        </w:rPr>
        <w:t>21</w:t>
      </w:r>
      <w:r>
        <w:rPr>
          <w:szCs w:val="22"/>
        </w:rPr>
        <w:t>.</w:t>
      </w:r>
      <w:r>
        <w:rPr>
          <w:szCs w:val="22"/>
        </w:rPr>
        <w:tab/>
        <w:t>Breach of network rules or procedures</w:t>
      </w:r>
      <w:bookmarkEnd w:id="190"/>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191" w:name="_Toc185929892"/>
      <w:r>
        <w:rPr>
          <w:rStyle w:val="CharSClsNo"/>
          <w:szCs w:val="22"/>
        </w:rPr>
        <w:lastRenderedPageBreak/>
        <w:t>22</w:t>
      </w:r>
      <w:r>
        <w:rPr>
          <w:szCs w:val="22"/>
        </w:rPr>
        <w:t>.</w:t>
      </w:r>
      <w:r>
        <w:rPr>
          <w:szCs w:val="22"/>
        </w:rPr>
        <w:tab/>
        <w:t>Rolling stock irregularity (including monitoring systems)</w:t>
      </w:r>
      <w:bookmarkEnd w:id="191"/>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192" w:name="_Toc185929893"/>
      <w:r>
        <w:rPr>
          <w:rStyle w:val="CharSClsNo"/>
          <w:szCs w:val="22"/>
        </w:rPr>
        <w:t>23</w:t>
      </w:r>
      <w:r>
        <w:rPr>
          <w:szCs w:val="22"/>
        </w:rPr>
        <w:t>.</w:t>
      </w:r>
      <w:r>
        <w:rPr>
          <w:szCs w:val="22"/>
        </w:rPr>
        <w:tab/>
        <w:t>Track irregularity</w:t>
      </w:r>
      <w:bookmarkEnd w:id="192"/>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193" w:name="_Toc185929894"/>
      <w:r>
        <w:rPr>
          <w:rStyle w:val="CharSClsNo"/>
        </w:rPr>
        <w:t>24</w:t>
      </w:r>
      <w:r>
        <w:t>.</w:t>
      </w:r>
      <w:r>
        <w:tab/>
        <w:t>Other incidents or accidents involving serious injury or fatality</w:t>
      </w:r>
      <w:bookmarkEnd w:id="193"/>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194" w:name="_Toc185925032"/>
      <w:bookmarkStart w:id="195" w:name="_Toc185927670"/>
      <w:bookmarkStart w:id="196" w:name="_Toc185929895"/>
      <w:r>
        <w:rPr>
          <w:rStyle w:val="CharSDivNo"/>
        </w:rPr>
        <w:lastRenderedPageBreak/>
        <w:t>Part 3</w:t>
      </w:r>
      <w:r>
        <w:t> — </w:t>
      </w:r>
      <w:r>
        <w:rPr>
          <w:rStyle w:val="CharSDivText"/>
        </w:rPr>
        <w:t>Category C notifiable occurrences</w:t>
      </w:r>
      <w:bookmarkEnd w:id="194"/>
      <w:bookmarkEnd w:id="195"/>
      <w:bookmarkEnd w:id="196"/>
    </w:p>
    <w:p>
      <w:pPr>
        <w:pStyle w:val="yHeading5"/>
        <w:rPr>
          <w:szCs w:val="22"/>
        </w:rPr>
      </w:pPr>
      <w:bookmarkStart w:id="197" w:name="_Toc185929896"/>
      <w:r>
        <w:rPr>
          <w:rStyle w:val="CharSClsNo"/>
          <w:szCs w:val="22"/>
        </w:rPr>
        <w:t>25</w:t>
      </w:r>
      <w:r>
        <w:rPr>
          <w:szCs w:val="22"/>
        </w:rPr>
        <w:t>.</w:t>
      </w:r>
      <w:r>
        <w:rPr>
          <w:szCs w:val="22"/>
        </w:rPr>
        <w:tab/>
        <w:t>Collisions and near hits</w:t>
      </w:r>
      <w:bookmarkEnd w:id="197"/>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198" w:name="_Toc185929897"/>
      <w:r>
        <w:rPr>
          <w:rStyle w:val="CharSClsNo"/>
          <w:szCs w:val="22"/>
        </w:rPr>
        <w:t>26</w:t>
      </w:r>
      <w:r>
        <w:rPr>
          <w:szCs w:val="22"/>
        </w:rPr>
        <w:t>.</w:t>
      </w:r>
      <w:r>
        <w:rPr>
          <w:szCs w:val="22"/>
        </w:rPr>
        <w:tab/>
        <w:t>Proceed authority exceeded</w:t>
      </w:r>
      <w:bookmarkEnd w:id="198"/>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199" w:name="_Toc185929898"/>
      <w:r>
        <w:rPr>
          <w:rStyle w:val="CharSClsNo"/>
          <w:szCs w:val="22"/>
        </w:rPr>
        <w:t>27</w:t>
      </w:r>
      <w:r>
        <w:rPr>
          <w:szCs w:val="22"/>
        </w:rPr>
        <w:t>.</w:t>
      </w:r>
      <w:r>
        <w:rPr>
          <w:szCs w:val="22"/>
        </w:rPr>
        <w:tab/>
        <w:t>Rolling stock runaway</w:t>
      </w:r>
      <w:bookmarkEnd w:id="199"/>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200" w:name="_Toc185929899"/>
      <w:r>
        <w:rPr>
          <w:rStyle w:val="CharSClsNo"/>
          <w:szCs w:val="22"/>
        </w:rPr>
        <w:t>28</w:t>
      </w:r>
      <w:r>
        <w:rPr>
          <w:szCs w:val="22"/>
        </w:rPr>
        <w:t>.</w:t>
      </w:r>
      <w:r>
        <w:rPr>
          <w:szCs w:val="22"/>
        </w:rPr>
        <w:tab/>
        <w:t>Breach of network rules or procedures</w:t>
      </w:r>
      <w:bookmarkEnd w:id="200"/>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201" w:name="_Toc185929900"/>
      <w:r>
        <w:rPr>
          <w:rStyle w:val="CharSClsNo"/>
          <w:szCs w:val="22"/>
        </w:rPr>
        <w:lastRenderedPageBreak/>
        <w:t>29</w:t>
      </w:r>
      <w:r>
        <w:rPr>
          <w:szCs w:val="22"/>
        </w:rPr>
        <w:t>.</w:t>
      </w:r>
      <w:r>
        <w:rPr>
          <w:szCs w:val="22"/>
        </w:rPr>
        <w:tab/>
        <w:t>Load irregularity</w:t>
      </w:r>
      <w:bookmarkEnd w:id="201"/>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202" w:name="_Toc185929901"/>
      <w:r>
        <w:rPr>
          <w:rStyle w:val="CharSClsNo"/>
          <w:szCs w:val="22"/>
        </w:rPr>
        <w:t>30</w:t>
      </w:r>
      <w:r>
        <w:rPr>
          <w:szCs w:val="22"/>
        </w:rPr>
        <w:t>.</w:t>
      </w:r>
      <w:r>
        <w:rPr>
          <w:szCs w:val="22"/>
        </w:rPr>
        <w:tab/>
        <w:t>Rolling stock irregularity (including monitoring systems)</w:t>
      </w:r>
      <w:bookmarkEnd w:id="202"/>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203" w:name="_Toc185929902"/>
      <w:r>
        <w:rPr>
          <w:rStyle w:val="CharSClsNo"/>
          <w:szCs w:val="22"/>
        </w:rPr>
        <w:t>31</w:t>
      </w:r>
      <w:r>
        <w:rPr>
          <w:szCs w:val="22"/>
        </w:rPr>
        <w:t>.</w:t>
      </w:r>
      <w:r>
        <w:rPr>
          <w:szCs w:val="22"/>
        </w:rPr>
        <w:tab/>
        <w:t>Level crossing irregularity</w:t>
      </w:r>
      <w:bookmarkEnd w:id="203"/>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204" w:name="_Toc185929903"/>
      <w:r>
        <w:rPr>
          <w:rStyle w:val="CharSClsNo"/>
          <w:szCs w:val="22"/>
        </w:rPr>
        <w:lastRenderedPageBreak/>
        <w:t>32</w:t>
      </w:r>
      <w:r>
        <w:rPr>
          <w:szCs w:val="22"/>
        </w:rPr>
        <w:t>.</w:t>
      </w:r>
      <w:r>
        <w:rPr>
          <w:szCs w:val="22"/>
        </w:rPr>
        <w:tab/>
        <w:t>Track irregularity</w:t>
      </w:r>
      <w:bookmarkEnd w:id="204"/>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205" w:name="_Toc185929904"/>
      <w:r>
        <w:rPr>
          <w:rStyle w:val="CharSClsNo"/>
          <w:szCs w:val="22"/>
        </w:rPr>
        <w:t>33</w:t>
      </w:r>
      <w:r>
        <w:rPr>
          <w:szCs w:val="22"/>
        </w:rPr>
        <w:t>.</w:t>
      </w:r>
      <w:r>
        <w:rPr>
          <w:szCs w:val="22"/>
        </w:rPr>
        <w:tab/>
        <w:t>Civil infrastructure irregularity</w:t>
      </w:r>
      <w:bookmarkEnd w:id="205"/>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206" w:name="_Toc185929905"/>
      <w:r>
        <w:rPr>
          <w:rStyle w:val="CharSClsNo"/>
          <w:szCs w:val="22"/>
        </w:rPr>
        <w:t>34</w:t>
      </w:r>
      <w:r>
        <w:rPr>
          <w:szCs w:val="22"/>
        </w:rPr>
        <w:t>.</w:t>
      </w:r>
      <w:r>
        <w:rPr>
          <w:szCs w:val="22"/>
        </w:rPr>
        <w:tab/>
        <w:t>Electrical traction irregularity</w:t>
      </w:r>
      <w:bookmarkEnd w:id="206"/>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207" w:name="_Toc185929906"/>
      <w:r>
        <w:rPr>
          <w:rStyle w:val="CharSClsNo"/>
        </w:rPr>
        <w:lastRenderedPageBreak/>
        <w:t>35</w:t>
      </w:r>
      <w:r>
        <w:t>.</w:t>
      </w:r>
      <w:r>
        <w:tab/>
        <w:t>I</w:t>
      </w:r>
      <w:r>
        <w:rPr>
          <w:szCs w:val="22"/>
        </w:rPr>
        <w:t>ncidents at person and train interfaces</w:t>
      </w:r>
      <w:bookmarkEnd w:id="207"/>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208" w:name="_Toc185925044"/>
      <w:bookmarkStart w:id="209" w:name="_Toc185927682"/>
      <w:bookmarkStart w:id="210" w:name="_Toc185929907"/>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208"/>
      <w:bookmarkEnd w:id="209"/>
      <w:bookmarkEnd w:id="210"/>
    </w:p>
    <w:p>
      <w:pPr>
        <w:pStyle w:val="yHeading3"/>
      </w:pPr>
      <w:bookmarkStart w:id="211" w:name="_Toc185925045"/>
      <w:bookmarkStart w:id="212" w:name="_Toc185927683"/>
      <w:bookmarkStart w:id="213" w:name="_Toc185929908"/>
      <w:r>
        <w:rPr>
          <w:rStyle w:val="CharSDivNo"/>
        </w:rPr>
        <w:t>Part 1</w:t>
      </w:r>
      <w:r>
        <w:t> — </w:t>
      </w:r>
      <w:r>
        <w:rPr>
          <w:rStyle w:val="CharSDivText"/>
        </w:rPr>
        <w:t>New South Wales requirements</w:t>
      </w:r>
      <w:bookmarkEnd w:id="211"/>
      <w:bookmarkEnd w:id="212"/>
      <w:bookmarkEnd w:id="213"/>
    </w:p>
    <w:p>
      <w:pPr>
        <w:pStyle w:val="yHeading5"/>
        <w:rPr>
          <w:szCs w:val="22"/>
        </w:rPr>
      </w:pPr>
      <w:bookmarkStart w:id="214" w:name="_Toc185929909"/>
      <w:r>
        <w:rPr>
          <w:rStyle w:val="CharSClsNo"/>
          <w:szCs w:val="22"/>
        </w:rPr>
        <w:t>1</w:t>
      </w:r>
      <w:r>
        <w:rPr>
          <w:szCs w:val="22"/>
        </w:rPr>
        <w:t>.</w:t>
      </w:r>
      <w:r>
        <w:rPr>
          <w:szCs w:val="22"/>
        </w:rPr>
        <w:tab/>
        <w:t>Interpretation</w:t>
      </w:r>
      <w:bookmarkEnd w:id="214"/>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215" w:name="_Toc185929910"/>
      <w:r>
        <w:rPr>
          <w:rStyle w:val="CharSClsNo"/>
          <w:szCs w:val="22"/>
        </w:rPr>
        <w:t>2</w:t>
      </w:r>
      <w:r>
        <w:rPr>
          <w:szCs w:val="22"/>
        </w:rPr>
        <w:t>.</w:t>
      </w:r>
      <w:r>
        <w:rPr>
          <w:szCs w:val="22"/>
        </w:rPr>
        <w:tab/>
        <w:t>Working hours for rail safety workers driving freight trains</w:t>
      </w:r>
      <w:bookmarkEnd w:id="215"/>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216" w:name="_Toc185929911"/>
      <w:r>
        <w:rPr>
          <w:rStyle w:val="CharSClsNo"/>
          <w:szCs w:val="22"/>
        </w:rPr>
        <w:t>3</w:t>
      </w:r>
      <w:r>
        <w:rPr>
          <w:szCs w:val="22"/>
        </w:rPr>
        <w:t>.</w:t>
      </w:r>
      <w:r>
        <w:rPr>
          <w:szCs w:val="22"/>
        </w:rPr>
        <w:tab/>
        <w:t>Working hours for rail safety worker driving passenger train — single manning operation</w:t>
      </w:r>
      <w:bookmarkEnd w:id="216"/>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217" w:name="_Toc185929912"/>
      <w:r>
        <w:rPr>
          <w:rStyle w:val="CharSClsNo"/>
          <w:szCs w:val="22"/>
        </w:rPr>
        <w:t>4</w:t>
      </w:r>
      <w:r>
        <w:rPr>
          <w:szCs w:val="22"/>
        </w:rPr>
        <w:t>.</w:t>
      </w:r>
      <w:r>
        <w:rPr>
          <w:szCs w:val="22"/>
        </w:rPr>
        <w:tab/>
        <w:t>Working hours for rail safety worker driving passenger train — 2 person operation</w:t>
      </w:r>
      <w:bookmarkEnd w:id="217"/>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218" w:name="_Toc185929913"/>
      <w:r>
        <w:rPr>
          <w:rStyle w:val="CharSClsNo"/>
        </w:rPr>
        <w:t>5</w:t>
      </w:r>
      <w:r>
        <w:t>.</w:t>
      </w:r>
      <w:r>
        <w:tab/>
        <w:t>Train drivers who are transported to home depot or rest place</w:t>
      </w:r>
      <w:bookmarkEnd w:id="218"/>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19" w:name="_Toc185929914"/>
      <w:r>
        <w:rPr>
          <w:rStyle w:val="CharSClsNo"/>
          <w:szCs w:val="22"/>
        </w:rPr>
        <w:lastRenderedPageBreak/>
        <w:t>6</w:t>
      </w:r>
      <w:r>
        <w:rPr>
          <w:szCs w:val="22"/>
        </w:rPr>
        <w:t>.</w:t>
      </w:r>
      <w:r>
        <w:rPr>
          <w:szCs w:val="22"/>
        </w:rPr>
        <w:tab/>
        <w:t>Emergencies and accidents</w:t>
      </w:r>
      <w:bookmarkEnd w:id="219"/>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220" w:name="_Toc185925052"/>
      <w:bookmarkStart w:id="221" w:name="_Toc185927690"/>
      <w:bookmarkStart w:id="222" w:name="_Toc185929915"/>
      <w:r>
        <w:rPr>
          <w:rStyle w:val="CharSDivNo"/>
        </w:rPr>
        <w:t>Part 2</w:t>
      </w:r>
      <w:r>
        <w:t> — </w:t>
      </w:r>
      <w:r>
        <w:rPr>
          <w:rStyle w:val="CharSDivText"/>
        </w:rPr>
        <w:t>Queensland requirements</w:t>
      </w:r>
      <w:bookmarkEnd w:id="220"/>
      <w:bookmarkEnd w:id="221"/>
      <w:bookmarkEnd w:id="222"/>
    </w:p>
    <w:p>
      <w:pPr>
        <w:pStyle w:val="yHeading5"/>
        <w:rPr>
          <w:szCs w:val="22"/>
        </w:rPr>
      </w:pPr>
      <w:bookmarkStart w:id="223" w:name="_Toc185929916"/>
      <w:r>
        <w:rPr>
          <w:rStyle w:val="CharSClsNo"/>
          <w:szCs w:val="22"/>
        </w:rPr>
        <w:t>7</w:t>
      </w:r>
      <w:r>
        <w:rPr>
          <w:szCs w:val="22"/>
        </w:rPr>
        <w:t>.</w:t>
      </w:r>
      <w:r>
        <w:rPr>
          <w:szCs w:val="22"/>
        </w:rPr>
        <w:tab/>
        <w:t>Interpretation</w:t>
      </w:r>
      <w:bookmarkEnd w:id="223"/>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224" w:name="_Toc185929917"/>
      <w:r>
        <w:rPr>
          <w:rStyle w:val="CharSClsNo"/>
          <w:szCs w:val="22"/>
        </w:rPr>
        <w:lastRenderedPageBreak/>
        <w:t>8</w:t>
      </w:r>
      <w:r>
        <w:rPr>
          <w:szCs w:val="22"/>
        </w:rPr>
        <w:t>.</w:t>
      </w:r>
      <w:r>
        <w:rPr>
          <w:szCs w:val="22"/>
        </w:rPr>
        <w:tab/>
        <w:t>Working hours for rail safety workers driving freight trains</w:t>
      </w:r>
      <w:bookmarkEnd w:id="224"/>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225" w:name="_Toc185929918"/>
      <w:r>
        <w:rPr>
          <w:rStyle w:val="CharSClsNo"/>
        </w:rPr>
        <w:t>9</w:t>
      </w:r>
      <w:r>
        <w:t>.</w:t>
      </w:r>
      <w:r>
        <w:tab/>
        <w:t xml:space="preserve">Working </w:t>
      </w:r>
      <w:r>
        <w:rPr>
          <w:szCs w:val="22"/>
        </w:rPr>
        <w:t>hours for rail safety worker driving passenger trains</w:t>
      </w:r>
      <w:bookmarkEnd w:id="225"/>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226" w:name="_Toc185929919"/>
      <w:r>
        <w:rPr>
          <w:rStyle w:val="CharSClsNo"/>
        </w:rPr>
        <w:t>10</w:t>
      </w:r>
      <w:r>
        <w:t>.</w:t>
      </w:r>
      <w:r>
        <w:tab/>
        <w:t>Train drivers who are transported to home depot or rest place</w:t>
      </w:r>
      <w:bookmarkEnd w:id="226"/>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227" w:name="_Toc185929920"/>
      <w:r>
        <w:rPr>
          <w:rStyle w:val="CharSClsNo"/>
          <w:szCs w:val="22"/>
        </w:rPr>
        <w:lastRenderedPageBreak/>
        <w:t>11</w:t>
      </w:r>
      <w:r>
        <w:rPr>
          <w:szCs w:val="22"/>
        </w:rPr>
        <w:t>.</w:t>
      </w:r>
      <w:r>
        <w:rPr>
          <w:szCs w:val="22"/>
        </w:rPr>
        <w:tab/>
        <w:t>Emergencies and accidents</w:t>
      </w:r>
      <w:bookmarkEnd w:id="227"/>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28" w:name="_Toc185925058"/>
      <w:bookmarkStart w:id="229" w:name="_Toc185927696"/>
      <w:bookmarkStart w:id="230" w:name="_Toc185929921"/>
      <w:r>
        <w:rPr>
          <w:rStyle w:val="CharSchNo"/>
        </w:rPr>
        <w:lastRenderedPageBreak/>
        <w:t>Schedule 3</w:t>
      </w:r>
      <w:r>
        <w:t> — </w:t>
      </w:r>
      <w:r>
        <w:rPr>
          <w:rStyle w:val="CharSchText"/>
        </w:rPr>
        <w:t>Fees</w:t>
      </w:r>
      <w:bookmarkEnd w:id="228"/>
      <w:bookmarkEnd w:id="229"/>
      <w:bookmarkEnd w:id="230"/>
    </w:p>
    <w:p>
      <w:pPr>
        <w:pStyle w:val="yHeading3"/>
        <w:spacing w:after="120"/>
      </w:pPr>
      <w:bookmarkStart w:id="231" w:name="_Toc185925059"/>
      <w:bookmarkStart w:id="232" w:name="_Toc185927697"/>
      <w:bookmarkStart w:id="233" w:name="_Toc185929922"/>
      <w:r>
        <w:rPr>
          <w:rStyle w:val="CharSDivNo"/>
        </w:rPr>
        <w:t>Part 1</w:t>
      </w:r>
      <w:r>
        <w:t> — </w:t>
      </w:r>
      <w:r>
        <w:rPr>
          <w:rStyle w:val="CharSDivText"/>
        </w:rPr>
        <w:t>Application fees</w:t>
      </w:r>
      <w:bookmarkEnd w:id="231"/>
      <w:bookmarkEnd w:id="232"/>
      <w:bookmarkEnd w:id="233"/>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t>$93 755</w:t>
            </w:r>
          </w:p>
        </w:tc>
      </w:tr>
      <w:tr>
        <w:tc>
          <w:tcPr>
            <w:tcW w:w="596" w:type="dxa"/>
          </w:tcPr>
          <w:p>
            <w:pPr>
              <w:pStyle w:val="yTableNAm"/>
            </w:pPr>
            <w:r>
              <w:t>2</w:t>
            </w:r>
          </w:p>
        </w:tc>
        <w:tc>
          <w:tcPr>
            <w:tcW w:w="1110" w:type="dxa"/>
          </w:tcPr>
          <w:p>
            <w:pPr>
              <w:pStyle w:val="yTableNAm"/>
            </w:pPr>
            <w:r>
              <w:t>68(3)(c)</w:t>
            </w:r>
          </w:p>
        </w:tc>
        <w:tc>
          <w:tcPr>
            <w:tcW w:w="4417" w:type="dxa"/>
          </w:tcPr>
          <w:p>
            <w:pPr>
              <w:pStyle w:val="yTableNAm"/>
            </w:pPr>
            <w:r>
              <w:t>Application fee for variation of accreditation</w:t>
            </w:r>
          </w:p>
        </w:tc>
        <w:tc>
          <w:tcPr>
            <w:tcW w:w="965" w:type="dxa"/>
          </w:tcPr>
          <w:p>
            <w:pPr>
              <w:pStyle w:val="yTableNAm"/>
              <w:jc w:val="right"/>
            </w:pPr>
            <w:r>
              <w:t>$1 000</w:t>
            </w: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596" w:type="dxa"/>
          </w:tcPr>
          <w:p>
            <w:pPr>
              <w:pStyle w:val="yTableNAm"/>
            </w:pPr>
            <w:r>
              <w:t>5</w:t>
            </w:r>
          </w:p>
        </w:tc>
        <w:tc>
          <w:tcPr>
            <w:tcW w:w="1110" w:type="dxa"/>
          </w:tcPr>
          <w:p>
            <w:pPr>
              <w:pStyle w:val="yTableNAm"/>
            </w:pPr>
            <w:r>
              <w:t>87(3)(c)</w:t>
            </w:r>
          </w:p>
        </w:tc>
        <w:tc>
          <w:tcPr>
            <w:tcW w:w="4417" w:type="dxa"/>
          </w:tcPr>
          <w:p>
            <w:pPr>
              <w:pStyle w:val="yTableNAm"/>
            </w:pPr>
            <w:r>
              <w:t>Application fee for variation of registration</w:t>
            </w:r>
          </w:p>
        </w:tc>
        <w:tc>
          <w:tcPr>
            <w:tcW w:w="965" w:type="dxa"/>
          </w:tcPr>
          <w:p>
            <w:pPr>
              <w:pStyle w:val="yTableNAm"/>
              <w:jc w:val="right"/>
            </w:pPr>
            <w:r>
              <w:t>$250</w:t>
            </w: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Heading3"/>
      </w:pPr>
      <w:bookmarkStart w:id="234" w:name="_Toc185925060"/>
      <w:bookmarkStart w:id="235" w:name="_Toc185927698"/>
      <w:bookmarkStart w:id="236" w:name="_Toc185929923"/>
      <w:r>
        <w:rPr>
          <w:rStyle w:val="CharSDivNo"/>
        </w:rPr>
        <w:t>Part 2</w:t>
      </w:r>
      <w:r>
        <w:t> — </w:t>
      </w:r>
      <w:r>
        <w:rPr>
          <w:rStyle w:val="CharSDivText"/>
        </w:rPr>
        <w:t>Annual fees</w:t>
      </w:r>
      <w:bookmarkEnd w:id="234"/>
      <w:bookmarkEnd w:id="235"/>
      <w:bookmarkEnd w:id="236"/>
    </w:p>
    <w:p>
      <w:pPr>
        <w:pStyle w:val="yHeading5"/>
      </w:pPr>
      <w:bookmarkStart w:id="237" w:name="_Toc185929924"/>
      <w:r>
        <w:rPr>
          <w:rStyle w:val="CharSClsNo"/>
        </w:rPr>
        <w:t>1</w:t>
      </w:r>
      <w:r>
        <w:t>.</w:t>
      </w:r>
      <w:r>
        <w:tab/>
        <w:t>Annual fees</w:t>
      </w:r>
      <w:bookmarkEnd w:id="237"/>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705"/>
        <w:gridCol w:w="705"/>
        <w:gridCol w:w="705"/>
        <w:gridCol w:w="705"/>
        <w:gridCol w:w="705"/>
        <w:gridCol w:w="705"/>
        <w:gridCol w:w="705"/>
        <w:gridCol w:w="706"/>
      </w:tblGrid>
      <w:tr>
        <w:trPr>
          <w:tblHeader/>
        </w:trPr>
        <w:tc>
          <w:tcPr>
            <w:tcW w:w="1418" w:type="dxa"/>
          </w:tcPr>
          <w:p>
            <w:pPr>
              <w:pStyle w:val="yTableNAm"/>
              <w:jc w:val="center"/>
              <w:rPr>
                <w:b/>
                <w:bCs/>
                <w:sz w:val="20"/>
                <w:szCs w:val="18"/>
              </w:rPr>
            </w:pPr>
          </w:p>
        </w:tc>
        <w:tc>
          <w:tcPr>
            <w:tcW w:w="705" w:type="dxa"/>
          </w:tcPr>
          <w:p>
            <w:pPr>
              <w:pStyle w:val="yTableNAm"/>
              <w:jc w:val="center"/>
              <w:rPr>
                <w:b/>
                <w:bCs/>
                <w:sz w:val="20"/>
                <w:szCs w:val="18"/>
              </w:rPr>
            </w:pPr>
            <w:r>
              <w:rPr>
                <w:b/>
                <w:bCs/>
                <w:sz w:val="20"/>
                <w:szCs w:val="18"/>
              </w:rPr>
              <w:t>ACT</w:t>
            </w:r>
          </w:p>
        </w:tc>
        <w:tc>
          <w:tcPr>
            <w:tcW w:w="705" w:type="dxa"/>
          </w:tcPr>
          <w:p>
            <w:pPr>
              <w:pStyle w:val="yTableNAm"/>
              <w:jc w:val="center"/>
              <w:rPr>
                <w:b/>
                <w:bCs/>
                <w:sz w:val="20"/>
                <w:szCs w:val="18"/>
              </w:rPr>
            </w:pPr>
            <w:r>
              <w:rPr>
                <w:b/>
                <w:bCs/>
                <w:sz w:val="20"/>
                <w:szCs w:val="18"/>
              </w:rPr>
              <w:t>NSW</w:t>
            </w:r>
          </w:p>
        </w:tc>
        <w:tc>
          <w:tcPr>
            <w:tcW w:w="705" w:type="dxa"/>
          </w:tcPr>
          <w:p>
            <w:pPr>
              <w:pStyle w:val="yTableNAm"/>
              <w:jc w:val="center"/>
              <w:rPr>
                <w:b/>
                <w:bCs/>
                <w:sz w:val="20"/>
                <w:szCs w:val="18"/>
              </w:rPr>
            </w:pPr>
            <w:r>
              <w:rPr>
                <w:b/>
                <w:bCs/>
                <w:sz w:val="20"/>
                <w:szCs w:val="18"/>
              </w:rPr>
              <w:t>NT</w:t>
            </w:r>
          </w:p>
        </w:tc>
        <w:tc>
          <w:tcPr>
            <w:tcW w:w="705" w:type="dxa"/>
          </w:tcPr>
          <w:p>
            <w:pPr>
              <w:pStyle w:val="yTableNAm"/>
              <w:jc w:val="center"/>
              <w:rPr>
                <w:b/>
                <w:bCs/>
                <w:sz w:val="20"/>
                <w:szCs w:val="18"/>
              </w:rPr>
            </w:pPr>
            <w:r>
              <w:rPr>
                <w:b/>
                <w:bCs/>
                <w:sz w:val="20"/>
                <w:szCs w:val="18"/>
              </w:rPr>
              <w:t>QLD</w:t>
            </w:r>
          </w:p>
        </w:tc>
        <w:tc>
          <w:tcPr>
            <w:tcW w:w="705" w:type="dxa"/>
          </w:tcPr>
          <w:p>
            <w:pPr>
              <w:pStyle w:val="yTableNAm"/>
              <w:jc w:val="center"/>
              <w:rPr>
                <w:b/>
                <w:bCs/>
                <w:sz w:val="20"/>
                <w:szCs w:val="18"/>
              </w:rPr>
            </w:pPr>
            <w:r>
              <w:rPr>
                <w:b/>
                <w:bCs/>
                <w:sz w:val="20"/>
                <w:szCs w:val="18"/>
              </w:rPr>
              <w:t>SA</w:t>
            </w:r>
          </w:p>
        </w:tc>
        <w:tc>
          <w:tcPr>
            <w:tcW w:w="705" w:type="dxa"/>
          </w:tcPr>
          <w:p>
            <w:pPr>
              <w:pStyle w:val="yTableNAm"/>
              <w:jc w:val="center"/>
              <w:rPr>
                <w:b/>
                <w:bCs/>
                <w:sz w:val="20"/>
                <w:szCs w:val="18"/>
              </w:rPr>
            </w:pPr>
            <w:r>
              <w:rPr>
                <w:b/>
                <w:bCs/>
                <w:sz w:val="20"/>
                <w:szCs w:val="18"/>
              </w:rPr>
              <w:t>TAS</w:t>
            </w:r>
          </w:p>
        </w:tc>
        <w:tc>
          <w:tcPr>
            <w:tcW w:w="705" w:type="dxa"/>
          </w:tcPr>
          <w:p>
            <w:pPr>
              <w:pStyle w:val="yTableNAm"/>
              <w:jc w:val="center"/>
              <w:rPr>
                <w:b/>
                <w:bCs/>
                <w:sz w:val="20"/>
                <w:szCs w:val="18"/>
              </w:rPr>
            </w:pPr>
            <w:r>
              <w:rPr>
                <w:b/>
                <w:bCs/>
                <w:sz w:val="20"/>
                <w:szCs w:val="18"/>
              </w:rPr>
              <w:t>VIC</w:t>
            </w:r>
          </w:p>
        </w:tc>
        <w:tc>
          <w:tcPr>
            <w:tcW w:w="706" w:type="dxa"/>
          </w:tcPr>
          <w:p>
            <w:pPr>
              <w:pStyle w:val="yTableNAm"/>
              <w:jc w:val="center"/>
              <w:rPr>
                <w:b/>
                <w:bCs/>
                <w:sz w:val="20"/>
                <w:szCs w:val="18"/>
              </w:rPr>
            </w:pPr>
            <w:r>
              <w:rPr>
                <w:b/>
                <w:bCs/>
                <w:sz w:val="20"/>
                <w:szCs w:val="18"/>
              </w:rPr>
              <w:t>WA</w:t>
            </w:r>
          </w:p>
        </w:tc>
      </w:tr>
      <w:tr>
        <w:tc>
          <w:tcPr>
            <w:tcW w:w="1418" w:type="dxa"/>
          </w:tcPr>
          <w:p>
            <w:pPr>
              <w:pStyle w:val="yTableNAm"/>
            </w:pPr>
            <w:r>
              <w:rPr>
                <w:sz w:val="20"/>
              </w:rPr>
              <w:t>Rate per kilometre of track managed by a rail infrastructure manager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80.73</w:t>
            </w:r>
          </w:p>
        </w:tc>
        <w:tc>
          <w:tcPr>
            <w:tcW w:w="705" w:type="dxa"/>
            <w:vAlign w:val="center"/>
          </w:tcPr>
          <w:p>
            <w:pPr>
              <w:pStyle w:val="yTableNAm"/>
              <w:tabs>
                <w:tab w:val="clear" w:pos="567"/>
              </w:tabs>
              <w:ind w:left="-104" w:right="-126"/>
              <w:jc w:val="center"/>
              <w:rPr>
                <w:sz w:val="20"/>
              </w:rPr>
            </w:pPr>
            <w:r>
              <w:rPr>
                <w:sz w:val="20"/>
              </w:rPr>
              <w:t>152.31</w:t>
            </w:r>
          </w:p>
        </w:tc>
        <w:tc>
          <w:tcPr>
            <w:tcW w:w="705" w:type="dxa"/>
            <w:vAlign w:val="center"/>
          </w:tcPr>
          <w:p>
            <w:pPr>
              <w:pStyle w:val="yTableNAm"/>
              <w:tabs>
                <w:tab w:val="clear" w:pos="567"/>
              </w:tabs>
              <w:ind w:left="-104" w:right="-126"/>
              <w:jc w:val="center"/>
              <w:rPr>
                <w:sz w:val="20"/>
              </w:rPr>
            </w:pPr>
            <w:r>
              <w:rPr>
                <w:sz w:val="20"/>
              </w:rPr>
              <w:t>141.24</w:t>
            </w:r>
          </w:p>
        </w:tc>
        <w:tc>
          <w:tcPr>
            <w:tcW w:w="705" w:type="dxa"/>
            <w:vAlign w:val="center"/>
          </w:tcPr>
          <w:p>
            <w:pPr>
              <w:pStyle w:val="yTableNAm"/>
              <w:tabs>
                <w:tab w:val="clear" w:pos="567"/>
              </w:tabs>
              <w:ind w:left="-104" w:right="-126"/>
              <w:jc w:val="center"/>
              <w:rPr>
                <w:sz w:val="20"/>
              </w:rPr>
            </w:pPr>
            <w:r>
              <w:rPr>
                <w:sz w:val="20"/>
              </w:rPr>
              <w:t>141.61</w:t>
            </w:r>
          </w:p>
        </w:tc>
        <w:tc>
          <w:tcPr>
            <w:tcW w:w="705" w:type="dxa"/>
            <w:vAlign w:val="center"/>
          </w:tcPr>
          <w:p>
            <w:pPr>
              <w:pStyle w:val="yTableNAm"/>
              <w:tabs>
                <w:tab w:val="clear" w:pos="567"/>
              </w:tabs>
              <w:ind w:left="-104" w:right="-126"/>
              <w:jc w:val="center"/>
              <w:rPr>
                <w:sz w:val="20"/>
              </w:rPr>
            </w:pPr>
            <w:r>
              <w:rPr>
                <w:sz w:val="20"/>
              </w:rPr>
              <w:t>272.23</w:t>
            </w:r>
          </w:p>
        </w:tc>
        <w:tc>
          <w:tcPr>
            <w:tcW w:w="706" w:type="dxa"/>
            <w:vAlign w:val="center"/>
          </w:tcPr>
          <w:p>
            <w:pPr>
              <w:pStyle w:val="yTableNAm"/>
              <w:tabs>
                <w:tab w:val="clear" w:pos="567"/>
              </w:tabs>
              <w:ind w:left="-104" w:right="-126"/>
              <w:jc w:val="center"/>
              <w:rPr>
                <w:sz w:val="20"/>
              </w:rPr>
            </w:pPr>
            <w:r>
              <w:rPr>
                <w:sz w:val="20"/>
              </w:rPr>
              <w:t>100.03</w:t>
            </w:r>
          </w:p>
        </w:tc>
      </w:tr>
      <w:tr>
        <w:tc>
          <w:tcPr>
            <w:tcW w:w="1418" w:type="dxa"/>
          </w:tcPr>
          <w:p>
            <w:pPr>
              <w:pStyle w:val="yTableNAm"/>
            </w:pPr>
            <w:r>
              <w:rPr>
                <w:sz w:val="20"/>
              </w:rPr>
              <w:t>Rate per kilometre travelled by trains of a rolling stock operator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0.259</w:t>
            </w:r>
          </w:p>
        </w:tc>
        <w:tc>
          <w:tcPr>
            <w:tcW w:w="705" w:type="dxa"/>
            <w:vAlign w:val="center"/>
          </w:tcPr>
          <w:p>
            <w:pPr>
              <w:pStyle w:val="yTableNAm"/>
              <w:tabs>
                <w:tab w:val="clear" w:pos="567"/>
              </w:tabs>
              <w:ind w:left="-104" w:right="-126"/>
              <w:jc w:val="center"/>
              <w:rPr>
                <w:sz w:val="20"/>
              </w:rPr>
            </w:pPr>
            <w:r>
              <w:rPr>
                <w:sz w:val="20"/>
              </w:rPr>
              <w:t>0.092</w:t>
            </w:r>
          </w:p>
        </w:tc>
        <w:tc>
          <w:tcPr>
            <w:tcW w:w="705" w:type="dxa"/>
            <w:vAlign w:val="center"/>
          </w:tcPr>
          <w:p>
            <w:pPr>
              <w:pStyle w:val="yTableNAm"/>
              <w:tabs>
                <w:tab w:val="clear" w:pos="567"/>
              </w:tabs>
              <w:ind w:left="-104" w:right="-126"/>
              <w:jc w:val="center"/>
              <w:rPr>
                <w:sz w:val="20"/>
              </w:rPr>
            </w:pPr>
            <w:r>
              <w:rPr>
                <w:sz w:val="20"/>
              </w:rPr>
              <w:t>0.111</w:t>
            </w:r>
          </w:p>
        </w:tc>
        <w:tc>
          <w:tcPr>
            <w:tcW w:w="705" w:type="dxa"/>
            <w:vAlign w:val="center"/>
          </w:tcPr>
          <w:p>
            <w:pPr>
              <w:pStyle w:val="yTableNAm"/>
              <w:tabs>
                <w:tab w:val="clear" w:pos="567"/>
              </w:tabs>
              <w:ind w:left="-104" w:right="-126"/>
              <w:jc w:val="center"/>
              <w:rPr>
                <w:sz w:val="20"/>
              </w:rPr>
            </w:pPr>
            <w:r>
              <w:rPr>
                <w:sz w:val="20"/>
              </w:rPr>
              <w:t>0.376</w:t>
            </w:r>
          </w:p>
        </w:tc>
        <w:tc>
          <w:tcPr>
            <w:tcW w:w="705" w:type="dxa"/>
            <w:vAlign w:val="center"/>
          </w:tcPr>
          <w:p>
            <w:pPr>
              <w:pStyle w:val="yTableNAm"/>
              <w:tabs>
                <w:tab w:val="clear" w:pos="567"/>
              </w:tabs>
              <w:ind w:left="-104" w:right="-126"/>
              <w:jc w:val="center"/>
              <w:rPr>
                <w:sz w:val="20"/>
              </w:rPr>
            </w:pPr>
            <w:r>
              <w:rPr>
                <w:sz w:val="20"/>
              </w:rPr>
              <w:t>0.062</w:t>
            </w:r>
          </w:p>
        </w:tc>
        <w:tc>
          <w:tcPr>
            <w:tcW w:w="706" w:type="dxa"/>
            <w:vAlign w:val="center"/>
          </w:tcPr>
          <w:p>
            <w:pPr>
              <w:pStyle w:val="yTableNAm"/>
              <w:tabs>
                <w:tab w:val="clear" w:pos="567"/>
              </w:tabs>
              <w:ind w:left="-104" w:right="-126"/>
              <w:jc w:val="center"/>
              <w:rPr>
                <w:sz w:val="20"/>
              </w:rPr>
            </w:pPr>
            <w:r>
              <w:rPr>
                <w:sz w:val="20"/>
              </w:rPr>
              <w:t>0.062</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rPr>
          <w:szCs w:val="22"/>
        </w:rPr>
      </w:pPr>
      <w:r>
        <w:rPr>
          <w:szCs w:val="22"/>
        </w:rPr>
        <w:tab/>
        <w:t>(a)</w:t>
      </w:r>
      <w:r>
        <w:rPr>
          <w:szCs w:val="22"/>
        </w:rPr>
        <w:tab/>
        <w:t>$232 043;</w:t>
      </w:r>
    </w:p>
    <w:p>
      <w:pPr>
        <w:pStyle w:val="yIndenta"/>
        <w:rPr>
          <w:szCs w:val="22"/>
        </w:rPr>
      </w:pPr>
      <w:r>
        <w:rPr>
          <w:szCs w:val="22"/>
        </w:rPr>
        <w:tab/>
        <w:t>(b)</w:t>
      </w:r>
      <w:r>
        <w:rPr>
          <w:szCs w:val="22"/>
        </w:rPr>
        <w:tab/>
        <w:t>$164 070;</w:t>
      </w:r>
    </w:p>
    <w:p>
      <w:pPr>
        <w:pStyle w:val="yIndenta"/>
        <w:rPr>
          <w:szCs w:val="22"/>
        </w:rPr>
      </w:pPr>
      <w:r>
        <w:rPr>
          <w:szCs w:val="22"/>
        </w:rPr>
        <w:tab/>
        <w:t>(c)</w:t>
      </w:r>
      <w:r>
        <w:rPr>
          <w:szCs w:val="22"/>
        </w:rPr>
        <w:tab/>
        <w:t>$108 989.</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39" w:name="_Toc185925062"/>
      <w:bookmarkStart w:id="240" w:name="_Toc185927700"/>
      <w:bookmarkStart w:id="241" w:name="_Toc185929925"/>
      <w:r>
        <w:lastRenderedPageBreak/>
        <w:t>Notes</w:t>
      </w:r>
      <w:bookmarkEnd w:id="239"/>
      <w:bookmarkEnd w:id="240"/>
      <w:bookmarkEnd w:id="241"/>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pPr>
        <w:pStyle w:val="nHeading3"/>
      </w:pPr>
      <w:bookmarkStart w:id="242" w:name="_Toc185929926"/>
      <w:r>
        <w:t>Compilation table</w:t>
      </w:r>
      <w:bookmarkEnd w:id="2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single" w:sz="4" w:space="0" w:color="auto"/>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single" w:sz="4" w:space="0" w:color="auto"/>
              <w:right w:val="nil"/>
            </w:tcBorders>
          </w:tcPr>
          <w:p>
            <w:pPr>
              <w:pStyle w:val="nTable"/>
              <w:spacing w:after="40"/>
            </w:pPr>
            <w:r>
              <w:t>SL 2024/303 23 Dec 2024</w:t>
            </w:r>
          </w:p>
        </w:tc>
        <w:tc>
          <w:tcPr>
            <w:tcW w:w="2693" w:type="dxa"/>
            <w:tcBorders>
              <w:top w:val="nil"/>
              <w:left w:val="nil"/>
              <w:bottom w:val="single" w:sz="4" w:space="0" w:color="auto"/>
            </w:tcBorders>
          </w:tcPr>
          <w:p>
            <w:pPr>
              <w:pStyle w:val="nTable"/>
              <w:spacing w:after="40"/>
            </w:pPr>
            <w:r>
              <w:t>2 Jan 2025 (see note to r. 2)</w:t>
            </w:r>
          </w:p>
        </w:tc>
      </w:tr>
    </w:tbl>
    <w:p>
      <w:pPr>
        <w:pStyle w:val="nHeading3"/>
        <w:keepNext w:val="0"/>
      </w:pPr>
      <w:bookmarkStart w:id="243" w:name="_Toc185929927"/>
      <w:r>
        <w:t>Other notes</w:t>
      </w:r>
      <w:bookmarkEnd w:id="243"/>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45" w:name="_Toc185925066"/>
      <w:bookmarkStart w:id="246" w:name="_Toc185927703"/>
      <w:bookmarkStart w:id="247" w:name="_Toc185929928"/>
      <w:r>
        <w:rPr>
          <w:sz w:val="28"/>
        </w:rPr>
        <w:lastRenderedPageBreak/>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56A(1)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train safety recording</w:t>
      </w:r>
      <w:r>
        <w:tab/>
        <w:t>37</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079CA7"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B2BD980" w14:textId="5408B8AB" w:rsidR="004E2B9F" w:rsidRDefault="00945F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F81">
                        <w:rPr>
                          <w:sz w:val="16"/>
                        </w:rPr>
                        <w:t>2025</w:t>
                      </w:r>
                      <w:r>
                        <w:rPr>
                          <w:sz w:val="16"/>
                        </w:rPr>
                        <w:fldChar w:fldCharType="end"/>
                      </w:r>
                      <w:r>
                        <w:rPr>
                          <w:sz w:val="16"/>
                        </w:rPr>
                        <w:t>.</w:t>
                      </w:r>
                    </w:p>
                    <w:p w14:paraId="3C43EF2C" w14:textId="77777777" w:rsidR="004E2B9F" w:rsidRDefault="00945F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3B4580" w14:textId="3609B617" w:rsidR="004E2B9F" w:rsidRDefault="00945F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F81">
                        <w:rPr>
                          <w:sz w:val="16"/>
                        </w:rPr>
                        <w:t>2025</w:t>
                      </w:r>
                      <w:r>
                        <w:rPr>
                          <w:sz w:val="16"/>
                        </w:rPr>
                        <w:fldChar w:fldCharType="end"/>
                      </w:r>
                      <w:r>
                        <w:rPr>
                          <w:sz w:val="16"/>
                        </w:rPr>
                        <w:t>.</w:t>
                      </w:r>
                    </w:p>
                    <w:p w14:paraId="1DE6032A" w14:textId="77777777" w:rsidR="004E2B9F" w:rsidRDefault="00945F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238" w:name="Schedule"/>
    <w:bookmarkEnd w:id="2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8" w:name="DefinedTerms"/>
    <w:bookmarkEnd w:id="24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e Wringe">
    <w15:presenceInfo w15:providerId="None" w15:userId="Irene Wr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40926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23869</Words>
  <Characters>122213</Characters>
  <Application>Microsoft Office Word</Application>
  <DocSecurity>0</DocSecurity>
  <Lines>3394</Lines>
  <Paragraphs>1849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- 00-c0-00</dc:title>
  <dc:subject/>
  <dc:creator/>
  <cp:keywords/>
  <dc:description/>
  <cp:lastModifiedBy>Master Repository Process</cp:lastModifiedBy>
  <cp:revision>4</cp:revision>
  <cp:lastPrinted>2024-10-21T00:40:00Z</cp:lastPrinted>
  <dcterms:created xsi:type="dcterms:W3CDTF">2025-07-04T06:55:00Z</dcterms:created>
  <dcterms:modified xsi:type="dcterms:W3CDTF">2025-07-04T06:55:00Z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02 Jan 2025</vt:lpwstr>
  </property>
  <property fmtid="{D5CDD505-2E9C-101B-9397-08002B2CF9AE}" pid="4" name="Suffix">
    <vt:lpwstr>00-c0-00</vt:lpwstr>
  </property>
  <property fmtid="{D5CDD505-2E9C-101B-9397-08002B2CF9AE}" pid="5" name="Official">
    <vt:lpwstr/>
  </property>
  <property fmtid="{D5CDD505-2E9C-101B-9397-08002B2CF9AE}" pid="6" name="CommencementDate">
    <vt:lpwstr>20250102</vt:lpwstr>
  </property>
  <property fmtid="{D5CDD505-2E9C-101B-9397-08002B2CF9AE}" pid="7" name="CommencementAsAt">
    <vt:filetime>2025-01-01T16:00:00Z</vt:filetime>
  </property>
  <property fmtid="{D5CDD505-2E9C-101B-9397-08002B2CF9AE}" pid="8" name="CommencementYear">
    <vt:lpwstr>2025</vt:lpwstr>
  </property>
</Properties>
</file>