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_Toc186710085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_Toc186710086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_Toc186710087 \h </w:instrText>
      </w:r>
      <w:r>
        <w:fldChar w:fldCharType="separate"/>
      </w:r>
      <w:r>
        <w:t>1</w:t>
      </w:r>
      <w:r>
        <w:fldChar w:fldCharType="end"/>
      </w:r>
    </w:p>
    <w:p>
      <w:pPr>
        <w:pStyle w:val="TOC8"/>
        <w:rPr>
          <w:rFonts w:asciiTheme="minorHAnsi" w:eastAsiaTheme="minorEastAsia" w:hAnsiTheme="minorHAnsi" w:cstheme="minorBidi"/>
          <w:szCs w:val="22"/>
        </w:rPr>
      </w:pPr>
      <w:r>
        <w:t>2B.</w:t>
      </w:r>
      <w:r>
        <w:tab/>
        <w:t>Remote areas designated (Act s. 4B)</w:t>
      </w:r>
      <w:r>
        <w:tab/>
      </w:r>
      <w:r>
        <w:fldChar w:fldCharType="begin"/>
      </w:r>
      <w:r>
        <w:instrText xml:space="preserve"> PAGEREF _Toc186710088 \h </w:instrText>
      </w:r>
      <w:r>
        <w:fldChar w:fldCharType="separate"/>
      </w:r>
      <w:r>
        <w:t>2</w:t>
      </w:r>
      <w:r>
        <w:fldChar w:fldCharType="end"/>
      </w:r>
    </w:p>
    <w:p>
      <w:pPr>
        <w:pStyle w:val="TOC8"/>
        <w:rPr>
          <w:rFonts w:asciiTheme="minorHAnsi" w:eastAsiaTheme="minorEastAsia" w:hAnsiTheme="minorHAnsi" w:cstheme="minorBidi"/>
          <w:szCs w:val="22"/>
        </w:rPr>
      </w:pPr>
      <w:r>
        <w:t>2C.</w:t>
      </w:r>
      <w:r>
        <w:tab/>
        <w:t>Service by electronic means (Act s. 5A)</w:t>
      </w:r>
      <w:r>
        <w:tab/>
      </w:r>
      <w:r>
        <w:fldChar w:fldCharType="begin"/>
      </w:r>
      <w:r>
        <w:instrText xml:space="preserve"> PAGEREF _Toc186710089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_Toc186710090 \h </w:instrText>
      </w:r>
      <w:r>
        <w:fldChar w:fldCharType="separate"/>
      </w:r>
      <w:r>
        <w:t>3</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_Toc186710091 \h </w:instrText>
      </w:r>
      <w:r>
        <w:fldChar w:fldCharType="separate"/>
      </w:r>
      <w:r>
        <w:t>3</w:t>
      </w:r>
      <w:r>
        <w:fldChar w:fldCharType="end"/>
      </w:r>
    </w:p>
    <w:p>
      <w:pPr>
        <w:pStyle w:val="TOC8"/>
        <w:rPr>
          <w:rFonts w:asciiTheme="minorHAnsi" w:eastAsiaTheme="minorEastAsia" w:hAnsiTheme="minorHAnsi" w:cstheme="minorBidi"/>
          <w:szCs w:val="22"/>
        </w:rPr>
      </w:pPr>
      <w:r>
        <w:t>3AAAA.</w:t>
      </w:r>
      <w:r>
        <w:tab/>
        <w:t>Form of request for cancellation of licence suspension order (Act s. 20A)</w:t>
      </w:r>
      <w:r>
        <w:tab/>
      </w:r>
      <w:r>
        <w:fldChar w:fldCharType="begin"/>
      </w:r>
      <w:r>
        <w:instrText xml:space="preserve"> PAGEREF _Toc186710092 \h </w:instrText>
      </w:r>
      <w:r>
        <w:fldChar w:fldCharType="separate"/>
      </w:r>
      <w:r>
        <w:t>3</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_Toc186710093 \h </w:instrText>
      </w:r>
      <w:r>
        <w:fldChar w:fldCharType="separate"/>
      </w:r>
      <w:r>
        <w:t>4</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_Toc186710094 \h </w:instrText>
      </w:r>
      <w:r>
        <w:fldChar w:fldCharType="separate"/>
      </w:r>
      <w:r>
        <w:t>4</w:t>
      </w:r>
      <w:r>
        <w:fldChar w:fldCharType="end"/>
      </w:r>
    </w:p>
    <w:p>
      <w:pPr>
        <w:pStyle w:val="TOC8"/>
        <w:rPr>
          <w:rFonts w:asciiTheme="minorHAnsi" w:eastAsiaTheme="minorEastAsia" w:hAnsiTheme="minorHAnsi" w:cstheme="minorBidi"/>
          <w:szCs w:val="22"/>
        </w:rPr>
      </w:pPr>
      <w:r>
        <w:t>4.</w:t>
      </w:r>
      <w:r>
        <w:tab/>
        <w:t xml:space="preserve">Orders under </w:t>
      </w:r>
      <w:r>
        <w:rPr>
          <w:i/>
          <w:iCs/>
        </w:rPr>
        <w:t>Workers Compensation and Injury Management Act 2023</w:t>
      </w:r>
      <w:r>
        <w:t xml:space="preserve"> s. 207(1) are fines (Act s. 28(1))</w:t>
      </w:r>
      <w:r>
        <w:tab/>
      </w:r>
      <w:r>
        <w:fldChar w:fldCharType="begin"/>
      </w:r>
      <w:r>
        <w:instrText xml:space="preserve"> PAGEREF _Toc186710095 \h </w:instrText>
      </w:r>
      <w:r>
        <w:fldChar w:fldCharType="separate"/>
      </w:r>
      <w:r>
        <w:t>7</w:t>
      </w:r>
      <w:r>
        <w:fldChar w:fldCharType="end"/>
      </w:r>
    </w:p>
    <w:p>
      <w:pPr>
        <w:pStyle w:val="TOC8"/>
        <w:rPr>
          <w:rFonts w:asciiTheme="minorHAnsi" w:eastAsiaTheme="minorEastAsia" w:hAnsiTheme="minorHAnsi" w:cstheme="minorBidi"/>
          <w:szCs w:val="22"/>
        </w:rPr>
      </w:pPr>
      <w:r>
        <w:t>5.</w:t>
      </w:r>
      <w:r>
        <w:tab/>
      </w:r>
      <w:r>
        <w:rPr>
          <w:i/>
          <w:iCs/>
        </w:rPr>
        <w:t>Workers Compensation and Injury Management Act 2023</w:t>
      </w:r>
      <w:r>
        <w:t xml:space="preserve"> is prescribed enactment (Act s. 31)</w:t>
      </w:r>
      <w:r>
        <w:tab/>
      </w:r>
      <w:r>
        <w:fldChar w:fldCharType="begin"/>
      </w:r>
      <w:r>
        <w:instrText xml:space="preserve"> PAGEREF _Toc186710096 \h </w:instrText>
      </w:r>
      <w:r>
        <w:fldChar w:fldCharType="separate"/>
      </w:r>
      <w:r>
        <w:t>7</w:t>
      </w:r>
      <w:r>
        <w:fldChar w:fldCharType="end"/>
      </w:r>
    </w:p>
    <w:p>
      <w:pPr>
        <w:pStyle w:val="TOC8"/>
        <w:rPr>
          <w:rFonts w:asciiTheme="minorHAnsi" w:eastAsiaTheme="minorEastAsia" w:hAnsiTheme="minorHAnsi" w:cstheme="minorBidi"/>
          <w:szCs w:val="22"/>
        </w:rPr>
      </w:pPr>
      <w:r>
        <w:t>6.</w:t>
      </w:r>
      <w:r>
        <w:tab/>
        <w:t>Applications relating to time to pay orders (Act s. 21B, 21D, 32C and 34)</w:t>
      </w:r>
      <w:r>
        <w:tab/>
      </w:r>
      <w:r>
        <w:fldChar w:fldCharType="begin"/>
      </w:r>
      <w:r>
        <w:instrText xml:space="preserve"> PAGEREF _Toc186710097 \h </w:instrText>
      </w:r>
      <w:r>
        <w:fldChar w:fldCharType="separate"/>
      </w:r>
      <w:r>
        <w:t>7</w:t>
      </w:r>
      <w:r>
        <w:fldChar w:fldCharType="end"/>
      </w:r>
    </w:p>
    <w:p>
      <w:pPr>
        <w:pStyle w:val="TOC8"/>
        <w:rPr>
          <w:rFonts w:asciiTheme="minorHAnsi" w:eastAsiaTheme="minorEastAsia" w:hAnsiTheme="minorHAnsi" w:cstheme="minorBidi"/>
          <w:szCs w:val="22"/>
        </w:rPr>
      </w:pPr>
      <w:r>
        <w:t>6AA.</w:t>
      </w:r>
      <w:r>
        <w:tab/>
        <w:t>Information to be provided for means test (Act s. 21C, 21D, 21E, 33, 34, 35, 47 and 52F)</w:t>
      </w:r>
      <w:r>
        <w:tab/>
      </w:r>
      <w:r>
        <w:fldChar w:fldCharType="begin"/>
      </w:r>
      <w:r>
        <w:instrText xml:space="preserve"> PAGEREF _Toc186710098 \h </w:instrText>
      </w:r>
      <w:r>
        <w:fldChar w:fldCharType="separate"/>
      </w:r>
      <w:r>
        <w:t>8</w:t>
      </w:r>
      <w:r>
        <w:fldChar w:fldCharType="end"/>
      </w:r>
    </w:p>
    <w:p>
      <w:pPr>
        <w:pStyle w:val="TOC8"/>
        <w:rPr>
          <w:rFonts w:asciiTheme="minorHAnsi" w:eastAsiaTheme="minorEastAsia" w:hAnsiTheme="minorHAnsi" w:cstheme="minorBidi"/>
          <w:szCs w:val="22"/>
        </w:rPr>
      </w:pPr>
      <w:r>
        <w:t>6AB.</w:t>
      </w:r>
      <w:r>
        <w:tab/>
        <w:t>Form of request for cancellation of licence suspension order (Act s. 44A)</w:t>
      </w:r>
      <w:r>
        <w:tab/>
      </w:r>
      <w:r>
        <w:fldChar w:fldCharType="begin"/>
      </w:r>
      <w:r>
        <w:instrText xml:space="preserve"> PAGEREF _Toc186710099 \h </w:instrText>
      </w:r>
      <w:r>
        <w:fldChar w:fldCharType="separate"/>
      </w:r>
      <w:r>
        <w:t>9</w:t>
      </w:r>
      <w:r>
        <w:fldChar w:fldCharType="end"/>
      </w:r>
    </w:p>
    <w:p>
      <w:pPr>
        <w:pStyle w:val="TOC8"/>
        <w:rPr>
          <w:rFonts w:asciiTheme="minorHAnsi" w:eastAsiaTheme="minorEastAsia" w:hAnsiTheme="minorHAnsi" w:cstheme="minorBidi"/>
          <w:szCs w:val="22"/>
        </w:rPr>
      </w:pPr>
      <w:r>
        <w:t>6AC.</w:t>
      </w:r>
      <w:r>
        <w:tab/>
        <w:t>Maximum number of work and development instruments (Act s. 46D)</w:t>
      </w:r>
      <w:r>
        <w:tab/>
      </w:r>
      <w:r>
        <w:fldChar w:fldCharType="begin"/>
      </w:r>
      <w:r>
        <w:instrText xml:space="preserve"> PAGEREF _Toc186710100 \h </w:instrText>
      </w:r>
      <w:r>
        <w:fldChar w:fldCharType="separate"/>
      </w:r>
      <w:r>
        <w:t>10</w:t>
      </w:r>
      <w:r>
        <w:fldChar w:fldCharType="end"/>
      </w:r>
    </w:p>
    <w:p>
      <w:pPr>
        <w:pStyle w:val="TOC8"/>
        <w:rPr>
          <w:rFonts w:asciiTheme="minorHAnsi" w:eastAsiaTheme="minorEastAsia" w:hAnsiTheme="minorHAnsi" w:cstheme="minorBidi"/>
          <w:szCs w:val="22"/>
        </w:rPr>
      </w:pPr>
      <w:r>
        <w:t>6AD.</w:t>
      </w:r>
      <w:r>
        <w:tab/>
        <w:t>Publishing of guidelines in relation to WDPs (Act s. 46L)</w:t>
      </w:r>
      <w:r>
        <w:tab/>
      </w:r>
      <w:r>
        <w:fldChar w:fldCharType="begin"/>
      </w:r>
      <w:r>
        <w:instrText xml:space="preserve"> PAGEREF _Toc186710101 \h </w:instrText>
      </w:r>
      <w:r>
        <w:fldChar w:fldCharType="separate"/>
      </w:r>
      <w:r>
        <w:t>10</w:t>
      </w:r>
      <w:r>
        <w:fldChar w:fldCharType="end"/>
      </w:r>
    </w:p>
    <w:p>
      <w:pPr>
        <w:pStyle w:val="TOC8"/>
        <w:rPr>
          <w:rFonts w:asciiTheme="minorHAnsi" w:eastAsiaTheme="minorEastAsia" w:hAnsiTheme="minorHAnsi" w:cstheme="minorBidi"/>
          <w:szCs w:val="22"/>
        </w:rPr>
      </w:pPr>
      <w:r>
        <w:lastRenderedPageBreak/>
        <w:t>6AE.</w:t>
      </w:r>
      <w:r>
        <w:tab/>
        <w:t>Rates to be used to assign value to activities (Act s. 46N)</w:t>
      </w:r>
      <w:r>
        <w:tab/>
      </w:r>
      <w:r>
        <w:fldChar w:fldCharType="begin"/>
      </w:r>
      <w:r>
        <w:instrText xml:space="preserve"> PAGEREF _Toc186710102 \h </w:instrText>
      </w:r>
      <w:r>
        <w:fldChar w:fldCharType="separate"/>
      </w:r>
      <w:r>
        <w:t>10</w:t>
      </w:r>
      <w:r>
        <w:fldChar w:fldCharType="end"/>
      </w:r>
    </w:p>
    <w:p>
      <w:pPr>
        <w:pStyle w:val="TOC8"/>
        <w:rPr>
          <w:rFonts w:asciiTheme="minorHAnsi" w:eastAsiaTheme="minorEastAsia" w:hAnsiTheme="minorHAnsi" w:cstheme="minorBidi"/>
          <w:szCs w:val="22"/>
        </w:rPr>
      </w:pPr>
      <w:r>
        <w:t>6AF.</w:t>
      </w:r>
      <w:r>
        <w:tab/>
        <w:t>False or misleading information</w:t>
      </w:r>
      <w:r>
        <w:tab/>
      </w:r>
      <w:r>
        <w:fldChar w:fldCharType="begin"/>
      </w:r>
      <w:r>
        <w:instrText xml:space="preserve"> PAGEREF _Toc186710103 \h </w:instrText>
      </w:r>
      <w:r>
        <w:fldChar w:fldCharType="separate"/>
      </w:r>
      <w:r>
        <w:t>11</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_Toc186710104 \h </w:instrText>
      </w:r>
      <w:r>
        <w:fldChar w:fldCharType="separate"/>
      </w:r>
      <w:r>
        <w:t>11</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_Toc186710105 \h </w:instrText>
      </w:r>
      <w:r>
        <w:fldChar w:fldCharType="separate"/>
      </w:r>
      <w:r>
        <w:t>12</w:t>
      </w:r>
      <w:r>
        <w:fldChar w:fldCharType="end"/>
      </w:r>
    </w:p>
    <w:p>
      <w:pPr>
        <w:pStyle w:val="TOC8"/>
        <w:rPr>
          <w:rFonts w:asciiTheme="minorHAnsi" w:eastAsiaTheme="minorEastAsia" w:hAnsiTheme="minorHAnsi" w:cstheme="minorBidi"/>
          <w:szCs w:val="22"/>
        </w:rPr>
      </w:pPr>
      <w:r>
        <w:t>6BAAA.</w:t>
      </w:r>
      <w:r>
        <w:tab/>
        <w:t>Daily expiation amount (Act s. 52B)</w:t>
      </w:r>
      <w:r>
        <w:tab/>
      </w:r>
      <w:r>
        <w:fldChar w:fldCharType="begin"/>
      </w:r>
      <w:r>
        <w:instrText xml:space="preserve"> PAGEREF _Toc186710106 \h </w:instrText>
      </w:r>
      <w:r>
        <w:fldChar w:fldCharType="separate"/>
      </w:r>
      <w:r>
        <w:t>12</w:t>
      </w:r>
      <w:r>
        <w:fldChar w:fldCharType="end"/>
      </w:r>
    </w:p>
    <w:p>
      <w:pPr>
        <w:pStyle w:val="TOC8"/>
        <w:rPr>
          <w:rFonts w:asciiTheme="minorHAnsi" w:eastAsiaTheme="minorEastAsia" w:hAnsiTheme="minorHAnsi" w:cstheme="minorBidi"/>
          <w:szCs w:val="22"/>
        </w:rPr>
      </w:pPr>
      <w:r>
        <w:t>6BAAB.</w:t>
      </w:r>
      <w:r>
        <w:tab/>
        <w:t>Form of application for fine expiation order (Act s. 52E)</w:t>
      </w:r>
      <w:r>
        <w:tab/>
      </w:r>
      <w:r>
        <w:fldChar w:fldCharType="begin"/>
      </w:r>
      <w:r>
        <w:instrText xml:space="preserve"> PAGEREF _Toc186710107 \h </w:instrText>
      </w:r>
      <w:r>
        <w:fldChar w:fldCharType="separate"/>
      </w:r>
      <w:r>
        <w:t>12</w:t>
      </w:r>
      <w:r>
        <w:fldChar w:fldCharType="end"/>
      </w:r>
    </w:p>
    <w:p>
      <w:pPr>
        <w:pStyle w:val="TOC8"/>
        <w:rPr>
          <w:rFonts w:asciiTheme="minorHAnsi" w:eastAsiaTheme="minorEastAsia" w:hAnsiTheme="minorHAnsi" w:cstheme="minorBidi"/>
          <w:szCs w:val="22"/>
        </w:rPr>
      </w:pPr>
      <w:r>
        <w:t>6BAAC.</w:t>
      </w:r>
      <w:r>
        <w:tab/>
        <w:t>Application for authorisation under Act s. 52E(4)</w:t>
      </w:r>
      <w:r>
        <w:tab/>
      </w:r>
      <w:r>
        <w:fldChar w:fldCharType="begin"/>
      </w:r>
      <w:r>
        <w:instrText xml:space="preserve"> PAGEREF _Toc186710108 \h </w:instrText>
      </w:r>
      <w:r>
        <w:fldChar w:fldCharType="separate"/>
      </w:r>
      <w:r>
        <w:t>13</w:t>
      </w:r>
      <w:r>
        <w:fldChar w:fldCharType="end"/>
      </w:r>
    </w:p>
    <w:p>
      <w:pPr>
        <w:pStyle w:val="TOC8"/>
        <w:rPr>
          <w:rFonts w:asciiTheme="minorHAnsi" w:eastAsiaTheme="minorEastAsia" w:hAnsiTheme="minorHAnsi" w:cstheme="minorBidi"/>
          <w:szCs w:val="22"/>
        </w:rPr>
      </w:pPr>
      <w:r>
        <w:t>6BAAD.</w:t>
      </w:r>
      <w:r>
        <w:tab/>
        <w:t>Copies of conditional release undertaking to be given</w:t>
      </w:r>
      <w:r>
        <w:tab/>
      </w:r>
      <w:r>
        <w:fldChar w:fldCharType="begin"/>
      </w:r>
      <w:r>
        <w:instrText xml:space="preserve"> PAGEREF _Toc186710109 \h </w:instrText>
      </w:r>
      <w:r>
        <w:fldChar w:fldCharType="separate"/>
      </w:r>
      <w:r>
        <w:t>13</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_Toc186710110 \h </w:instrText>
      </w:r>
      <w:r>
        <w:fldChar w:fldCharType="separate"/>
      </w:r>
      <w:r>
        <w:t>13</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_Toc186710111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_Toc186710112 \h </w:instrText>
      </w:r>
      <w:r>
        <w:fldChar w:fldCharType="separate"/>
      </w:r>
      <w:r>
        <w:t>14</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_Toc186710113 \h </w:instrText>
      </w:r>
      <w:r>
        <w:fldChar w:fldCharType="separate"/>
      </w:r>
      <w:r>
        <w:t>15</w:t>
      </w:r>
      <w:r>
        <w:fldChar w:fldCharType="end"/>
      </w:r>
    </w:p>
    <w:p>
      <w:pPr>
        <w:pStyle w:val="TOC8"/>
        <w:rPr>
          <w:rFonts w:asciiTheme="minorHAnsi" w:eastAsiaTheme="minorEastAsia" w:hAnsiTheme="minorHAnsi" w:cstheme="minorBidi"/>
          <w:szCs w:val="22"/>
        </w:rPr>
      </w:pPr>
      <w:r>
        <w:t>8AA.</w:t>
      </w:r>
      <w:r>
        <w:tab/>
        <w:t>Protected earnings amount (Act s. 95U)</w:t>
      </w:r>
      <w:r>
        <w:tab/>
      </w:r>
      <w:r>
        <w:fldChar w:fldCharType="begin"/>
      </w:r>
      <w:r>
        <w:instrText xml:space="preserve"> PAGEREF _Toc186710114 \h </w:instrText>
      </w:r>
      <w:r>
        <w:fldChar w:fldCharType="separate"/>
      </w:r>
      <w:r>
        <w:t>16</w:t>
      </w:r>
      <w:r>
        <w:fldChar w:fldCharType="end"/>
      </w:r>
    </w:p>
    <w:p>
      <w:pPr>
        <w:pStyle w:val="TOC8"/>
        <w:rPr>
          <w:rFonts w:asciiTheme="minorHAnsi" w:eastAsiaTheme="minorEastAsia" w:hAnsiTheme="minorHAnsi" w:cstheme="minorBidi"/>
          <w:szCs w:val="22"/>
        </w:rPr>
      </w:pPr>
      <w:r>
        <w:t>8AB.</w:t>
      </w:r>
      <w:r>
        <w:tab/>
        <w:t>Maximum administration fee for bank account garnishee order (Act s. 95Z)</w:t>
      </w:r>
      <w:r>
        <w:tab/>
      </w:r>
      <w:r>
        <w:fldChar w:fldCharType="begin"/>
      </w:r>
      <w:r>
        <w:instrText xml:space="preserve"> PAGEREF _Toc186710115 \h </w:instrText>
      </w:r>
      <w:r>
        <w:fldChar w:fldCharType="separate"/>
      </w:r>
      <w:r>
        <w:t>17</w:t>
      </w:r>
      <w:r>
        <w:fldChar w:fldCharType="end"/>
      </w:r>
    </w:p>
    <w:p>
      <w:pPr>
        <w:pStyle w:val="TOC8"/>
        <w:rPr>
          <w:rFonts w:asciiTheme="minorHAnsi" w:eastAsiaTheme="minorEastAsia" w:hAnsiTheme="minorHAnsi" w:cstheme="minorBidi"/>
          <w:szCs w:val="22"/>
        </w:rPr>
      </w:pPr>
      <w:r>
        <w:t>8AC.</w:t>
      </w:r>
      <w:r>
        <w:tab/>
        <w:t>Protected bank account amount (Act s. 95ZB)</w:t>
      </w:r>
      <w:r>
        <w:tab/>
      </w:r>
      <w:r>
        <w:fldChar w:fldCharType="begin"/>
      </w:r>
      <w:r>
        <w:instrText xml:space="preserve"> PAGEREF _Toc186710116 \h </w:instrText>
      </w:r>
      <w:r>
        <w:fldChar w:fldCharType="separate"/>
      </w:r>
      <w:r>
        <w:t>17</w:t>
      </w:r>
      <w:r>
        <w:fldChar w:fldCharType="end"/>
      </w:r>
    </w:p>
    <w:p>
      <w:pPr>
        <w:pStyle w:val="TOC8"/>
        <w:rPr>
          <w:rFonts w:asciiTheme="minorHAnsi" w:eastAsiaTheme="minorEastAsia" w:hAnsiTheme="minorHAnsi" w:cstheme="minorBidi"/>
          <w:szCs w:val="22"/>
        </w:rPr>
      </w:pPr>
      <w:r>
        <w:t>8AD.</w:t>
      </w:r>
      <w:r>
        <w:tab/>
        <w:t>Form of application for refund of money (Act s. 95ZC)</w:t>
      </w:r>
      <w:r>
        <w:tab/>
      </w:r>
      <w:r>
        <w:fldChar w:fldCharType="begin"/>
      </w:r>
      <w:r>
        <w:instrText xml:space="preserve"> PAGEREF _Toc186710117 \h </w:instrText>
      </w:r>
      <w:r>
        <w:fldChar w:fldCharType="separate"/>
      </w:r>
      <w:r>
        <w:t>18</w:t>
      </w:r>
      <w:r>
        <w:fldChar w:fldCharType="end"/>
      </w:r>
    </w:p>
    <w:p>
      <w:pPr>
        <w:pStyle w:val="TOC8"/>
        <w:rPr>
          <w:rFonts w:asciiTheme="minorHAnsi" w:eastAsiaTheme="minorEastAsia" w:hAnsiTheme="minorHAnsi" w:cstheme="minorBidi"/>
          <w:szCs w:val="22"/>
        </w:rPr>
      </w:pPr>
      <w:r>
        <w:t>8AE.</w:t>
      </w:r>
      <w:r>
        <w:tab/>
        <w:t>Restrictions on publication of information disclosed under Act s. 100B(3)(a) (Act s. 100F(2)(g))</w:t>
      </w:r>
      <w:r>
        <w:tab/>
      </w:r>
      <w:r>
        <w:fldChar w:fldCharType="begin"/>
      </w:r>
      <w:r>
        <w:instrText xml:space="preserve"> PAGEREF _Toc186710118 \h </w:instrText>
      </w:r>
      <w:r>
        <w:fldChar w:fldCharType="separate"/>
      </w:r>
      <w:r>
        <w:t>18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_Toc186710119 \h </w:instrText>
      </w:r>
      <w:r>
        <w:fldChar w:fldCharType="separate"/>
      </w:r>
      <w:r>
        <w:t>19</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_Toc186710120 \h </w:instrText>
      </w:r>
      <w:r>
        <w:fldChar w:fldCharType="separate"/>
      </w:r>
      <w:r>
        <w:t>20</w:t>
      </w:r>
      <w:r>
        <w:fldChar w:fldCharType="end"/>
      </w:r>
    </w:p>
    <w:p>
      <w:pPr>
        <w:pStyle w:val="TOC8"/>
        <w:rPr>
          <w:rFonts w:asciiTheme="minorHAnsi" w:eastAsiaTheme="minorEastAsia" w:hAnsiTheme="minorHAnsi" w:cstheme="minorBidi"/>
          <w:szCs w:val="22"/>
        </w:rPr>
      </w:pPr>
      <w:r>
        <w:t>9.</w:t>
      </w:r>
      <w:r>
        <w:tab/>
        <w:t>Enforcement fees prescribed (Act Pt. 3 and 4 and in connection with exercise of powers under enforcement warrant)</w:t>
      </w:r>
      <w:r>
        <w:tab/>
      </w:r>
      <w:r>
        <w:fldChar w:fldCharType="begin"/>
      </w:r>
      <w:r>
        <w:instrText xml:space="preserve"> PAGEREF _Toc186710121 \h </w:instrText>
      </w:r>
      <w:r>
        <w:fldChar w:fldCharType="separate"/>
      </w:r>
      <w:r>
        <w:t>21</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_Toc186710122 \h </w:instrText>
      </w:r>
      <w:r>
        <w:fldChar w:fldCharType="separate"/>
      </w:r>
      <w:r>
        <w:t>22</w:t>
      </w:r>
      <w:r>
        <w:fldChar w:fldCharType="end"/>
      </w:r>
    </w:p>
    <w:p>
      <w:pPr>
        <w:pStyle w:val="TOC8"/>
        <w:rPr>
          <w:rFonts w:asciiTheme="minorHAnsi" w:eastAsiaTheme="minorEastAsia" w:hAnsiTheme="minorHAnsi" w:cstheme="minorBidi"/>
          <w:szCs w:val="22"/>
        </w:rPr>
      </w:pPr>
      <w:r>
        <w:t>11A.</w:t>
      </w:r>
      <w:r>
        <w:tab/>
        <w:t>Giving documents to Registry by means of ECMS</w:t>
      </w:r>
      <w:r>
        <w:tab/>
      </w:r>
      <w:r>
        <w:fldChar w:fldCharType="begin"/>
      </w:r>
      <w:r>
        <w:instrText xml:space="preserve"> PAGEREF _Toc186710123 \h </w:instrText>
      </w:r>
      <w:r>
        <w:fldChar w:fldCharType="separate"/>
      </w:r>
      <w:r>
        <w:t>24</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_Toc186710124 \h </w:instrText>
      </w:r>
      <w:r>
        <w:fldChar w:fldCharType="separate"/>
      </w:r>
      <w:r>
        <w:t>25</w:t>
      </w:r>
      <w:r>
        <w:fldChar w:fldCharType="end"/>
      </w:r>
    </w:p>
    <w:p>
      <w:pPr>
        <w:pStyle w:val="TOC8"/>
        <w:rPr>
          <w:rFonts w:asciiTheme="minorHAnsi" w:eastAsiaTheme="minorEastAsia" w:hAnsiTheme="minorHAnsi" w:cstheme="minorBidi"/>
          <w:szCs w:val="22"/>
        </w:rPr>
      </w:pPr>
      <w:r>
        <w:t>11C.</w:t>
      </w:r>
      <w:r>
        <w:tab/>
        <w:t>Issuing summons under Act s. 52Q</w:t>
      </w:r>
      <w:r>
        <w:tab/>
      </w:r>
      <w:r>
        <w:fldChar w:fldCharType="begin"/>
      </w:r>
      <w:r>
        <w:instrText xml:space="preserve"> PAGEREF _Toc186710125 \h </w:instrText>
      </w:r>
      <w:r>
        <w:fldChar w:fldCharType="separate"/>
      </w:r>
      <w:r>
        <w:t>27</w:t>
      </w:r>
      <w:r>
        <w:fldChar w:fldCharType="end"/>
      </w:r>
    </w:p>
    <w:p>
      <w:pPr>
        <w:pStyle w:val="TOC8"/>
        <w:rPr>
          <w:rFonts w:asciiTheme="minorHAnsi" w:eastAsiaTheme="minorEastAsia" w:hAnsiTheme="minorHAnsi" w:cstheme="minorBidi"/>
          <w:szCs w:val="22"/>
        </w:rPr>
      </w:pPr>
      <w:r>
        <w:t>11D.</w:t>
      </w:r>
      <w:r>
        <w:tab/>
        <w:t>Issuing orders, permits and notices</w:t>
      </w:r>
      <w:r>
        <w:tab/>
      </w:r>
      <w:r>
        <w:fldChar w:fldCharType="begin"/>
      </w:r>
      <w:r>
        <w:instrText xml:space="preserve"> PAGEREF _Toc186710126 \h </w:instrText>
      </w:r>
      <w:r>
        <w:fldChar w:fldCharType="separate"/>
      </w:r>
      <w:r>
        <w:t>27</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Methods of payment</w:t>
      </w:r>
      <w:r>
        <w:tab/>
      </w:r>
      <w:r>
        <w:fldChar w:fldCharType="begin"/>
      </w:r>
      <w:r>
        <w:instrText xml:space="preserve"> PAGEREF _Toc186710127 \h </w:instrText>
      </w:r>
      <w:r>
        <w:fldChar w:fldCharType="separate"/>
      </w:r>
      <w:r>
        <w:t>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_Toc186710128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Act Pt. 3</w:t>
      </w:r>
    </w:p>
    <w:p>
      <w:pPr>
        <w:pStyle w:val="TOC4"/>
        <w:tabs>
          <w:tab w:val="right" w:leader="dot" w:pos="7077"/>
        </w:tabs>
        <w:rPr>
          <w:rFonts w:asciiTheme="minorHAnsi" w:eastAsiaTheme="minorEastAsia" w:hAnsiTheme="minorHAnsi" w:cstheme="minorBidi"/>
          <w:b w:val="0"/>
          <w:szCs w:val="22"/>
        </w:rPr>
      </w:pPr>
      <w:r>
        <w:t>Division 2 — Enforcement fees for Act Pt. 4</w:t>
      </w:r>
    </w:p>
    <w:p>
      <w:pPr>
        <w:pStyle w:val="TOC4"/>
        <w:tabs>
          <w:tab w:val="right" w:leader="dot" w:pos="7077"/>
        </w:tabs>
        <w:rPr>
          <w:rFonts w:asciiTheme="minorHAnsi" w:eastAsiaTheme="minorEastAsia" w:hAnsiTheme="minorHAnsi" w:cstheme="minorBidi"/>
          <w:b w:val="0"/>
          <w:szCs w:val="22"/>
        </w:rPr>
      </w:pPr>
      <w:r>
        <w:t>Division 3 — Enforcement fees for exercise of power under enforcement warrant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_Toc186710135 \h </w:instrText>
      </w:r>
      <w:r>
        <w:fldChar w:fldCharType="separate"/>
      </w:r>
      <w:r>
        <w:t>37</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_Toc186710136 \h </w:instrText>
      </w:r>
      <w:r>
        <w:fldChar w:fldCharType="separate"/>
      </w:r>
      <w:r>
        <w:t>38</w:t>
      </w:r>
      <w:r>
        <w:fldChar w:fldCharType="end"/>
      </w:r>
    </w:p>
    <w:p>
      <w:pPr>
        <w:pStyle w:val="TOC8"/>
        <w:rPr>
          <w:rFonts w:asciiTheme="minorHAnsi" w:eastAsiaTheme="minorEastAsia" w:hAnsiTheme="minorHAnsi" w:cstheme="minorBidi"/>
          <w:szCs w:val="22"/>
        </w:rPr>
      </w:pPr>
      <w:r>
        <w:t>2A.</w:t>
      </w:r>
      <w:r>
        <w:tab/>
        <w:t>Summons to offender/liable person to appear at warrant of commitment inquiry for the purposes of Act s. 52Q(1)(a) and 52U and Part 5</w:t>
      </w:r>
      <w:r>
        <w:tab/>
      </w:r>
      <w:r>
        <w:fldChar w:fldCharType="begin"/>
      </w:r>
      <w:r>
        <w:instrText xml:space="preserve"> PAGEREF _Toc186710137 \h </w:instrText>
      </w:r>
      <w:r>
        <w:fldChar w:fldCharType="separate"/>
      </w:r>
      <w:r>
        <w:t>39</w:t>
      </w:r>
      <w:r>
        <w:fldChar w:fldCharType="end"/>
      </w:r>
    </w:p>
    <w:p>
      <w:pPr>
        <w:pStyle w:val="TOC8"/>
        <w:rPr>
          <w:rFonts w:asciiTheme="minorHAnsi" w:eastAsiaTheme="minorEastAsia" w:hAnsiTheme="minorHAnsi" w:cstheme="minorBidi"/>
          <w:szCs w:val="22"/>
        </w:rPr>
      </w:pPr>
      <w:r>
        <w:t>2B.</w:t>
      </w:r>
      <w:r>
        <w:tab/>
        <w:t>Summons to person named under Act s. 52O(1)(c) to appear at warrant of commitment inquiry for the purposes of Act s. 52Q(2) and 52U and Part 5</w:t>
      </w:r>
      <w:r>
        <w:tab/>
      </w:r>
      <w:r>
        <w:fldChar w:fldCharType="begin"/>
      </w:r>
      <w:r>
        <w:instrText xml:space="preserve"> PAGEREF _Toc186710138 \h </w:instrText>
      </w:r>
      <w:r>
        <w:fldChar w:fldCharType="separate"/>
      </w:r>
      <w:r>
        <w:t>41</w:t>
      </w:r>
      <w:r>
        <w:fldChar w:fldCharType="end"/>
      </w:r>
    </w:p>
    <w:p>
      <w:pPr>
        <w:pStyle w:val="TOC8"/>
        <w:rPr>
          <w:rFonts w:asciiTheme="minorHAnsi" w:eastAsiaTheme="minorEastAsia" w:hAnsiTheme="minorHAnsi" w:cstheme="minorBidi"/>
          <w:szCs w:val="22"/>
        </w:rPr>
      </w:pPr>
      <w:r>
        <w:t>2C.</w:t>
      </w:r>
      <w:r>
        <w:tab/>
        <w:t>Arrest warrant for the purposes of Act s. 52Q(1)(b) and 52Y and Part 5</w:t>
      </w:r>
      <w:r>
        <w:tab/>
      </w:r>
      <w:r>
        <w:fldChar w:fldCharType="begin"/>
      </w:r>
      <w:r>
        <w:instrText xml:space="preserve"> PAGEREF _Toc186710139 \h </w:instrText>
      </w:r>
      <w:r>
        <w:fldChar w:fldCharType="separate"/>
      </w:r>
      <w:r>
        <w:t>43</w:t>
      </w:r>
      <w:r>
        <w:fldChar w:fldCharType="end"/>
      </w:r>
    </w:p>
    <w:p>
      <w:pPr>
        <w:pStyle w:val="TOC8"/>
        <w:rPr>
          <w:rFonts w:asciiTheme="minorHAnsi" w:eastAsiaTheme="minorEastAsia" w:hAnsiTheme="minorHAnsi" w:cstheme="minorBidi"/>
          <w:szCs w:val="22"/>
        </w:rPr>
      </w:pPr>
      <w:r>
        <w:t>2D.</w:t>
      </w:r>
      <w:r>
        <w:tab/>
        <w:t>Conditional release undertaking for the purposes of Act s. 52ZD and Part 5</w:t>
      </w:r>
      <w:r>
        <w:tab/>
      </w:r>
      <w:r>
        <w:fldChar w:fldCharType="begin"/>
      </w:r>
      <w:r>
        <w:instrText xml:space="preserve"> PAGEREF _Toc186710140 \h </w:instrText>
      </w:r>
      <w:r>
        <w:fldChar w:fldCharType="separate"/>
      </w:r>
      <w:r>
        <w:t>45</w:t>
      </w:r>
      <w:r>
        <w:fldChar w:fldCharType="end"/>
      </w:r>
    </w:p>
    <w:p>
      <w:pPr>
        <w:pStyle w:val="TOC8"/>
        <w:rPr>
          <w:rFonts w:asciiTheme="minorHAnsi" w:eastAsiaTheme="minorEastAsia" w:hAnsiTheme="minorHAnsi" w:cstheme="minorBidi"/>
          <w:szCs w:val="22"/>
        </w:rPr>
      </w:pPr>
      <w:r>
        <w:t>2E.</w:t>
      </w:r>
      <w:r>
        <w:tab/>
        <w:t>Certificate that offender/liable person has a right to be released for the purposes of Act s. 52ZF(c) and Part 5</w:t>
      </w:r>
      <w:r>
        <w:tab/>
      </w:r>
      <w:r>
        <w:fldChar w:fldCharType="begin"/>
      </w:r>
      <w:r>
        <w:instrText xml:space="preserve"> PAGEREF _Toc186710141 \h </w:instrText>
      </w:r>
      <w:r>
        <w:fldChar w:fldCharType="separate"/>
      </w:r>
      <w:r>
        <w:t>47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52S(4) and </w:t>
      </w:r>
      <w:r>
        <w:t>Part 5</w:t>
      </w:r>
      <w:r>
        <w:tab/>
      </w:r>
      <w:r>
        <w:fldChar w:fldCharType="begin"/>
      </w:r>
      <w:r>
        <w:instrText xml:space="preserve"> PAGEREF _Toc186710142 \h </w:instrText>
      </w:r>
      <w:r>
        <w:fldChar w:fldCharType="separate"/>
      </w:r>
      <w:r>
        <w:t>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_Toc186710143 \h </w:instrText>
      </w:r>
      <w:r>
        <w:fldChar w:fldCharType="separate"/>
      </w:r>
      <w:r>
        <w:t>50</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_Toc186710144 \h </w:instrText>
      </w:r>
      <w:r>
        <w:fldChar w:fldCharType="separate"/>
      </w:r>
      <w:r>
        <w:t>51</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_Toc186710145 \h </w:instrText>
      </w:r>
      <w:r>
        <w:fldChar w:fldCharType="separate"/>
      </w:r>
      <w:r>
        <w:t>52</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_Toc186710146 \h </w:instrText>
      </w:r>
      <w:r>
        <w:fldChar w:fldCharType="separate"/>
      </w:r>
      <w:r>
        <w:t>53</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_Toc186710147 \h </w:instrText>
      </w:r>
      <w:r>
        <w:fldChar w:fldCharType="separate"/>
      </w:r>
      <w:r>
        <w:t>54</w:t>
      </w:r>
      <w:r>
        <w:fldChar w:fldCharType="end"/>
      </w:r>
    </w:p>
    <w:p>
      <w:pPr>
        <w:pStyle w:val="TOC8"/>
        <w:rPr>
          <w:rFonts w:asciiTheme="minorHAnsi" w:eastAsiaTheme="minorEastAsia" w:hAnsiTheme="minorHAnsi" w:cstheme="minorBidi"/>
          <w:szCs w:val="22"/>
        </w:rPr>
      </w:pPr>
      <w:r>
        <w:lastRenderedPageBreak/>
        <w:t>10.</w:t>
      </w:r>
      <w:r>
        <w:tab/>
        <w:t>Certificate under Act s. 101C(2A): Part 3 proceedings</w:t>
      </w:r>
      <w:r>
        <w:tab/>
      </w:r>
      <w:r>
        <w:fldChar w:fldCharType="begin"/>
      </w:r>
      <w:r>
        <w:instrText xml:space="preserve"> PAGEREF _Toc186710148 \h </w:instrText>
      </w:r>
      <w:r>
        <w:fldChar w:fldCharType="separate"/>
      </w:r>
      <w:r>
        <w:t>55</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_Toc186710149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_Toc186710151 \h </w:instrText>
      </w:r>
      <w:r>
        <w:fldChar w:fldCharType="separate"/>
      </w:r>
      <w:r>
        <w:t>59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_Toc186710152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2" w:name="_Toc186710085"/>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3" w:name="_Toc186710086"/>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4" w:name="_Toc186710087"/>
      <w:r>
        <w:rPr>
          <w:rStyle w:val="CharSectno"/>
        </w:rPr>
        <w:t>2A</w:t>
      </w:r>
      <w:r>
        <w:t>.</w:t>
      </w:r>
      <w:r>
        <w:tab/>
        <w:t>Terms used</w:t>
      </w:r>
      <w:bookmarkEnd w:id="4"/>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 SL 2023/120 r. 22.]</w:t>
      </w:r>
    </w:p>
    <w:p>
      <w:pPr>
        <w:pStyle w:val="Heading5"/>
      </w:pPr>
      <w:bookmarkStart w:id="5" w:name="_Toc186710088"/>
      <w:r>
        <w:rPr>
          <w:rStyle w:val="CharSectno"/>
        </w:rPr>
        <w:lastRenderedPageBreak/>
        <w:t>2B</w:t>
      </w:r>
      <w:r>
        <w:t>.</w:t>
      </w:r>
      <w:r>
        <w:tab/>
        <w:t>Remote areas designated (Act s. 4B)</w:t>
      </w:r>
      <w:bookmarkEnd w:id="5"/>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an area of the State that is located within the metropolitan region;</w:t>
      </w:r>
    </w:p>
    <w:p>
      <w:pPr>
        <w:pStyle w:val="Indenta"/>
      </w:pPr>
      <w:r>
        <w:tab/>
        <w:t>(b)</w:t>
      </w:r>
      <w:r>
        <w:tab/>
        <w:t>an area of the State that shares the same postcode as an area referred to in paragraph (a).</w:t>
      </w:r>
    </w:p>
    <w:p>
      <w:pPr>
        <w:pStyle w:val="Footnotesection"/>
      </w:pPr>
      <w:r>
        <w:tab/>
        <w:t>[Regulation 2B inserted: SL 2020/167 r. 5; amended: SL 2023/120 r. 23.]</w:t>
      </w:r>
    </w:p>
    <w:p>
      <w:pPr>
        <w:pStyle w:val="Heading5"/>
      </w:pPr>
      <w:bookmarkStart w:id="6" w:name="_Toc186710089"/>
      <w:r>
        <w:rPr>
          <w:rStyle w:val="CharSectno"/>
        </w:rPr>
        <w:t>2C</w:t>
      </w:r>
      <w:r>
        <w:t>.</w:t>
      </w:r>
      <w:r>
        <w:tab/>
        <w:t>Service by electronic means (Act s. 5A)</w:t>
      </w:r>
      <w:bookmarkEnd w:id="6"/>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lastRenderedPageBreak/>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7" w:name="_Toc186710090"/>
      <w:r>
        <w:rPr>
          <w:rStyle w:val="CharSectno"/>
        </w:rPr>
        <w:t>3</w:t>
      </w:r>
      <w:r>
        <w:rPr>
          <w:snapToGrid w:val="0"/>
        </w:rPr>
        <w:t>.</w:t>
      </w:r>
      <w:r>
        <w:rPr>
          <w:snapToGrid w:val="0"/>
        </w:rPr>
        <w:tab/>
        <w:t>Enactments prescribed for Act Part 3 (Act s. 12)</w:t>
      </w:r>
      <w:bookmarkEnd w:id="7"/>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8" w:name="_Toc186710091"/>
      <w:r>
        <w:rPr>
          <w:rStyle w:val="CharSectno"/>
        </w:rPr>
        <w:t>3AAA</w:t>
      </w:r>
      <w:r>
        <w:t>.</w:t>
      </w:r>
      <w:r>
        <w:tab/>
        <w:t>Enforcement certificates and information under Act s. 16(1)</w:t>
      </w:r>
      <w:bookmarkEnd w:id="8"/>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 or outstanding balance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 amended: SL 2024/203 r. 6.]</w:t>
      </w:r>
    </w:p>
    <w:p>
      <w:pPr>
        <w:pStyle w:val="Heading5"/>
        <w:tabs>
          <w:tab w:val="clear" w:pos="879"/>
          <w:tab w:val="left" w:pos="993"/>
        </w:tabs>
      </w:pPr>
      <w:bookmarkStart w:id="9" w:name="_Toc186710092"/>
      <w:r>
        <w:rPr>
          <w:rStyle w:val="CharSectno"/>
        </w:rPr>
        <w:t>3AAAA</w:t>
      </w:r>
      <w:r>
        <w:t>.</w:t>
      </w:r>
      <w:r>
        <w:tab/>
        <w:t>Form of request for cancellation of licence suspension order (Act s. 20A)</w:t>
      </w:r>
      <w:bookmarkEnd w:id="9"/>
    </w:p>
    <w:p>
      <w:pPr>
        <w:pStyle w:val="Subsection"/>
      </w:pPr>
      <w:r>
        <w:tab/>
      </w:r>
      <w:r>
        <w:tab/>
        <w:t xml:space="preserve">A request under section 20A(1) must be — </w:t>
      </w:r>
    </w:p>
    <w:p>
      <w:pPr>
        <w:pStyle w:val="Indenta"/>
      </w:pPr>
      <w:r>
        <w:tab/>
        <w:t>(a)</w:t>
      </w:r>
      <w:r>
        <w:tab/>
        <w:t>made in a form approved by the Registrar; and</w:t>
      </w:r>
    </w:p>
    <w:p>
      <w:pPr>
        <w:pStyle w:val="Indenta"/>
      </w:pPr>
      <w:r>
        <w:lastRenderedPageBreak/>
        <w:tab/>
        <w:t>(b)</w:t>
      </w:r>
      <w:r>
        <w:tab/>
        <w:t>accompanied by any documentation or evidence required by that form.</w:t>
      </w:r>
    </w:p>
    <w:p>
      <w:pPr>
        <w:pStyle w:val="Footnotesection"/>
      </w:pPr>
      <w:r>
        <w:tab/>
        <w:t>[Regulation 3AAAA inserted: SL 2020/167 r. 6.]</w:t>
      </w:r>
    </w:p>
    <w:p>
      <w:pPr>
        <w:pStyle w:val="Heading5"/>
      </w:pPr>
      <w:bookmarkStart w:id="10" w:name="_Toc186710093"/>
      <w:r>
        <w:rPr>
          <w:rStyle w:val="CharSectno"/>
        </w:rPr>
        <w:t>3AAB</w:t>
      </w:r>
      <w:r>
        <w:t>.</w:t>
      </w:r>
      <w:r>
        <w:tab/>
        <w:t>Notice of withdrawal under Act s. 22(2)</w:t>
      </w:r>
      <w:bookmarkEnd w:id="10"/>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1" w:name="_Toc186710094"/>
      <w:r>
        <w:rPr>
          <w:rStyle w:val="CharSectno"/>
        </w:rPr>
        <w:t>3AA</w:t>
      </w:r>
      <w:r>
        <w:t>.</w:t>
      </w:r>
      <w:r>
        <w:tab/>
        <w:t>Amount payable under Act s. 22(5)(c)</w:t>
      </w:r>
      <w:bookmarkEnd w:id="11"/>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lastRenderedPageBreak/>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 xml:space="preserve">if the alleged offender produces to the Registrar documentary evidence of any loss of earnings of the </w:t>
      </w:r>
      <w:r>
        <w:lastRenderedPageBreak/>
        <w:t>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5pt;height:32.25pt" o:ole="">
            <v:imagedata r:id="rId21" o:title=""/>
          </v:shape>
          <o:OLEObject Type="Embed" ProgID="Equation.3" ShapeID="_x0000_i1025" DrawAspect="Content" ObjectID="_1810975397" r:id="rId22"/>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keepNext/>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w:t>
      </w:r>
      <w:r>
        <w:rPr>
          <w:kern w:val="24"/>
        </w:rPr>
        <w:lastRenderedPageBreak/>
        <w:t xml:space="preserve">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pPr>
      <w:bookmarkStart w:id="12" w:name="_Toc186710095"/>
      <w:r>
        <w:rPr>
          <w:rStyle w:val="CharSectno"/>
        </w:rPr>
        <w:t>4</w:t>
      </w:r>
      <w:r>
        <w:t>.</w:t>
      </w:r>
      <w:r>
        <w:tab/>
        <w:t xml:space="preserve">Orders under </w:t>
      </w:r>
      <w:r>
        <w:rPr>
          <w:i/>
          <w:iCs/>
        </w:rPr>
        <w:t>Workers Compensation and Injury Management Act 2023</w:t>
      </w:r>
      <w:r>
        <w:t xml:space="preserve"> s. 207(1) are fines (Act s. 28(1))</w:t>
      </w:r>
      <w:bookmarkEnd w:id="12"/>
    </w:p>
    <w:p>
      <w:pPr>
        <w:pStyle w:val="Subsection"/>
      </w:pPr>
      <w:r>
        <w:tab/>
      </w:r>
      <w:r>
        <w:tab/>
        <w:t xml:space="preserve">For the purposes of paragraph (b) of the definition of </w:t>
      </w:r>
      <w:r>
        <w:rPr>
          <w:b/>
          <w:bCs/>
          <w:i/>
          <w:iCs/>
        </w:rPr>
        <w:t>fine</w:t>
      </w:r>
      <w:r>
        <w:t xml:space="preserve"> in section 28(1) of the Act, an order that an employer pay an amount to the General Account under the </w:t>
      </w:r>
      <w:r>
        <w:rPr>
          <w:i/>
          <w:iCs/>
        </w:rPr>
        <w:t>Workers Compensation and Injury Management Act 2023</w:t>
      </w:r>
      <w:r>
        <w:t xml:space="preserve"> section 207(1) is prescribed.</w:t>
      </w:r>
    </w:p>
    <w:p>
      <w:pPr>
        <w:pStyle w:val="Footnotesection"/>
      </w:pPr>
      <w:r>
        <w:tab/>
        <w:t>[Regulation 4 inserted: SL 2024/132 r. 6.]</w:t>
      </w:r>
    </w:p>
    <w:p>
      <w:pPr>
        <w:pStyle w:val="Heading5"/>
      </w:pPr>
      <w:bookmarkStart w:id="13" w:name="_Toc186710096"/>
      <w:r>
        <w:rPr>
          <w:rStyle w:val="CharSectno"/>
        </w:rPr>
        <w:t>5</w:t>
      </w:r>
      <w:r>
        <w:t>.</w:t>
      </w:r>
      <w:r>
        <w:tab/>
      </w:r>
      <w:r>
        <w:rPr>
          <w:i/>
          <w:iCs/>
        </w:rPr>
        <w:t>Workers Compensation and Injury Management Act 2023</w:t>
      </w:r>
      <w:r>
        <w:t xml:space="preserve"> is prescribed enactment (Act s. 31)</w:t>
      </w:r>
      <w:bookmarkEnd w:id="13"/>
    </w:p>
    <w:p>
      <w:pPr>
        <w:pStyle w:val="Subsection"/>
      </w:pPr>
      <w:r>
        <w:tab/>
      </w:r>
      <w:r>
        <w:tab/>
        <w:t xml:space="preserve">For the purposes of section 31(b) of the Act, the </w:t>
      </w:r>
      <w:r>
        <w:rPr>
          <w:i/>
          <w:iCs/>
        </w:rPr>
        <w:t xml:space="preserve">Workers Compensation and Injury Management Act 2023 </w:t>
      </w:r>
      <w:r>
        <w:t>is a prescribed enactment.</w:t>
      </w:r>
    </w:p>
    <w:p>
      <w:pPr>
        <w:pStyle w:val="Footnotesection"/>
        <w:rPr>
          <w:rStyle w:val="DraftersNotes"/>
          <w:b w:val="0"/>
          <w:i/>
          <w:sz w:val="24"/>
        </w:rPr>
      </w:pPr>
      <w:r>
        <w:tab/>
        <w:t>[Regulation 5 inserted: SL 2024/132 r. 6.]</w:t>
      </w:r>
    </w:p>
    <w:p>
      <w:pPr>
        <w:pStyle w:val="Heading5"/>
      </w:pPr>
      <w:bookmarkStart w:id="14" w:name="_Toc186710097"/>
      <w:r>
        <w:rPr>
          <w:rStyle w:val="CharSectno"/>
        </w:rPr>
        <w:t>6</w:t>
      </w:r>
      <w:r>
        <w:t>.</w:t>
      </w:r>
      <w:r>
        <w:tab/>
        <w:t>Applications relating to time to pay orders (Act s. 21B, 21D, 32C and 34)</w:t>
      </w:r>
      <w:bookmarkEnd w:id="14"/>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lastRenderedPageBreak/>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15" w:name="_Toc186710098"/>
      <w:r>
        <w:rPr>
          <w:rStyle w:val="CharSectno"/>
        </w:rPr>
        <w:t>6AA</w:t>
      </w:r>
      <w:r>
        <w:t>.</w:t>
      </w:r>
      <w:r>
        <w:tab/>
        <w:t>Information to be provided for means test (Act s. 21C, 21D, 21E, 33, 34, 35, 47 and 52F)</w:t>
      </w:r>
      <w:bookmarkEnd w:id="15"/>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keepNext/>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 xml:space="preserve">in the case of a person referred to in subregulation (1)(a) — the person’s financial circumstances and capacity to pay the relevant amount, </w:t>
      </w:r>
      <w:r>
        <w:lastRenderedPageBreak/>
        <w:t>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16" w:name="_Toc186710099"/>
      <w:r>
        <w:rPr>
          <w:rStyle w:val="CharSectno"/>
        </w:rPr>
        <w:t>6AB</w:t>
      </w:r>
      <w:r>
        <w:t>.</w:t>
      </w:r>
      <w:r>
        <w:tab/>
        <w:t>Form of request for cancellation of licence suspension order (Act s. 44A)</w:t>
      </w:r>
      <w:bookmarkEnd w:id="16"/>
    </w:p>
    <w:p>
      <w:pPr>
        <w:pStyle w:val="Subsection"/>
        <w:keepNext/>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17" w:name="_Toc186710100"/>
      <w:r>
        <w:rPr>
          <w:rStyle w:val="CharSectno"/>
        </w:rPr>
        <w:lastRenderedPageBreak/>
        <w:t>6AC</w:t>
      </w:r>
      <w:r>
        <w:t>.</w:t>
      </w:r>
      <w:r>
        <w:tab/>
        <w:t>Maximum number of work and development instruments (Act s. 46D)</w:t>
      </w:r>
      <w:bookmarkEnd w:id="17"/>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18" w:name="_Toc186710101"/>
      <w:r>
        <w:rPr>
          <w:rStyle w:val="CharSectno"/>
        </w:rPr>
        <w:t>6AD</w:t>
      </w:r>
      <w:r>
        <w:t>.</w:t>
      </w:r>
      <w:r>
        <w:tab/>
        <w:t>Publishing of guidelines in relation to WDPs (Act s. 46L)</w:t>
      </w:r>
      <w:bookmarkEnd w:id="18"/>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19" w:name="_Toc186710102"/>
      <w:r>
        <w:rPr>
          <w:rStyle w:val="CharSectno"/>
        </w:rPr>
        <w:t>6AE</w:t>
      </w:r>
      <w:r>
        <w:t>.</w:t>
      </w:r>
      <w:r>
        <w:tab/>
        <w:t>Rates to be used to assign value to activities (Act s. 46N)</w:t>
      </w:r>
      <w:bookmarkEnd w:id="19"/>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keepNext/>
            </w:pPr>
            <w:r>
              <w:lastRenderedPageBreak/>
              <w:t>Mentoring programme</w:t>
            </w:r>
          </w:p>
        </w:tc>
        <w:tc>
          <w:tcPr>
            <w:tcW w:w="2268" w:type="dxa"/>
            <w:noWrap/>
          </w:tcPr>
          <w:p>
            <w:pPr>
              <w:pStyle w:val="TableNAm"/>
              <w:keepNext/>
              <w:jc w:val="center"/>
            </w:pPr>
            <w:r>
              <w:t>$70</w:t>
            </w:r>
          </w:p>
        </w:tc>
      </w:tr>
    </w:tbl>
    <w:p>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20" w:name="_Toc186710103"/>
      <w:r>
        <w:rPr>
          <w:rStyle w:val="CharSectno"/>
        </w:rPr>
        <w:t>6AF</w:t>
      </w:r>
      <w:r>
        <w:t>.</w:t>
      </w:r>
      <w:r>
        <w:tab/>
        <w:t>False or misleading information</w:t>
      </w:r>
      <w:bookmarkEnd w:id="20"/>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keepNext/>
      </w:pPr>
      <w:r>
        <w:tab/>
        <w:t>(b)</w:t>
      </w:r>
      <w:r>
        <w:tab/>
        <w:t>omits anything without which a statement, information, document or other evidence provided to the Registrar or the CEO (fines enforcement) is, to the approved 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21" w:name="_Toc186710104"/>
      <w:r>
        <w:rPr>
          <w:rStyle w:val="CharSectno"/>
        </w:rPr>
        <w:t>6A</w:t>
      </w:r>
      <w:r>
        <w:rPr>
          <w:snapToGrid w:val="0"/>
        </w:rPr>
        <w:t>.</w:t>
      </w:r>
      <w:r>
        <w:rPr>
          <w:snapToGrid w:val="0"/>
        </w:rPr>
        <w:tab/>
        <w:t>Calculation of required hours for WDO (Act s. 50)</w:t>
      </w:r>
      <w:bookmarkEnd w:id="21"/>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keepNext/>
        <w:rPr>
          <w:snapToGrid w:val="0"/>
        </w:rPr>
      </w:pPr>
      <w:r>
        <w:rPr>
          <w:snapToGrid w:val="0"/>
        </w:rPr>
        <w:lastRenderedPageBreak/>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keepNext/>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22" w:name="_Toc186710105"/>
      <w:r>
        <w:rPr>
          <w:rStyle w:val="CharSectno"/>
        </w:rPr>
        <w:t>6B</w:t>
      </w:r>
      <w:r>
        <w:rPr>
          <w:snapToGrid w:val="0"/>
        </w:rPr>
        <w:t>.</w:t>
      </w:r>
      <w:r>
        <w:rPr>
          <w:snapToGrid w:val="0"/>
        </w:rPr>
        <w:tab/>
        <w:t>Reductions under Act s. 51, how calculated</w:t>
      </w:r>
      <w:bookmarkEnd w:id="22"/>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23" w:name="_Toc186710106"/>
      <w:r>
        <w:rPr>
          <w:rStyle w:val="CharSectno"/>
        </w:rPr>
        <w:t>6BAAA</w:t>
      </w:r>
      <w:r>
        <w:t>.</w:t>
      </w:r>
      <w:r>
        <w:tab/>
        <w:t>Daily expiation amount (Act s. 52B)</w:t>
      </w:r>
      <w:bookmarkEnd w:id="23"/>
    </w:p>
    <w:p>
      <w:pPr>
        <w:pStyle w:val="Subsection"/>
        <w:keepNext/>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24" w:name="_Toc186710107"/>
      <w:r>
        <w:rPr>
          <w:rStyle w:val="CharSectno"/>
        </w:rPr>
        <w:t>6BAAB</w:t>
      </w:r>
      <w:r>
        <w:t>.</w:t>
      </w:r>
      <w:r>
        <w:tab/>
        <w:t>Form of application for fine expiation order (Act s. 52E)</w:t>
      </w:r>
      <w:bookmarkEnd w:id="24"/>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25" w:name="_Toc186710108"/>
      <w:r>
        <w:rPr>
          <w:rStyle w:val="CharSectno"/>
        </w:rPr>
        <w:lastRenderedPageBreak/>
        <w:t>6BAAC</w:t>
      </w:r>
      <w:r>
        <w:t>.</w:t>
      </w:r>
      <w:r>
        <w:tab/>
        <w:t>Application for authorisation under Act s. 52E(4)</w:t>
      </w:r>
      <w:bookmarkEnd w:id="25"/>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26" w:name="_Toc186710109"/>
      <w:r>
        <w:rPr>
          <w:rStyle w:val="CharSectno"/>
        </w:rPr>
        <w:t>6BAAD</w:t>
      </w:r>
      <w:r>
        <w:t>.</w:t>
      </w:r>
      <w:r>
        <w:tab/>
        <w:t>Copies of conditional release undertaking to be given</w:t>
      </w:r>
      <w:bookmarkEnd w:id="26"/>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27" w:name="_Toc186710110"/>
      <w:r>
        <w:rPr>
          <w:rStyle w:val="CharSectno"/>
        </w:rPr>
        <w:t>6BAA</w:t>
      </w:r>
      <w:r>
        <w:t>.</w:t>
      </w:r>
      <w:r>
        <w:tab/>
        <w:t>Amount p</w:t>
      </w:r>
      <w:r>
        <w:rPr>
          <w:bCs/>
        </w:rPr>
        <w:t>rescribed for warrant of commitment (</w:t>
      </w:r>
      <w:r>
        <w:rPr>
          <w:snapToGrid w:val="0"/>
        </w:rPr>
        <w:t>Act </w:t>
      </w:r>
      <w:r>
        <w:rPr>
          <w:bCs/>
        </w:rPr>
        <w:t>s. 53(3))</w:t>
      </w:r>
      <w:bookmarkEnd w:id="27"/>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28" w:name="_Toc186710111"/>
      <w:r>
        <w:rPr>
          <w:rStyle w:val="CharSectno"/>
        </w:rPr>
        <w:lastRenderedPageBreak/>
        <w:t>6C</w:t>
      </w:r>
      <w:r>
        <w:t>.</w:t>
      </w:r>
      <w:r>
        <w:tab/>
        <w:t>Reduction of liability to pay fine where WDO taken to be cancelled (</w:t>
      </w:r>
      <w:r>
        <w:rPr>
          <w:i/>
        </w:rPr>
        <w:t xml:space="preserve">Sentencing Act 1995 </w:t>
      </w:r>
      <w:r>
        <w:t>s. 57B(5))</w:t>
      </w:r>
      <w:bookmarkEnd w:id="2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29" w:name="_Toc186710112"/>
      <w:r>
        <w:rPr>
          <w:rStyle w:val="CharSectno"/>
        </w:rPr>
        <w:t>7</w:t>
      </w:r>
      <w:r>
        <w:rPr>
          <w:snapToGrid w:val="0"/>
        </w:rPr>
        <w:t>.</w:t>
      </w:r>
      <w:r>
        <w:rPr>
          <w:snapToGrid w:val="0"/>
        </w:rPr>
        <w:tab/>
        <w:t>States, Territories and courts prescribed (Act s. 59)</w:t>
      </w:r>
      <w:bookmarkEnd w:id="2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keepNext/>
              <w:spacing w:after="60"/>
            </w:pPr>
            <w:r>
              <w:lastRenderedPageBreak/>
              <w:t>Victoria</w:t>
            </w:r>
          </w:p>
        </w:tc>
        <w:tc>
          <w:tcPr>
            <w:tcW w:w="3544" w:type="dxa"/>
          </w:tcPr>
          <w:p>
            <w:pPr>
              <w:pStyle w:val="Table"/>
              <w:keepNext/>
              <w:spacing w:after="60"/>
            </w:pPr>
            <w:r>
              <w:t>All Magistrates Courts.</w:t>
            </w:r>
          </w:p>
        </w:tc>
      </w:tr>
    </w:tbl>
    <w:p>
      <w:pPr>
        <w:pStyle w:val="Footnotesection"/>
      </w:pPr>
      <w:r>
        <w:tab/>
        <w:t>[Regulation 7 amended: Gazette 11 Mar 2008 p. 818.]</w:t>
      </w:r>
    </w:p>
    <w:p>
      <w:pPr>
        <w:pStyle w:val="Heading5"/>
      </w:pPr>
      <w:bookmarkStart w:id="30" w:name="_Toc186710113"/>
      <w:r>
        <w:rPr>
          <w:rStyle w:val="CharSectno"/>
        </w:rPr>
        <w:t>8</w:t>
      </w:r>
      <w:r>
        <w:t>.</w:t>
      </w:r>
      <w:r>
        <w:tab/>
        <w:t>Property prescribed that cannot be seized etc. (Act s. 75)</w:t>
      </w:r>
      <w:bookmarkEnd w:id="30"/>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keepNext/>
      </w:pPr>
      <w:r>
        <w:tab/>
        <w:t>(3)</w:t>
      </w:r>
      <w:r>
        <w:tab/>
        <w:t xml:space="preserve">For the purposes of section 75(d), ordinary tools of trade, plant and equipment, professional instruments and reference books to </w:t>
      </w:r>
      <w:r>
        <w:lastRenderedPageBreak/>
        <w:t>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31" w:name="_Toc186710114"/>
      <w:r>
        <w:rPr>
          <w:rStyle w:val="CharSectno"/>
        </w:rPr>
        <w:t>8AA</w:t>
      </w:r>
      <w:r>
        <w:t>.</w:t>
      </w:r>
      <w:r>
        <w:tab/>
        <w:t>Protected earnings amount (Act s. 95U)</w:t>
      </w:r>
      <w:bookmarkEnd w:id="31"/>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keepNext/>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lastRenderedPageBreak/>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32" w:name="_Toc186710115"/>
      <w:r>
        <w:rPr>
          <w:rStyle w:val="CharSectno"/>
        </w:rPr>
        <w:t>8AB</w:t>
      </w:r>
      <w:r>
        <w:t>.</w:t>
      </w:r>
      <w:r>
        <w:tab/>
        <w:t>Maximum administration fee for bank account garnishee order (Act s. 95Z)</w:t>
      </w:r>
      <w:bookmarkEnd w:id="32"/>
    </w:p>
    <w:p>
      <w:pPr>
        <w:pStyle w:val="Subsection"/>
      </w:pPr>
      <w:r>
        <w:tab/>
      </w:r>
      <w:r>
        <w:tab/>
        <w:t>For the purposes of section 95Z, the amount prescribed is $5.</w:t>
      </w:r>
    </w:p>
    <w:p>
      <w:pPr>
        <w:pStyle w:val="Footnotesection"/>
      </w:pPr>
      <w:r>
        <w:tab/>
        <w:t>[Regulation 8AB inserted: SL 2020/167 r. 15.]</w:t>
      </w:r>
    </w:p>
    <w:p>
      <w:pPr>
        <w:pStyle w:val="Heading5"/>
      </w:pPr>
      <w:bookmarkStart w:id="33" w:name="_Toc186710116"/>
      <w:r>
        <w:rPr>
          <w:rStyle w:val="CharSectno"/>
        </w:rPr>
        <w:t>8AC</w:t>
      </w:r>
      <w:r>
        <w:t>.</w:t>
      </w:r>
      <w:r>
        <w:tab/>
        <w:t>Protected bank account amount (Act s. 95ZB)</w:t>
      </w:r>
      <w:bookmarkEnd w:id="33"/>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lastRenderedPageBreak/>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34" w:name="_Toc186710117"/>
      <w:r>
        <w:rPr>
          <w:rStyle w:val="CharSectno"/>
        </w:rPr>
        <w:t>8AD</w:t>
      </w:r>
      <w:r>
        <w:t>.</w:t>
      </w:r>
      <w:r>
        <w:tab/>
        <w:t>Form of application for refund of money (Act s. 95ZC)</w:t>
      </w:r>
      <w:bookmarkEnd w:id="34"/>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35" w:name="_Toc186710118"/>
      <w:r>
        <w:rPr>
          <w:rStyle w:val="CharSectno"/>
        </w:rPr>
        <w:t>8AE</w:t>
      </w:r>
      <w:r>
        <w:t>.</w:t>
      </w:r>
      <w:r>
        <w:tab/>
        <w:t>Restrictions on publication of information disclosed under Act s. 100B(3)(a) (Act s. 100F(2)(g))</w:t>
      </w:r>
      <w:bookmarkEnd w:id="35"/>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lastRenderedPageBreak/>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36" w:name="_Toc186710119"/>
      <w:r>
        <w:rPr>
          <w:rStyle w:val="CharSectno"/>
        </w:rPr>
        <w:t>8A</w:t>
      </w:r>
      <w:r>
        <w:rPr>
          <w:snapToGrid w:val="0"/>
        </w:rPr>
        <w:t>.</w:t>
      </w:r>
      <w:r>
        <w:rPr>
          <w:snapToGrid w:val="0"/>
        </w:rPr>
        <w:tab/>
        <w:t>Enforcement proceedings after successful application under Act s. 101, 101AA or 101A</w:t>
      </w:r>
      <w:bookmarkEnd w:id="36"/>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keepNext/>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37" w:name="_Toc186710120"/>
      <w:r>
        <w:rPr>
          <w:rStyle w:val="CharSectno"/>
        </w:rPr>
        <w:lastRenderedPageBreak/>
        <w:t>8B</w:t>
      </w:r>
      <w:r>
        <w:rPr>
          <w:snapToGrid w:val="0"/>
        </w:rPr>
        <w:t>.</w:t>
      </w:r>
      <w:r>
        <w:rPr>
          <w:snapToGrid w:val="0"/>
        </w:rPr>
        <w:tab/>
        <w:t>Enforcement proceedings after an appeal (Act s. 101B)</w:t>
      </w:r>
      <w:bookmarkEnd w:id="37"/>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keepNext/>
        <w:rPr>
          <w:snapToGrid w:val="0"/>
        </w:rPr>
      </w:pPr>
      <w:r>
        <w:rPr>
          <w:snapToGrid w:val="0"/>
        </w:rPr>
        <w:tab/>
        <w:t>(6)</w:t>
      </w:r>
      <w:r>
        <w:rPr>
          <w:snapToGrid w:val="0"/>
        </w:rPr>
        <w:tab/>
        <w:t xml:space="preserve">If when the person appealed, an order to attend for work and development was cancelled by reason of section 101B(3)(e), </w:t>
      </w:r>
      <w:r>
        <w:rPr>
          <w:snapToGrid w:val="0"/>
        </w:rPr>
        <w:lastRenderedPageBreak/>
        <w:t xml:space="preserve">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38" w:name="_Toc186710121"/>
      <w:r>
        <w:rPr>
          <w:rStyle w:val="CharSectno"/>
        </w:rPr>
        <w:t>9</w:t>
      </w:r>
      <w:r>
        <w:t>.</w:t>
      </w:r>
      <w:r>
        <w:tab/>
        <w:t>Enforcement fees prescribed (Act Pt. 3 and 4 and in connection with exercise of powers under enforcement warrant)</w:t>
      </w:r>
      <w:bookmarkEnd w:id="38"/>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in connection with the exercise of powers under an enforcement warrant by the Sheriff and are calculated in accordance with that Division.</w:t>
      </w:r>
    </w:p>
    <w:p>
      <w:pPr>
        <w:pStyle w:val="Subsection"/>
      </w:pPr>
      <w:r>
        <w:tab/>
        <w:t>(4)</w:t>
      </w:r>
      <w:r>
        <w:tab/>
        <w:t xml:space="preserve">Also, the amounts disbursed for the following purposes are prescribed as enforcement fees in connection with the exercise of powers under an enforcement warrant by the Sheriff — </w:t>
      </w:r>
    </w:p>
    <w:p>
      <w:pPr>
        <w:pStyle w:val="Indenta"/>
      </w:pPr>
      <w:r>
        <w:tab/>
        <w:t>(a)</w:t>
      </w:r>
      <w:r>
        <w:tab/>
        <w:t>seizing, moving, storing, securing, protecting and insuring property (including amounts disbursed for keeping animals);</w:t>
      </w:r>
    </w:p>
    <w:p>
      <w:pPr>
        <w:pStyle w:val="Indenta"/>
      </w:pPr>
      <w:r>
        <w:tab/>
        <w:t>(b)</w:t>
      </w:r>
      <w:r>
        <w:tab/>
        <w:t>valuing personal property or land;</w:t>
      </w:r>
    </w:p>
    <w:p>
      <w:pPr>
        <w:pStyle w:val="Indenta"/>
      </w:pPr>
      <w:r>
        <w:tab/>
        <w:t>(c)</w:t>
      </w:r>
      <w:r>
        <w:tab/>
        <w:t>searching for the title and other records related to personal property or land;</w:t>
      </w:r>
    </w:p>
    <w:p>
      <w:pPr>
        <w:pStyle w:val="Indenta"/>
      </w:pPr>
      <w:r>
        <w:tab/>
        <w:t>(d)</w:t>
      </w:r>
      <w:r>
        <w:tab/>
        <w:t>advertising and otherwise arranging the sale of personal property or land;</w:t>
      </w:r>
    </w:p>
    <w:p>
      <w:pPr>
        <w:pStyle w:val="Indenta"/>
      </w:pPr>
      <w:r>
        <w:tab/>
        <w:t>(e)</w:t>
      </w:r>
      <w:r>
        <w:tab/>
        <w:t>selling personal property or land, including settlement costs.</w:t>
      </w:r>
    </w:p>
    <w:p>
      <w:pPr>
        <w:pStyle w:val="Subsection"/>
        <w:keepNext/>
      </w:pPr>
      <w:r>
        <w:lastRenderedPageBreak/>
        <w:tab/>
        <w:t>(5)</w:t>
      </w:r>
      <w:r>
        <w:tab/>
        <w:t>If, in connection with the exercise of powers under an enforcement warrant, it is necessary for the Sheriff to do something that is not otherwise provided for in this regulation or Schedule 2 Division 3, the following amounts are prescribed as enforcement fees in connection with the exercise of powers under the warrant —</w:t>
      </w:r>
      <w:r>
        <w:rPr>
          <w:u w:val="single"/>
        </w:rPr>
        <w:t xml:space="preserve"> </w:t>
      </w:r>
    </w:p>
    <w:p>
      <w:pPr>
        <w:pStyle w:val="Indenta"/>
      </w:pPr>
      <w:r>
        <w:tab/>
        <w:t>(a)</w:t>
      </w:r>
      <w:r>
        <w:tab/>
        <w:t>the amount decided by the Sheriff under subregulation (6) for each half hour, or part of a half hour, spent by the Sheriff or a delegate of the Sheriff doing the thing;</w:t>
      </w:r>
    </w:p>
    <w:p>
      <w:pPr>
        <w:pStyle w:val="Indenta"/>
      </w:pPr>
      <w:r>
        <w:tab/>
        <w:t>(b)</w:t>
      </w:r>
      <w:r>
        <w:tab/>
        <w:t xml:space="preserve">if it is necessary for the Sheriff or delegate to travel in connection with doing the thing — the rate per kilometre (1 way) that is prescribed as a travelling fee for the service of documents under the </w:t>
      </w:r>
      <w:r>
        <w:rPr>
          <w:i/>
        </w:rPr>
        <w:t>Magistrates Court (Fees) Regulations 2005</w:t>
      </w:r>
      <w:r>
        <w:t>;</w:t>
      </w:r>
    </w:p>
    <w:p>
      <w:pPr>
        <w:pStyle w:val="Indenta"/>
      </w:pPr>
      <w:r>
        <w:tab/>
        <w:t>(c)</w:t>
      </w:r>
      <w:r>
        <w:tab/>
        <w:t>the reasonable amount of an expense incurred by the Sheriff or delegate doing the thing.</w:t>
      </w:r>
    </w:p>
    <w:p>
      <w:pPr>
        <w:pStyle w:val="Subsection"/>
      </w:pPr>
      <w:r>
        <w:tab/>
        <w:t>(6)</w:t>
      </w:r>
      <w:r>
        <w:tab/>
        <w:t>For the purposes of subregulation (5)(a), the Sheriff may decide a rate for each half hour, or part of a half hour, of the Sheriff’s or a delegate’s time doing a thing referred to in subregulation (5), that represents the cost of half an hour of the Sheriff’s or delegate’s time.</w:t>
      </w:r>
    </w:p>
    <w:p>
      <w:pPr>
        <w:pStyle w:val="Subsection"/>
      </w:pPr>
      <w:r>
        <w:tab/>
        <w:t>(7)</w:t>
      </w:r>
      <w:r>
        <w:tab/>
        <w:t>A note to an item in Schedule 2 has effect according to its tenor as if it were a provision of these regulations.</w:t>
      </w:r>
    </w:p>
    <w:p>
      <w:pPr>
        <w:pStyle w:val="Footnotesection"/>
      </w:pPr>
      <w:r>
        <w:tab/>
        <w:t>[Regulation 9 inserted: Gazette 13 May 2005 p. 2079</w:t>
      </w:r>
      <w:r>
        <w:noBreakHyphen/>
        <w:t>80; amended: SL 2023/120 r. 24.]</w:t>
      </w:r>
    </w:p>
    <w:p>
      <w:pPr>
        <w:pStyle w:val="Heading5"/>
        <w:spacing w:before="180"/>
      </w:pPr>
      <w:bookmarkStart w:id="39" w:name="_Toc186710122"/>
      <w:r>
        <w:rPr>
          <w:rStyle w:val="CharSectno"/>
        </w:rPr>
        <w:t>10</w:t>
      </w:r>
      <w:r>
        <w:t>.</w:t>
      </w:r>
      <w:r>
        <w:tab/>
        <w:t>Exemptions from fees (Act Part 3)</w:t>
      </w:r>
      <w:bookmarkEnd w:id="39"/>
    </w:p>
    <w:p>
      <w:pPr>
        <w:pStyle w:val="Subsection"/>
      </w:pPr>
      <w:r>
        <w:tab/>
      </w:r>
      <w:r>
        <w:tab/>
        <w:t>The prosecuting authorities specified in the Table are exempted from payment of the fee for registering an infringement notice under Part 3 of the Act.</w:t>
      </w:r>
    </w:p>
    <w:p>
      <w:pPr>
        <w:pStyle w:val="THeadingNAm"/>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791"/>
      </w:tblGrid>
      <w:tr>
        <w:trPr>
          <w:cantSplit/>
        </w:trPr>
        <w:tc>
          <w:tcPr>
            <w:tcW w:w="737" w:type="dxa"/>
            <w:noWrap/>
          </w:tcPr>
          <w:p>
            <w:pPr>
              <w:pStyle w:val="TableNAm"/>
            </w:pPr>
            <w:r>
              <w:t>1.</w:t>
            </w:r>
          </w:p>
        </w:tc>
        <w:tc>
          <w:tcPr>
            <w:tcW w:w="4791" w:type="dxa"/>
            <w:noWrap/>
          </w:tcPr>
          <w:p>
            <w:pPr>
              <w:pStyle w:val="TableNAm"/>
            </w:pPr>
            <w:r>
              <w:t>Commissioner of Police</w:t>
            </w:r>
          </w:p>
        </w:tc>
      </w:tr>
      <w:tr>
        <w:trPr>
          <w:cantSplit/>
        </w:trPr>
        <w:tc>
          <w:tcPr>
            <w:tcW w:w="737" w:type="dxa"/>
            <w:noWrap/>
          </w:tcPr>
          <w:p>
            <w:pPr>
              <w:pStyle w:val="TableNAm"/>
            </w:pPr>
            <w:r>
              <w:t>2.</w:t>
            </w:r>
          </w:p>
        </w:tc>
        <w:tc>
          <w:tcPr>
            <w:tcW w:w="4791" w:type="dxa"/>
            <w:noWrap/>
          </w:tcPr>
          <w:p>
            <w:pPr>
              <w:pStyle w:val="TableNAm"/>
            </w:pPr>
            <w:r>
              <w:t>Department of Biodiversity, Conservation and Attractions</w:t>
            </w:r>
          </w:p>
        </w:tc>
      </w:tr>
      <w:tr>
        <w:trPr>
          <w:cantSplit/>
        </w:trPr>
        <w:tc>
          <w:tcPr>
            <w:tcW w:w="737" w:type="dxa"/>
            <w:noWrap/>
          </w:tcPr>
          <w:p>
            <w:pPr>
              <w:pStyle w:val="TableNAm"/>
            </w:pPr>
            <w:r>
              <w:t>2A.</w:t>
            </w:r>
          </w:p>
        </w:tc>
        <w:tc>
          <w:tcPr>
            <w:tcW w:w="4791" w:type="dxa"/>
            <w:noWrap/>
          </w:tcPr>
          <w:p>
            <w:pPr>
              <w:pStyle w:val="TableNAm"/>
            </w:pPr>
            <w:r>
              <w:t>Department of Communities</w:t>
            </w:r>
          </w:p>
        </w:tc>
      </w:tr>
      <w:tr>
        <w:trPr>
          <w:cantSplit/>
        </w:trPr>
        <w:tc>
          <w:tcPr>
            <w:tcW w:w="737" w:type="dxa"/>
            <w:noWrap/>
          </w:tcPr>
          <w:p>
            <w:pPr>
              <w:pStyle w:val="TableNAm"/>
            </w:pPr>
            <w:r>
              <w:t>3.</w:t>
            </w:r>
          </w:p>
        </w:tc>
        <w:tc>
          <w:tcPr>
            <w:tcW w:w="4791" w:type="dxa"/>
            <w:noWrap/>
          </w:tcPr>
          <w:p>
            <w:pPr>
              <w:pStyle w:val="TableNAm"/>
            </w:pPr>
            <w:r>
              <w:t>Department of Fire and Emergency Services</w:t>
            </w:r>
          </w:p>
        </w:tc>
      </w:tr>
      <w:tr>
        <w:trPr>
          <w:cantSplit/>
        </w:trPr>
        <w:tc>
          <w:tcPr>
            <w:tcW w:w="737" w:type="dxa"/>
            <w:noWrap/>
          </w:tcPr>
          <w:p>
            <w:pPr>
              <w:pStyle w:val="TableNAm"/>
            </w:pPr>
            <w:r>
              <w:t>4.</w:t>
            </w:r>
          </w:p>
        </w:tc>
        <w:tc>
          <w:tcPr>
            <w:tcW w:w="4791" w:type="dxa"/>
            <w:noWrap/>
          </w:tcPr>
          <w:p>
            <w:pPr>
              <w:pStyle w:val="TableNAm"/>
            </w:pPr>
            <w:r>
              <w:t>Department of Health</w:t>
            </w:r>
          </w:p>
        </w:tc>
      </w:tr>
      <w:tr>
        <w:trPr>
          <w:cantSplit/>
        </w:trPr>
        <w:tc>
          <w:tcPr>
            <w:tcW w:w="737" w:type="dxa"/>
            <w:noWrap/>
          </w:tcPr>
          <w:p>
            <w:pPr>
              <w:pStyle w:val="TableNAm"/>
            </w:pPr>
            <w:r>
              <w:t>4A.</w:t>
            </w:r>
          </w:p>
        </w:tc>
        <w:tc>
          <w:tcPr>
            <w:tcW w:w="4791" w:type="dxa"/>
            <w:noWrap/>
          </w:tcPr>
          <w:p>
            <w:pPr>
              <w:pStyle w:val="TableNAm"/>
            </w:pPr>
            <w:r>
              <w:t>Department of Jobs, Tourism, Science and Innovation</w:t>
            </w:r>
          </w:p>
        </w:tc>
      </w:tr>
      <w:tr>
        <w:trPr>
          <w:cantSplit/>
        </w:trPr>
        <w:tc>
          <w:tcPr>
            <w:tcW w:w="737" w:type="dxa"/>
            <w:noWrap/>
          </w:tcPr>
          <w:p>
            <w:pPr>
              <w:pStyle w:val="TableNAm"/>
            </w:pPr>
            <w:r>
              <w:t>5.</w:t>
            </w:r>
          </w:p>
        </w:tc>
        <w:tc>
          <w:tcPr>
            <w:tcW w:w="4791" w:type="dxa"/>
            <w:noWrap/>
          </w:tcPr>
          <w:p>
            <w:pPr>
              <w:pStyle w:val="TableNAm"/>
            </w:pPr>
            <w:r>
              <w:t>Department of Justice</w:t>
            </w:r>
          </w:p>
        </w:tc>
      </w:tr>
      <w:tr>
        <w:trPr>
          <w:cantSplit/>
        </w:trPr>
        <w:tc>
          <w:tcPr>
            <w:tcW w:w="737" w:type="dxa"/>
            <w:noWrap/>
          </w:tcPr>
          <w:p>
            <w:pPr>
              <w:pStyle w:val="TableNAm"/>
            </w:pPr>
            <w:r>
              <w:t>6.</w:t>
            </w:r>
          </w:p>
        </w:tc>
        <w:tc>
          <w:tcPr>
            <w:tcW w:w="4791" w:type="dxa"/>
            <w:noWrap/>
          </w:tcPr>
          <w:p>
            <w:pPr>
              <w:pStyle w:val="TableNAm"/>
            </w:pPr>
            <w:r>
              <w:t>Department of Local Government, Sport and Cultural Industries</w:t>
            </w:r>
          </w:p>
        </w:tc>
      </w:tr>
      <w:tr>
        <w:trPr>
          <w:cantSplit/>
        </w:trPr>
        <w:tc>
          <w:tcPr>
            <w:tcW w:w="737" w:type="dxa"/>
            <w:noWrap/>
          </w:tcPr>
          <w:p>
            <w:pPr>
              <w:pStyle w:val="TableNAm"/>
            </w:pPr>
            <w:r>
              <w:t>7.</w:t>
            </w:r>
          </w:p>
        </w:tc>
        <w:tc>
          <w:tcPr>
            <w:tcW w:w="4791" w:type="dxa"/>
            <w:noWrap/>
          </w:tcPr>
          <w:p>
            <w:pPr>
              <w:pStyle w:val="TableNAm"/>
            </w:pPr>
            <w:r>
              <w:t>Department of Energy, Mines, Industry Regulation and Safety</w:t>
            </w:r>
          </w:p>
        </w:tc>
      </w:tr>
      <w:tr>
        <w:trPr>
          <w:cantSplit/>
        </w:trPr>
        <w:tc>
          <w:tcPr>
            <w:tcW w:w="737" w:type="dxa"/>
            <w:noWrap/>
          </w:tcPr>
          <w:p>
            <w:pPr>
              <w:pStyle w:val="TableNAm"/>
            </w:pPr>
            <w:r>
              <w:t>8.</w:t>
            </w:r>
          </w:p>
        </w:tc>
        <w:tc>
          <w:tcPr>
            <w:tcW w:w="4791" w:type="dxa"/>
            <w:noWrap/>
          </w:tcPr>
          <w:p>
            <w:pPr>
              <w:pStyle w:val="TableNAm"/>
              <w:rPr>
                <w:vertAlign w:val="superscript"/>
              </w:rPr>
            </w:pPr>
            <w:r>
              <w:t>Department of Primary Industries and Regional Development</w:t>
            </w:r>
          </w:p>
        </w:tc>
      </w:tr>
      <w:tr>
        <w:trPr>
          <w:cantSplit/>
        </w:trPr>
        <w:tc>
          <w:tcPr>
            <w:tcW w:w="737" w:type="dxa"/>
            <w:noWrap/>
          </w:tcPr>
          <w:p>
            <w:pPr>
              <w:pStyle w:val="TableNAm"/>
            </w:pPr>
            <w:r>
              <w:t>9.</w:t>
            </w:r>
          </w:p>
        </w:tc>
        <w:tc>
          <w:tcPr>
            <w:tcW w:w="4791" w:type="dxa"/>
            <w:noWrap/>
          </w:tcPr>
          <w:p>
            <w:pPr>
              <w:pStyle w:val="TableNAm"/>
            </w:pPr>
            <w:r>
              <w:t>Department of Transport</w:t>
            </w:r>
          </w:p>
        </w:tc>
      </w:tr>
      <w:tr>
        <w:trPr>
          <w:cantSplit/>
        </w:trPr>
        <w:tc>
          <w:tcPr>
            <w:tcW w:w="737" w:type="dxa"/>
            <w:noWrap/>
          </w:tcPr>
          <w:p>
            <w:pPr>
              <w:pStyle w:val="TableNAm"/>
            </w:pPr>
            <w:r>
              <w:t>10.</w:t>
            </w:r>
          </w:p>
        </w:tc>
        <w:tc>
          <w:tcPr>
            <w:tcW w:w="4791" w:type="dxa"/>
            <w:noWrap/>
          </w:tcPr>
          <w:p>
            <w:pPr>
              <w:pStyle w:val="TableNAm"/>
              <w:rPr>
                <w:vertAlign w:val="superscript"/>
              </w:rPr>
            </w:pPr>
            <w:r>
              <w:t>Department of Water and Environmental Regulation</w:t>
            </w:r>
          </w:p>
        </w:tc>
      </w:tr>
      <w:tr>
        <w:trPr>
          <w:cantSplit/>
        </w:trPr>
        <w:tc>
          <w:tcPr>
            <w:tcW w:w="737" w:type="dxa"/>
            <w:noWrap/>
          </w:tcPr>
          <w:p>
            <w:pPr>
              <w:pStyle w:val="TableNAm"/>
            </w:pPr>
            <w:r>
              <w:t>11.</w:t>
            </w:r>
          </w:p>
        </w:tc>
        <w:tc>
          <w:tcPr>
            <w:tcW w:w="4791" w:type="dxa"/>
            <w:noWrap/>
          </w:tcPr>
          <w:p>
            <w:pPr>
              <w:pStyle w:val="TableNAm"/>
            </w:pPr>
            <w:r>
              <w:t>Gaming and Wagering Commission of Western Australia</w:t>
            </w:r>
          </w:p>
        </w:tc>
      </w:tr>
      <w:tr>
        <w:trPr>
          <w:cantSplit/>
        </w:trPr>
        <w:tc>
          <w:tcPr>
            <w:tcW w:w="737" w:type="dxa"/>
            <w:noWrap/>
          </w:tcPr>
          <w:p>
            <w:pPr>
              <w:pStyle w:val="TableNAm"/>
            </w:pPr>
            <w:r>
              <w:t>12.</w:t>
            </w:r>
          </w:p>
        </w:tc>
        <w:tc>
          <w:tcPr>
            <w:tcW w:w="4791" w:type="dxa"/>
            <w:noWrap/>
          </w:tcPr>
          <w:p>
            <w:pPr>
              <w:pStyle w:val="TableNAm"/>
            </w:pPr>
            <w:r>
              <w:t>Public Transport Authority of Western Australia</w:t>
            </w:r>
          </w:p>
        </w:tc>
      </w:tr>
      <w:tr>
        <w:trPr>
          <w:cantSplit/>
        </w:trPr>
        <w:tc>
          <w:tcPr>
            <w:tcW w:w="737" w:type="dxa"/>
            <w:noWrap/>
          </w:tcPr>
          <w:p>
            <w:pPr>
              <w:pStyle w:val="TableNAm"/>
            </w:pPr>
            <w:r>
              <w:lastRenderedPageBreak/>
              <w:t>13.</w:t>
            </w:r>
          </w:p>
        </w:tc>
        <w:tc>
          <w:tcPr>
            <w:tcW w:w="4791" w:type="dxa"/>
            <w:noWrap/>
          </w:tcPr>
          <w:p>
            <w:pPr>
              <w:pStyle w:val="TableNAm"/>
            </w:pPr>
            <w:r>
              <w:t>Rottnest Island Authority</w:t>
            </w:r>
          </w:p>
        </w:tc>
      </w:tr>
      <w:tr>
        <w:trPr>
          <w:cantSplit/>
        </w:trPr>
        <w:tc>
          <w:tcPr>
            <w:tcW w:w="737" w:type="dxa"/>
            <w:noWrap/>
          </w:tcPr>
          <w:p>
            <w:pPr>
              <w:pStyle w:val="TableNAm"/>
            </w:pPr>
            <w:r>
              <w:t>14.</w:t>
            </w:r>
          </w:p>
        </w:tc>
        <w:tc>
          <w:tcPr>
            <w:tcW w:w="4791" w:type="dxa"/>
            <w:noWrap/>
          </w:tcPr>
          <w:p>
            <w:pPr>
              <w:pStyle w:val="TableNAm"/>
            </w:pPr>
            <w:r>
              <w:t>The Queen Elizabeth II Medical Centre Trust</w:t>
            </w:r>
          </w:p>
        </w:tc>
      </w:tr>
      <w:tr>
        <w:trPr>
          <w:cantSplit/>
        </w:trPr>
        <w:tc>
          <w:tcPr>
            <w:tcW w:w="737" w:type="dxa"/>
            <w:noWrap/>
          </w:tcPr>
          <w:p>
            <w:pPr>
              <w:pStyle w:val="TableNAm"/>
            </w:pPr>
            <w:r>
              <w:t>15.</w:t>
            </w:r>
          </w:p>
        </w:tc>
        <w:tc>
          <w:tcPr>
            <w:tcW w:w="4791" w:type="dxa"/>
            <w:noWrap/>
          </w:tcPr>
          <w:p>
            <w:pPr>
              <w:pStyle w:val="TableNAm"/>
            </w:pPr>
            <w:r>
              <w:t>Water Corporation</w:t>
            </w:r>
          </w:p>
        </w:tc>
      </w:tr>
      <w:tr>
        <w:trPr>
          <w:cantSplit/>
        </w:trPr>
        <w:tc>
          <w:tcPr>
            <w:tcW w:w="737" w:type="dxa"/>
            <w:noWrap/>
          </w:tcPr>
          <w:p>
            <w:pPr>
              <w:pStyle w:val="TableNAm"/>
            </w:pPr>
            <w:r>
              <w:t>16.</w:t>
            </w:r>
          </w:p>
        </w:tc>
        <w:tc>
          <w:tcPr>
            <w:tcW w:w="4791" w:type="dxa"/>
            <w:noWrap/>
          </w:tcPr>
          <w:p>
            <w:pPr>
              <w:pStyle w:val="TableNAm"/>
            </w:pPr>
            <w:r>
              <w:t>Western Australian Electoral Commission</w:t>
            </w:r>
          </w:p>
        </w:tc>
      </w:tr>
      <w:tr>
        <w:trPr>
          <w:cantSplit/>
        </w:trPr>
        <w:tc>
          <w:tcPr>
            <w:tcW w:w="737" w:type="dxa"/>
            <w:noWrap/>
          </w:tcPr>
          <w:p>
            <w:pPr>
              <w:pStyle w:val="TableNAm"/>
            </w:pPr>
            <w:r>
              <w:t>16A.</w:t>
            </w:r>
          </w:p>
        </w:tc>
        <w:tc>
          <w:tcPr>
            <w:tcW w:w="4791" w:type="dxa"/>
            <w:noWrap/>
          </w:tcPr>
          <w:p>
            <w:pPr>
              <w:pStyle w:val="TableNAm"/>
            </w:pPr>
            <w:r>
              <w:t>WorkCover WA</w:t>
            </w:r>
          </w:p>
        </w:tc>
      </w:tr>
      <w:tr>
        <w:trPr>
          <w:cantSplit/>
        </w:trPr>
        <w:tc>
          <w:tcPr>
            <w:tcW w:w="737" w:type="dxa"/>
            <w:noWrap/>
          </w:tcPr>
          <w:p>
            <w:pPr>
              <w:pStyle w:val="TableNAm"/>
            </w:pPr>
            <w:r>
              <w:t>17.</w:t>
            </w:r>
          </w:p>
        </w:tc>
        <w:tc>
          <w:tcPr>
            <w:tcW w:w="4791" w:type="dxa"/>
            <w:noWrap/>
          </w:tcPr>
          <w:p>
            <w:pPr>
              <w:pStyle w:val="TableNAm"/>
            </w:pPr>
            <w:r>
              <w:t>Zoological Parks Authority</w:t>
            </w:r>
          </w:p>
        </w:tc>
      </w:tr>
    </w:tbl>
    <w:p>
      <w:pPr>
        <w:pStyle w:val="Footnotesection"/>
      </w:pPr>
      <w:r>
        <w:tab/>
        <w:t>[Regulation 10 inserted: Gazette 20 Aug 2013 p. 3883-4; amended: Gazette 13 Jan 2015 p. 250; SL 2020/167 r. 17; SL 2023/180 r. 4; SL 2024/44 r. 4; SL 2024/232 r. 4.]</w:t>
      </w:r>
    </w:p>
    <w:p>
      <w:pPr>
        <w:pStyle w:val="Heading5"/>
      </w:pPr>
      <w:bookmarkStart w:id="40" w:name="_Toc186710123"/>
      <w:r>
        <w:rPr>
          <w:rStyle w:val="CharSectno"/>
        </w:rPr>
        <w:t>11A</w:t>
      </w:r>
      <w:r>
        <w:t>.</w:t>
      </w:r>
      <w:r>
        <w:tab/>
        <w:t>Giving documents to Registry by means of ECMS</w:t>
      </w:r>
      <w:bookmarkEnd w:id="40"/>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keepNext/>
      </w:pPr>
      <w:r>
        <w:lastRenderedPageBreak/>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41" w:name="_Toc186710124"/>
      <w:r>
        <w:rPr>
          <w:rStyle w:val="CharSectno"/>
        </w:rPr>
        <w:t>11B</w:t>
      </w:r>
      <w:r>
        <w:t>.</w:t>
      </w:r>
      <w:r>
        <w:tab/>
        <w:t>Issuing warrants</w:t>
      </w:r>
      <w:bookmarkEnd w:id="41"/>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w:t>
      </w:r>
      <w:r>
        <w:lastRenderedPageBreak/>
        <w:t>by means of the ECMS to an electronic system maintained by that chief executive officer for the management of the functions of the department of the Government principally assisting the Minister with the administration of that Act.</w:t>
      </w:r>
    </w:p>
    <w:p>
      <w:pPr>
        <w:pStyle w:val="Subsection"/>
        <w:keepNext/>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42" w:name="_Toc186710125"/>
      <w:r>
        <w:rPr>
          <w:rStyle w:val="CharSectno"/>
        </w:rPr>
        <w:lastRenderedPageBreak/>
        <w:t>11C</w:t>
      </w:r>
      <w:r>
        <w:t>.</w:t>
      </w:r>
      <w:r>
        <w:tab/>
        <w:t>Issuing summons under Act s. 52Q</w:t>
      </w:r>
      <w:bookmarkEnd w:id="42"/>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43" w:name="_Toc186710126"/>
      <w:r>
        <w:rPr>
          <w:rStyle w:val="CharSectno"/>
        </w:rPr>
        <w:t>11D</w:t>
      </w:r>
      <w:r>
        <w:t>.</w:t>
      </w:r>
      <w:r>
        <w:tab/>
        <w:t>Issuing orders, permits and notices</w:t>
      </w:r>
      <w:bookmarkEnd w:id="43"/>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44" w:name="_Toc186710127"/>
      <w:r>
        <w:rPr>
          <w:rStyle w:val="CharSectno"/>
        </w:rPr>
        <w:lastRenderedPageBreak/>
        <w:t>11</w:t>
      </w:r>
      <w:r>
        <w:rPr>
          <w:snapToGrid w:val="0"/>
        </w:rPr>
        <w:t>.</w:t>
      </w:r>
      <w:r>
        <w:rPr>
          <w:snapToGrid w:val="0"/>
        </w:rPr>
        <w:tab/>
        <w:t>Methods of payment</w:t>
      </w:r>
      <w:bookmarkEnd w:id="44"/>
    </w:p>
    <w:p>
      <w:pPr>
        <w:pStyle w:val="Subsection"/>
        <w:keepNext/>
        <w:rPr>
          <w:snapToGrid w:val="0"/>
        </w:rPr>
      </w:pPr>
      <w:r>
        <w:rPr>
          <w:snapToGrid w:val="0"/>
        </w:rPr>
        <w:tab/>
      </w:r>
      <w:r>
        <w:rPr>
          <w:snapToGrid w:val="0"/>
        </w:rPr>
        <w:tab/>
        <w:t>Under the Act, modified penalties,</w:t>
      </w:r>
      <w:r>
        <w:t xml:space="preserve"> outstanding balances of modified penalties,</w:t>
      </w:r>
      <w:r>
        <w:rPr>
          <w:snapToGrid w:val="0"/>
        </w:rPr>
        <w:t xml:space="preserve">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 SL 2024/203 r. 7.]</w:t>
      </w:r>
    </w:p>
    <w:p>
      <w:pPr>
        <w:pStyle w:val="Heading5"/>
        <w:rPr>
          <w:snapToGrid w:val="0"/>
        </w:rPr>
      </w:pPr>
      <w:bookmarkStart w:id="45" w:name="_Toc186710128"/>
      <w:r>
        <w:rPr>
          <w:rStyle w:val="CharSectno"/>
        </w:rPr>
        <w:t>12</w:t>
      </w:r>
      <w:r>
        <w:rPr>
          <w:snapToGrid w:val="0"/>
        </w:rPr>
        <w:t>.</w:t>
      </w:r>
      <w:r>
        <w:rPr>
          <w:snapToGrid w:val="0"/>
        </w:rPr>
        <w:tab/>
        <w:t>Forms</w:t>
      </w:r>
      <w:bookmarkEnd w:id="45"/>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3"/>
          <w:headerReference w:type="default" r:id="rId24"/>
          <w:headerReference w:type="first" r:id="rId25"/>
          <w:pgSz w:w="11907" w:h="16840" w:code="9"/>
          <w:pgMar w:top="2376" w:right="2405" w:bottom="3542" w:left="2405" w:header="706" w:footer="3544" w:gutter="0"/>
          <w:pgNumType w:start="1"/>
          <w:cols w:space="720"/>
          <w:noEndnote/>
          <w:titlePg/>
          <w:docGrid w:linePitch="326"/>
        </w:sectPr>
      </w:pPr>
    </w:p>
    <w:p>
      <w:pPr>
        <w:pStyle w:val="yScheduleHeading"/>
      </w:pPr>
      <w:bookmarkStart w:id="46" w:name="_Toc186709170"/>
      <w:bookmarkStart w:id="47" w:name="_Toc186709555"/>
      <w:bookmarkStart w:id="48" w:name="_Toc186710060"/>
      <w:bookmarkStart w:id="49" w:name="_Toc186710129"/>
      <w:r>
        <w:rPr>
          <w:rStyle w:val="CharSchNo"/>
        </w:rPr>
        <w:lastRenderedPageBreak/>
        <w:t>Schedule 1</w:t>
      </w:r>
      <w:r>
        <w:rPr>
          <w:rStyle w:val="CharSDivNo"/>
        </w:rPr>
        <w:t> </w:t>
      </w:r>
      <w:r>
        <w:t>—</w:t>
      </w:r>
      <w:r>
        <w:rPr>
          <w:rStyle w:val="CharSDivText"/>
        </w:rPr>
        <w:t> </w:t>
      </w:r>
      <w:r>
        <w:rPr>
          <w:rStyle w:val="CharSchText"/>
        </w:rPr>
        <w:t>Enactments to which Part 3 of the Act applies</w:t>
      </w:r>
      <w:bookmarkEnd w:id="46"/>
      <w:bookmarkEnd w:id="47"/>
      <w:bookmarkEnd w:id="48"/>
      <w:bookmarkEnd w:id="49"/>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iCs/>
              </w:rPr>
              <w:t>Betting Control Act 1954</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and Construction Industry (Security of Payment) Act 2021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1</w:t>
            </w:r>
          </w:p>
        </w:tc>
        <w:tc>
          <w:tcPr>
            <w:tcW w:w="1301" w:type="dxa"/>
          </w:tcPr>
          <w:p>
            <w:pPr>
              <w:pStyle w:val="yTableNAm"/>
              <w:tabs>
                <w:tab w:val="clear" w:pos="567"/>
              </w:tabs>
              <w:ind w:right="510"/>
              <w:jc w:val="right"/>
            </w:pPr>
          </w:p>
        </w:tc>
      </w:tr>
      <w:tr>
        <w:tc>
          <w:tcPr>
            <w:tcW w:w="5788" w:type="dxa"/>
          </w:tcPr>
          <w:p>
            <w:pPr>
              <w:pStyle w:val="yTableNAm"/>
              <w:rPr>
                <w:i/>
              </w:rPr>
            </w:pPr>
            <w:r>
              <w:rPr>
                <w:i/>
              </w:rPr>
              <w:lastRenderedPageBreak/>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2</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rPr>
                <w:i/>
              </w:rPr>
            </w:pPr>
            <w:r>
              <w:rPr>
                <w:i/>
                <w:iCs/>
              </w:rPr>
              <w:t>Education and Care Services National Law (Western Australia)</w:t>
            </w:r>
          </w:p>
        </w:tc>
        <w:tc>
          <w:tcPr>
            <w:tcW w:w="1301" w:type="dxa"/>
          </w:tcPr>
          <w:p>
            <w:pPr>
              <w:pStyle w:val="yTableNAm"/>
              <w:tabs>
                <w:tab w:val="clear" w:pos="567"/>
              </w:tabs>
              <w:ind w:right="510"/>
              <w:jc w:val="right"/>
            </w:pP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rPr>
                <w:i/>
              </w:rPr>
            </w:pPr>
            <w:r>
              <w:rPr>
                <w:i/>
                <w:iCs/>
              </w:rPr>
              <w:t>Firearms Act 2024</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lastRenderedPageBreak/>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rPr>
              <w:t>Major Events Act 2023</w:t>
            </w:r>
          </w:p>
        </w:tc>
        <w:tc>
          <w:tcPr>
            <w:tcW w:w="1301" w:type="dxa"/>
          </w:tcPr>
          <w:p>
            <w:pPr>
              <w:pStyle w:val="yTableNAm"/>
              <w:tabs>
                <w:tab w:val="clear" w:pos="567"/>
              </w:tabs>
              <w:ind w:right="510"/>
              <w:jc w:val="right"/>
            </w:pPr>
          </w:p>
        </w:tc>
      </w:tr>
      <w:tr>
        <w:tc>
          <w:tcPr>
            <w:tcW w:w="5788" w:type="dxa"/>
          </w:tcPr>
          <w:p>
            <w:pPr>
              <w:pStyle w:val="yTableNAm"/>
              <w:rPr>
                <w:i/>
                <w:szCs w:val="22"/>
              </w:rPr>
            </w:pPr>
            <w:r>
              <w:rPr>
                <w:i/>
                <w:iCs/>
              </w:rPr>
              <w:t>Medicines and Poisons Act 2014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keepNext/>
              <w:rPr>
                <w:i/>
              </w:rPr>
            </w:pPr>
            <w:r>
              <w:rPr>
                <w:i/>
              </w:rPr>
              <w:lastRenderedPageBreak/>
              <w:t>Residential Parks (Long stay Tenants) Act 2006</w:t>
            </w:r>
          </w:p>
        </w:tc>
        <w:tc>
          <w:tcPr>
            <w:tcW w:w="1301" w:type="dxa"/>
          </w:tcPr>
          <w:p>
            <w:pPr>
              <w:pStyle w:val="yTableNAm"/>
              <w:keepNext/>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iCs/>
              </w:rPr>
              <w:t>Short-Term Rental Accommodation Act 2024</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Ticket Scalping Act 2021</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rPr>
                <w:i/>
                <w:iCs/>
              </w:rPr>
            </w:pPr>
            <w:r>
              <w:rPr>
                <w:i/>
                <w:iCs/>
              </w:rPr>
              <w:t>Towing Services Act 2024</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iCs/>
              </w:rPr>
              <w:t>Workers Compensation and Injury Management Act 2023</w:t>
            </w:r>
          </w:p>
        </w:tc>
        <w:tc>
          <w:tcPr>
            <w:tcW w:w="1301" w:type="dxa"/>
          </w:tcPr>
          <w:p>
            <w:pPr>
              <w:pStyle w:val="yTableNAm"/>
              <w:tabs>
                <w:tab w:val="clear" w:pos="567"/>
              </w:tabs>
              <w:ind w:right="510"/>
              <w:jc w:val="right"/>
            </w:pPr>
          </w:p>
        </w:tc>
      </w:tr>
      <w:tr>
        <w:tc>
          <w:tcPr>
            <w:tcW w:w="5788" w:type="dxa"/>
          </w:tcPr>
          <w:p>
            <w:pPr>
              <w:pStyle w:val="yTableNAm"/>
              <w:keepNext/>
              <w:rPr>
                <w:i/>
              </w:rPr>
            </w:pPr>
            <w:r>
              <w:rPr>
                <w:i/>
              </w:rPr>
              <w:lastRenderedPageBreak/>
              <w:t>Zoological Parks Authority Act 2001</w:t>
            </w:r>
          </w:p>
        </w:tc>
        <w:tc>
          <w:tcPr>
            <w:tcW w:w="1301" w:type="dxa"/>
          </w:tcPr>
          <w:p>
            <w:pPr>
              <w:pStyle w:val="yTableNAm"/>
              <w:keepNext/>
              <w:tabs>
                <w:tab w:val="clear" w:pos="567"/>
              </w:tabs>
              <w:ind w:right="510"/>
              <w:jc w:val="right"/>
            </w:pPr>
          </w:p>
        </w:tc>
      </w:tr>
    </w:tbl>
    <w:p>
      <w:pPr>
        <w:pStyle w:val="yFootnotesection"/>
        <w:keepLines w:val="0"/>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 SL 2021/135 r. 6; SL 2021/136 r. 6; SL 2021/174 r. 6; SL 2022/7 r. 4; SL 2022/14 r. 6; SL 2023/69 r. 6; SL 2024/29 r. 6; SL 2024/44 r. 5; SL 2024/76 r. 6; SL 2024/203 r. 8; SL 2024/210 r. 6; SL 2024/242 r. 6; SL 2024/260 r. 6; SL 2025/2 r. 6.]</w:t>
      </w:r>
    </w:p>
    <w:p>
      <w:pPr>
        <w:pStyle w:val="yScheduleHeading"/>
      </w:pPr>
      <w:bookmarkStart w:id="50" w:name="_Toc186709171"/>
      <w:bookmarkStart w:id="51" w:name="_Toc186709556"/>
      <w:bookmarkStart w:id="52" w:name="_Toc186710061"/>
      <w:bookmarkStart w:id="53" w:name="_Toc186710130"/>
      <w:r>
        <w:rPr>
          <w:rStyle w:val="CharSchNo"/>
        </w:rPr>
        <w:lastRenderedPageBreak/>
        <w:t>Schedule 2</w:t>
      </w:r>
      <w:r>
        <w:t> — </w:t>
      </w:r>
      <w:r>
        <w:rPr>
          <w:rStyle w:val="CharSchText"/>
        </w:rPr>
        <w:t>Enforcement fees</w:t>
      </w:r>
      <w:bookmarkEnd w:id="50"/>
      <w:bookmarkEnd w:id="51"/>
      <w:bookmarkEnd w:id="52"/>
      <w:bookmarkEnd w:id="53"/>
    </w:p>
    <w:p>
      <w:pPr>
        <w:pStyle w:val="yShoulderClause"/>
      </w:pPr>
      <w:r>
        <w:t>[r. 9]</w:t>
      </w:r>
    </w:p>
    <w:p>
      <w:pPr>
        <w:pStyle w:val="yFootnoteheading"/>
      </w:pPr>
      <w:r>
        <w:tab/>
        <w:t>[Heading inserted: SL 2024/113 r. 19.]</w:t>
      </w:r>
    </w:p>
    <w:p>
      <w:pPr>
        <w:pStyle w:val="yHeading3"/>
      </w:pPr>
      <w:bookmarkStart w:id="54" w:name="_Toc186709172"/>
      <w:bookmarkStart w:id="55" w:name="_Toc186709557"/>
      <w:bookmarkStart w:id="56" w:name="_Toc186710062"/>
      <w:bookmarkStart w:id="57" w:name="_Toc186710131"/>
      <w:r>
        <w:rPr>
          <w:rStyle w:val="CharSDivNo"/>
        </w:rPr>
        <w:t>Division 1</w:t>
      </w:r>
      <w:r>
        <w:t> — </w:t>
      </w:r>
      <w:r>
        <w:rPr>
          <w:rStyle w:val="CharSDivText"/>
        </w:rPr>
        <w:t>Enforcement fees for Act Pt. 3</w:t>
      </w:r>
      <w:bookmarkEnd w:id="54"/>
      <w:bookmarkEnd w:id="55"/>
      <w:bookmarkEnd w:id="56"/>
      <w:bookmarkEnd w:id="57"/>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Fee for issuing a final demand</w:t>
            </w:r>
          </w:p>
        </w:tc>
        <w:tc>
          <w:tcPr>
            <w:tcW w:w="992" w:type="dxa"/>
            <w:noWrap/>
            <w:tcMar>
              <w:left w:w="85" w:type="dxa"/>
              <w:right w:w="85" w:type="dxa"/>
            </w:tcMar>
            <w:vAlign w:val="bottom"/>
          </w:tcPr>
          <w:p>
            <w:pPr>
              <w:pStyle w:val="yTableNAm"/>
              <w:jc w:val="right"/>
            </w:pPr>
            <w:r>
              <w:t>$26.90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final demand is issued.</w:t>
            </w:r>
          </w:p>
        </w:tc>
      </w:tr>
      <w:tr>
        <w:trPr>
          <w:cantSplit/>
        </w:trPr>
        <w:tc>
          <w:tcPr>
            <w:tcW w:w="567" w:type="dxa"/>
            <w:noWrap/>
          </w:tcPr>
          <w:p>
            <w:pPr>
              <w:pStyle w:val="yTableNAm"/>
              <w:keepNext/>
            </w:pPr>
            <w:r>
              <w:t>2.</w:t>
            </w:r>
          </w:p>
        </w:tc>
        <w:tc>
          <w:tcPr>
            <w:tcW w:w="5387" w:type="dxa"/>
            <w:noWrap/>
          </w:tcPr>
          <w:p>
            <w:pPr>
              <w:pStyle w:val="yTableNAm"/>
              <w:keepNext/>
            </w:pPr>
            <w:r>
              <w:t>Fee for preparing an enforcement certificate in relation to an infringement notice — for each infringement notice</w:t>
            </w:r>
          </w:p>
        </w:tc>
        <w:tc>
          <w:tcPr>
            <w:tcW w:w="992" w:type="dxa"/>
            <w:noWrap/>
            <w:tcMar>
              <w:left w:w="85" w:type="dxa"/>
              <w:right w:w="85" w:type="dxa"/>
            </w:tcMar>
            <w:vAlign w:val="bottom"/>
          </w:tcPr>
          <w:p>
            <w:pPr>
              <w:pStyle w:val="yTableNAm"/>
              <w:keepNext/>
              <w:jc w:val="right"/>
            </w:pPr>
            <w:r>
              <w:t>$22.90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3.</w:t>
            </w:r>
          </w:p>
        </w:tc>
        <w:tc>
          <w:tcPr>
            <w:tcW w:w="5387" w:type="dxa"/>
            <w:noWrap/>
          </w:tcPr>
          <w:p>
            <w:pPr>
              <w:pStyle w:val="yTableNAm"/>
            </w:pPr>
            <w:r>
              <w:t xml:space="preserve">Fee for registering an infringement notice with the Registry </w:t>
            </w:r>
          </w:p>
        </w:tc>
        <w:tc>
          <w:tcPr>
            <w:tcW w:w="992" w:type="dxa"/>
            <w:noWrap/>
            <w:tcMar>
              <w:left w:w="85" w:type="dxa"/>
              <w:right w:w="85" w:type="dxa"/>
            </w:tcMar>
            <w:vAlign w:val="bottom"/>
          </w:tcPr>
          <w:p>
            <w:pPr>
              <w:pStyle w:val="yTableNAm"/>
              <w:jc w:val="right"/>
            </w:pPr>
            <w:r>
              <w:t>$86.00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4.</w:t>
            </w:r>
          </w:p>
        </w:tc>
        <w:tc>
          <w:tcPr>
            <w:tcW w:w="5387" w:type="dxa"/>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$56.50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rPr>
          <w:cantSplit/>
        </w:trPr>
        <w:tc>
          <w:tcPr>
            <w:tcW w:w="567" w:type="dxa"/>
            <w:noWrap/>
          </w:tcPr>
          <w:p>
            <w:pPr>
              <w:pStyle w:val="yTableNAm"/>
              <w:keepNext/>
            </w:pPr>
            <w:r>
              <w:t>5.</w:t>
            </w:r>
          </w:p>
        </w:tc>
        <w:tc>
          <w:tcPr>
            <w:tcW w:w="5387" w:type="dxa"/>
            <w:noWrap/>
          </w:tcPr>
          <w:p>
            <w:pPr>
              <w:pStyle w:val="yTableNAm"/>
              <w:keepNext/>
            </w:pPr>
            <w:r>
              <w:t>Fee for issuing an enforcement warrant</w:t>
            </w:r>
          </w:p>
        </w:tc>
        <w:tc>
          <w:tcPr>
            <w:tcW w:w="992" w:type="dxa"/>
            <w:noWrap/>
            <w:tcMar>
              <w:left w:w="85" w:type="dxa"/>
              <w:right w:w="85" w:type="dxa"/>
            </w:tcMar>
            <w:vAlign w:val="bottom"/>
          </w:tcPr>
          <w:p>
            <w:pPr>
              <w:pStyle w:val="yTableNAm"/>
              <w:keepNext/>
              <w:jc w:val="right"/>
            </w:pPr>
            <w:r>
              <w:t>$268.00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bl>
    <w:p>
      <w:pPr>
        <w:pStyle w:val="yFootnotesection"/>
      </w:pPr>
      <w:r>
        <w:tab/>
        <w:t>[Division 1 inserted: SL 2024/113 r. 19.]</w:t>
      </w:r>
    </w:p>
    <w:p>
      <w:pPr>
        <w:pStyle w:val="yHeading3"/>
      </w:pPr>
      <w:bookmarkStart w:id="58" w:name="_Toc186709173"/>
      <w:bookmarkStart w:id="59" w:name="_Toc186709558"/>
      <w:bookmarkStart w:id="60" w:name="_Toc186710063"/>
      <w:bookmarkStart w:id="61" w:name="_Toc186710132"/>
      <w:r>
        <w:rPr>
          <w:rStyle w:val="CharSDivNo"/>
        </w:rPr>
        <w:t>Division 2</w:t>
      </w:r>
      <w:r>
        <w:t> — </w:t>
      </w:r>
      <w:r>
        <w:rPr>
          <w:rStyle w:val="CharSDivText"/>
        </w:rPr>
        <w:t>Enforcement fees for Act Pt. 4</w:t>
      </w:r>
      <w:bookmarkEnd w:id="58"/>
      <w:bookmarkEnd w:id="59"/>
      <w:bookmarkEnd w:id="60"/>
      <w:bookmarkEnd w:id="61"/>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1"/>
        <w:gridCol w:w="6"/>
        <w:gridCol w:w="5387"/>
        <w:gridCol w:w="992"/>
      </w:tblGrid>
      <w:tr>
        <w:tc>
          <w:tcPr>
            <w:tcW w:w="561" w:type="dxa"/>
            <w:noWrap/>
          </w:tcPr>
          <w:p>
            <w:pPr>
              <w:pStyle w:val="yTableNAm"/>
            </w:pPr>
            <w:r>
              <w:t>1.</w:t>
            </w:r>
          </w:p>
        </w:tc>
        <w:tc>
          <w:tcPr>
            <w:tcW w:w="5393" w:type="dxa"/>
            <w:gridSpan w:val="2"/>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$56.50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c>
          <w:tcPr>
            <w:tcW w:w="561" w:type="dxa"/>
            <w:noWrap/>
          </w:tcPr>
          <w:p>
            <w:pPr>
              <w:pStyle w:val="yTableNAm"/>
            </w:pPr>
            <w:r>
              <w:lastRenderedPageBreak/>
              <w:t>2.</w:t>
            </w:r>
          </w:p>
        </w:tc>
        <w:tc>
          <w:tcPr>
            <w:tcW w:w="5393" w:type="dxa"/>
            <w:gridSpan w:val="2"/>
            <w:noWrap/>
          </w:tcPr>
          <w:p>
            <w:pPr>
              <w:pStyle w:val="yTableNAm"/>
            </w:pPr>
            <w:r>
              <w:t>Fee for issuing an enforcement warrant</w:t>
            </w:r>
          </w:p>
        </w:tc>
        <w:tc>
          <w:tcPr>
            <w:tcW w:w="992" w:type="dxa"/>
            <w:noWrap/>
            <w:tcMar>
              <w:left w:w="85" w:type="dxa"/>
              <w:right w:w="85" w:type="dxa"/>
            </w:tcMar>
            <w:vAlign w:val="bottom"/>
          </w:tcPr>
          <w:p>
            <w:pPr>
              <w:pStyle w:val="yTableNAm"/>
              <w:jc w:val="right"/>
            </w:pPr>
            <w:r>
              <w:t>$268.00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r>
        <w:tc>
          <w:tcPr>
            <w:tcW w:w="561" w:type="dxa"/>
            <w:noWrap/>
          </w:tcPr>
          <w:p>
            <w:pPr>
              <w:pStyle w:val="yTableNAm"/>
            </w:pPr>
            <w:r>
              <w:t>3.</w:t>
            </w:r>
          </w:p>
        </w:tc>
        <w:tc>
          <w:tcPr>
            <w:tcW w:w="5393" w:type="dxa"/>
            <w:gridSpan w:val="2"/>
            <w:noWrap/>
          </w:tcPr>
          <w:p>
            <w:pPr>
              <w:pStyle w:val="yTableNAm"/>
            </w:pPr>
            <w:r>
              <w:t>Fee for the service of a summons under Part 4 Division 3E Subdivision 3 of the Act</w:t>
            </w:r>
          </w:p>
        </w:tc>
        <w:tc>
          <w:tcPr>
            <w:tcW w:w="992" w:type="dxa"/>
            <w:noWrap/>
            <w:tcMar>
              <w:left w:w="85" w:type="dxa"/>
              <w:right w:w="85" w:type="dxa"/>
            </w:tcMar>
            <w:vAlign w:val="bottom"/>
          </w:tcPr>
          <w:p>
            <w:pPr>
              <w:pStyle w:val="yTableNAm"/>
              <w:jc w:val="right"/>
            </w:pPr>
            <w:r>
              <w:t>$101.00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an attempt at service, whether or not the service is successful. The fee covers up to 3 attempts at service at the same address.</w:t>
            </w:r>
          </w:p>
        </w:tc>
      </w:tr>
      <w:tr>
        <w:tc>
          <w:tcPr>
            <w:tcW w:w="561" w:type="dxa"/>
            <w:noWrap/>
          </w:tcPr>
          <w:p>
            <w:pPr>
              <w:pStyle w:val="yTableNAm"/>
              <w:keepNext/>
            </w:pPr>
            <w:r>
              <w:t>4.</w:t>
            </w:r>
          </w:p>
        </w:tc>
        <w:tc>
          <w:tcPr>
            <w:tcW w:w="5393" w:type="dxa"/>
            <w:gridSpan w:val="2"/>
            <w:noWrap/>
          </w:tcPr>
          <w:p>
            <w:pPr>
              <w:pStyle w:val="yTableNAm"/>
              <w:keepNext/>
            </w:pPr>
            <w:r>
              <w:t xml:space="preserve">If it is necessary to travel to serve a summons referred to in item 3, from the office of the person serving the summons or the nearest police station, in addition to the fee in item 3 — </w:t>
            </w:r>
          </w:p>
        </w:tc>
        <w:tc>
          <w:tcPr>
            <w:tcW w:w="992" w:type="dxa"/>
            <w:noWrap/>
            <w:tcMar>
              <w:left w:w="85" w:type="dxa"/>
              <w:right w:w="85" w:type="dxa"/>
            </w:tcMar>
            <w:vAlign w:val="bottom"/>
          </w:tcPr>
          <w:p>
            <w:pPr>
              <w:pStyle w:val="yTableNAm"/>
              <w:keepNext/>
              <w:jc w:val="right"/>
            </w:pPr>
          </w:p>
        </w:tc>
      </w:tr>
      <w:tr>
        <w:tc>
          <w:tcPr>
            <w:tcW w:w="561" w:type="dxa"/>
            <w:noWrap/>
          </w:tcPr>
          <w:p>
            <w:pPr>
              <w:pStyle w:val="yTableNAm"/>
            </w:pPr>
          </w:p>
        </w:tc>
        <w:tc>
          <w:tcPr>
            <w:tcW w:w="5393" w:type="dxa"/>
            <w:gridSpan w:val="2"/>
            <w:noWrap/>
          </w:tcPr>
          <w:p>
            <w:pPr>
              <w:pStyle w:val="yTableNAm"/>
              <w:ind w:left="573" w:hanging="573"/>
              <w:rPr>
                <w:rStyle w:val="DraftersNotes"/>
                <w:b w:val="0"/>
                <w:i w:val="0"/>
              </w:rPr>
            </w:pPr>
            <w:r>
              <w:t>(a)</w:t>
            </w:r>
            <w:r>
              <w:tab/>
              <w:t>fee for each kilometre travelled (1 way) in the metropolitan region</w:t>
            </w:r>
          </w:p>
        </w:tc>
        <w:tc>
          <w:tcPr>
            <w:tcW w:w="992" w:type="dxa"/>
            <w:noWrap/>
            <w:tcMar>
              <w:left w:w="85" w:type="dxa"/>
              <w:right w:w="85" w:type="dxa"/>
            </w:tcMar>
            <w:vAlign w:val="bottom"/>
          </w:tcPr>
          <w:p>
            <w:pPr>
              <w:pStyle w:val="yTableNAm"/>
              <w:jc w:val="right"/>
            </w:pPr>
            <w:r>
              <w:t>$2.60</w:t>
            </w:r>
          </w:p>
        </w:tc>
      </w:tr>
      <w:tr>
        <w:tc>
          <w:tcPr>
            <w:tcW w:w="561" w:type="dxa"/>
            <w:noWrap/>
          </w:tcPr>
          <w:p>
            <w:pPr>
              <w:pStyle w:val="yTableNAm"/>
            </w:pPr>
          </w:p>
        </w:tc>
        <w:tc>
          <w:tcPr>
            <w:tcW w:w="5393" w:type="dxa"/>
            <w:gridSpan w:val="2"/>
            <w:noWrap/>
          </w:tcPr>
          <w:p>
            <w:pPr>
              <w:pStyle w:val="yTableNAm"/>
              <w:ind w:left="573" w:hanging="573"/>
            </w:pPr>
            <w:r>
              <w:t>(b)</w:t>
            </w:r>
            <w:r>
              <w:tab/>
              <w:t>fee for each kilometre travelled (1 way) outside the metropolitan region</w:t>
            </w:r>
          </w:p>
        </w:tc>
        <w:tc>
          <w:tcPr>
            <w:tcW w:w="992" w:type="dxa"/>
            <w:noWrap/>
            <w:tcMar>
              <w:left w:w="85" w:type="dxa"/>
              <w:right w:w="85" w:type="dxa"/>
            </w:tcMar>
            <w:vAlign w:val="bottom"/>
          </w:tcPr>
          <w:p>
            <w:pPr>
              <w:pStyle w:val="yTableNAm"/>
              <w:jc w:val="right"/>
            </w:pPr>
            <w:r>
              <w:t>$2.90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service of the summons and on each attempt at service. If more than 1 document is served or attempted to be served at the same time on the same person, only 1 fee for kilometres travelled is chargeable.</w:t>
            </w:r>
          </w:p>
        </w:tc>
      </w:tr>
    </w:tbl>
    <w:p>
      <w:pPr>
        <w:pStyle w:val="yFootnotesection"/>
      </w:pPr>
      <w:r>
        <w:tab/>
        <w:t>[Division 2 inserted: SL 2024/113 r. 19.]</w:t>
      </w:r>
    </w:p>
    <w:p>
      <w:pPr>
        <w:pStyle w:val="yHeading3"/>
      </w:pPr>
      <w:bookmarkStart w:id="62" w:name="_Toc186709174"/>
      <w:bookmarkStart w:id="63" w:name="_Toc186709559"/>
      <w:bookmarkStart w:id="64" w:name="_Toc186710064"/>
      <w:bookmarkStart w:id="65" w:name="_Toc186710133"/>
      <w:r>
        <w:rPr>
          <w:rStyle w:val="CharSDivNo"/>
        </w:rPr>
        <w:t>Division 3</w:t>
      </w:r>
      <w:r>
        <w:t> — </w:t>
      </w:r>
      <w:r>
        <w:rPr>
          <w:rStyle w:val="CharSDivText"/>
        </w:rPr>
        <w:t>Enforcement fees for exercise of power under enforcement warrant</w:t>
      </w:r>
      <w:bookmarkEnd w:id="62"/>
      <w:bookmarkEnd w:id="63"/>
      <w:bookmarkEnd w:id="64"/>
      <w:bookmarkEnd w:id="65"/>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of the Act, for each hour or part of an hour </w:t>
            </w:r>
          </w:p>
        </w:tc>
        <w:tc>
          <w:tcPr>
            <w:tcW w:w="992" w:type="dxa"/>
            <w:noWrap/>
            <w:vAlign w:val="bottom"/>
          </w:tcPr>
          <w:p>
            <w:pPr>
              <w:pStyle w:val="yTableNAm"/>
              <w:ind w:left="-114"/>
              <w:jc w:val="right"/>
            </w:pPr>
            <w:r>
              <w:t>$118.00</w:t>
            </w:r>
          </w:p>
        </w:tc>
      </w:tr>
      <w:tr>
        <w:trPr>
          <w:cantSplit/>
        </w:trPr>
        <w:tc>
          <w:tcPr>
            <w:tcW w:w="567" w:type="dxa"/>
            <w:noWrap/>
          </w:tcPr>
          <w:p>
            <w:pPr>
              <w:pStyle w:val="yTableNAm"/>
            </w:pPr>
            <w:r>
              <w:t>2.</w:t>
            </w:r>
          </w:p>
        </w:tc>
        <w:tc>
          <w:tcPr>
            <w:tcW w:w="5387" w:type="dxa"/>
            <w:noWrap/>
          </w:tcPr>
          <w:p>
            <w:pPr>
              <w:pStyle w:val="yTableNAm"/>
            </w:pPr>
            <w:r>
              <w:t xml:space="preserve">Fee for inspecting personal property under seizure </w:t>
            </w:r>
          </w:p>
        </w:tc>
        <w:tc>
          <w:tcPr>
            <w:tcW w:w="992" w:type="dxa"/>
            <w:noWrap/>
            <w:vAlign w:val="bottom"/>
          </w:tcPr>
          <w:p>
            <w:pPr>
              <w:pStyle w:val="yTableNAm"/>
              <w:ind w:left="-114"/>
              <w:jc w:val="right"/>
            </w:pPr>
            <w:r>
              <w:t>$80.00</w:t>
            </w:r>
          </w:p>
        </w:tc>
      </w:tr>
      <w:tr>
        <w:tblPrEx>
          <w:tblCellMar>
            <w:left w:w="113" w:type="dxa"/>
            <w:right w:w="113" w:type="dxa"/>
          </w:tblCellMar>
        </w:tblPrEx>
        <w:trPr>
          <w:cantSplit/>
        </w:trPr>
        <w:tc>
          <w:tcPr>
            <w:tcW w:w="567" w:type="dxa"/>
            <w:noWrap/>
          </w:tcPr>
          <w:p>
            <w:pPr>
              <w:pStyle w:val="yTableNAm"/>
            </w:pPr>
            <w:r>
              <w:t>3.</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992" w:type="dxa"/>
            <w:noWrap/>
            <w:vAlign w:val="bottom"/>
          </w:tcPr>
          <w:p>
            <w:pPr>
              <w:pStyle w:val="yTableNAm"/>
              <w:ind w:left="-114"/>
              <w:jc w:val="right"/>
            </w:pPr>
            <w:r>
              <w:t>$283.00</w:t>
            </w:r>
          </w:p>
        </w:tc>
      </w:tr>
      <w:tr>
        <w:tblPrEx>
          <w:tblCellMar>
            <w:left w:w="113" w:type="dxa"/>
            <w:right w:w="113" w:type="dxa"/>
          </w:tblCellMar>
        </w:tblPrEx>
        <w:trPr>
          <w:cantSplit/>
        </w:trPr>
        <w:tc>
          <w:tcPr>
            <w:tcW w:w="567" w:type="dxa"/>
            <w:noWrap/>
          </w:tcPr>
          <w:p>
            <w:pPr>
              <w:pStyle w:val="yTableNAm"/>
            </w:pPr>
            <w:r>
              <w:t>4.</w:t>
            </w:r>
          </w:p>
        </w:tc>
        <w:tc>
          <w:tcPr>
            <w:tcW w:w="5387" w:type="dxa"/>
            <w:noWrap/>
          </w:tcPr>
          <w:p>
            <w:pPr>
              <w:pStyle w:val="yTableNAm"/>
            </w:pPr>
            <w:r>
              <w:t xml:space="preserve">Fee for attending a sale of personal property or land </w:t>
            </w:r>
          </w:p>
        </w:tc>
        <w:tc>
          <w:tcPr>
            <w:tcW w:w="992" w:type="dxa"/>
            <w:noWrap/>
            <w:vAlign w:val="bottom"/>
          </w:tcPr>
          <w:p>
            <w:pPr>
              <w:pStyle w:val="yTableNAm"/>
              <w:ind w:left="-114"/>
              <w:jc w:val="right"/>
            </w:pPr>
            <w:r>
              <w:t>$127.50</w:t>
            </w:r>
          </w:p>
        </w:tc>
      </w:tr>
      <w:tr>
        <w:tblPrEx>
          <w:tblCellMar>
            <w:left w:w="113" w:type="dxa"/>
            <w:right w:w="113" w:type="dxa"/>
          </w:tblCellMar>
        </w:tblPrEx>
        <w:trPr>
          <w:cantSplit/>
        </w:trPr>
        <w:tc>
          <w:tcPr>
            <w:tcW w:w="567" w:type="dxa"/>
            <w:noWrap/>
          </w:tcPr>
          <w:p>
            <w:pPr>
              <w:pStyle w:val="yTableNAm"/>
            </w:pPr>
            <w:r>
              <w:lastRenderedPageBreak/>
              <w:t>5.</w:t>
            </w:r>
          </w:p>
        </w:tc>
        <w:tc>
          <w:tcPr>
            <w:tcW w:w="5387" w:type="dxa"/>
            <w:noWrap/>
          </w:tcPr>
          <w:p>
            <w:pPr>
              <w:pStyle w:val="yTableNAm"/>
            </w:pPr>
            <w:r>
              <w:t>Fee for preparing and executing a transfer of land sold</w:t>
            </w:r>
          </w:p>
        </w:tc>
        <w:tc>
          <w:tcPr>
            <w:tcW w:w="992" w:type="dxa"/>
            <w:noWrap/>
            <w:vAlign w:val="bottom"/>
          </w:tcPr>
          <w:p>
            <w:pPr>
              <w:pStyle w:val="yTableNAm"/>
              <w:ind w:left="-114"/>
              <w:jc w:val="right"/>
            </w:pPr>
            <w:r>
              <w:t>$283.00</w:t>
            </w:r>
          </w:p>
        </w:tc>
      </w:tr>
      <w:tr>
        <w:tblPrEx>
          <w:tblCellMar>
            <w:left w:w="113" w:type="dxa"/>
            <w:right w:w="113" w:type="dxa"/>
          </w:tblCellMar>
        </w:tblPrEx>
        <w:trPr>
          <w:cantSplit/>
        </w:trPr>
        <w:tc>
          <w:tcPr>
            <w:tcW w:w="567" w:type="dxa"/>
            <w:noWrap/>
          </w:tcPr>
          <w:p>
            <w:pPr>
              <w:pStyle w:val="yTableNAm"/>
            </w:pPr>
            <w:r>
              <w:t>6.</w:t>
            </w:r>
          </w:p>
        </w:tc>
        <w:tc>
          <w:tcPr>
            <w:tcW w:w="5387" w:type="dxa"/>
            <w:noWrap/>
          </w:tcPr>
          <w:p>
            <w:pPr>
              <w:pStyle w:val="yTableNAm"/>
            </w:pPr>
            <w:r>
              <w:t xml:space="preserve">Fee for attending a court in connection with interpleader proceedings, for each half hour or part of a half hour </w:t>
            </w:r>
          </w:p>
        </w:tc>
        <w:tc>
          <w:tcPr>
            <w:tcW w:w="992" w:type="dxa"/>
            <w:noWrap/>
            <w:vAlign w:val="bottom"/>
          </w:tcPr>
          <w:p>
            <w:pPr>
              <w:pStyle w:val="yTableNAm"/>
              <w:ind w:left="-114"/>
              <w:jc w:val="right"/>
            </w:pPr>
            <w:r>
              <w:t>$40.40</w:t>
            </w:r>
          </w:p>
        </w:tc>
      </w:tr>
    </w:tbl>
    <w:p>
      <w:pPr>
        <w:pStyle w:val="yFootnotesection"/>
      </w:pPr>
      <w:r>
        <w:tab/>
        <w:t>[Division 3 inserted: SL 2024/113 r. 19.]</w:t>
      </w:r>
    </w:p>
    <w:p>
      <w:pPr>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67" w:name="_Toc186709175"/>
      <w:bookmarkStart w:id="68" w:name="_Toc186709560"/>
      <w:bookmarkStart w:id="69" w:name="_Toc186710065"/>
      <w:bookmarkStart w:id="70" w:name="_Toc186710134"/>
      <w:r>
        <w:rPr>
          <w:rStyle w:val="CharSchNo"/>
        </w:rPr>
        <w:lastRenderedPageBreak/>
        <w:t>Schedule 3</w:t>
      </w:r>
      <w:r>
        <w:rPr>
          <w:rStyle w:val="CharSDivNo"/>
        </w:rPr>
        <w:t> </w:t>
      </w:r>
      <w:r>
        <w:t>—</w:t>
      </w:r>
      <w:r>
        <w:rPr>
          <w:rStyle w:val="CharSDivText"/>
        </w:rPr>
        <w:t> </w:t>
      </w:r>
      <w:r>
        <w:rPr>
          <w:rStyle w:val="CharSchText"/>
        </w:rPr>
        <w:t>Forms</w:t>
      </w:r>
      <w:bookmarkEnd w:id="67"/>
      <w:bookmarkEnd w:id="68"/>
      <w:bookmarkEnd w:id="69"/>
      <w:bookmarkEnd w:id="70"/>
    </w:p>
    <w:p>
      <w:pPr>
        <w:pStyle w:val="yShoulderClause"/>
      </w:pPr>
      <w:r>
        <w:t>[r. 12]</w:t>
      </w:r>
    </w:p>
    <w:p>
      <w:pPr>
        <w:pStyle w:val="yFootnoteheading"/>
        <w:spacing w:before="40"/>
      </w:pPr>
      <w:r>
        <w:tab/>
        <w:t>[Heading inserted: Gazette 13 May 2005 p. 2081.]</w:t>
      </w:r>
    </w:p>
    <w:p>
      <w:pPr>
        <w:pStyle w:val="yHeading5"/>
        <w:spacing w:before="160"/>
      </w:pPr>
      <w:bookmarkStart w:id="71" w:name="_Toc186710135"/>
      <w:r>
        <w:rPr>
          <w:rStyle w:val="CharSClsNo"/>
        </w:rPr>
        <w:t>1</w:t>
      </w:r>
      <w:r>
        <w:t>.</w:t>
      </w:r>
      <w:r>
        <w:tab/>
        <w:t>Notice of withdrawal for the purposes of Act s. 22</w:t>
      </w:r>
      <w:bookmarkEnd w:id="71"/>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spacing w:before="80"/>
            </w:pPr>
            <w:r>
              <w:t>...............................................................................................................................</w:t>
            </w:r>
          </w:p>
          <w:p>
            <w:pPr>
              <w:pStyle w:val="yTableNAm"/>
              <w:spacing w:before="80"/>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spacing w:before="80"/>
              <w:jc w:val="center"/>
            </w:pPr>
            <w:r>
              <w:t>....................................................................</w:t>
            </w:r>
            <w:r>
              <w:br/>
              <w:t>Prosecuting officer</w:t>
            </w:r>
          </w:p>
        </w:tc>
        <w:tc>
          <w:tcPr>
            <w:tcW w:w="2872" w:type="dxa"/>
            <w:tcBorders>
              <w:bottom w:val="nil"/>
            </w:tcBorders>
            <w:vAlign w:val="center"/>
          </w:tcPr>
          <w:p>
            <w:pPr>
              <w:pStyle w:val="yTableNAm"/>
            </w:pPr>
          </w:p>
          <w:p>
            <w:pPr>
              <w:pStyle w:val="yTableNAm"/>
              <w:spacing w:before="80"/>
              <w:jc w:val="center"/>
            </w:pPr>
            <w:r>
              <w:t>...........................................</w:t>
            </w:r>
            <w:r>
              <w:br/>
              <w:t>Date</w:t>
            </w:r>
          </w:p>
        </w:tc>
      </w:tr>
    </w:tbl>
    <w:p>
      <w:pPr>
        <w:pStyle w:val="yFootnotesection"/>
      </w:pPr>
      <w:r>
        <w:tab/>
        <w:t>[Form 1 inserted: Gazette 20 Aug 2013 p. 3886.]</w:t>
      </w:r>
    </w:p>
    <w:p>
      <w:pPr>
        <w:pStyle w:val="yHeading5"/>
      </w:pPr>
      <w:bookmarkStart w:id="72" w:name="_Toc186710136"/>
      <w:r>
        <w:rPr>
          <w:rStyle w:val="CharSClsNo"/>
        </w:rPr>
        <w:lastRenderedPageBreak/>
        <w:t>2</w:t>
      </w:r>
      <w:r>
        <w:t>.</w:t>
      </w:r>
      <w:r>
        <w:tab/>
        <w:t>Enforcement warrant for the purposes of Act s. 21A and 45 and Part 5</w:t>
      </w:r>
      <w:bookmarkEnd w:id="72"/>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szCs w:val="16"/>
              </w:rPr>
              <w:t>Modified penalty/outstanding balance of modified penalty</w:t>
            </w:r>
            <w:r>
              <w:rPr>
                <w:sz w:val="20"/>
              </w:rPr>
              <w:t xml:space="preserve">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lastRenderedPageBreak/>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 SL 2024/203 r. 9(1).]</w:t>
      </w:r>
    </w:p>
    <w:p>
      <w:pPr>
        <w:pStyle w:val="yHeading5"/>
      </w:pPr>
      <w:bookmarkStart w:id="73" w:name="_Toc186710137"/>
      <w:r>
        <w:rPr>
          <w:rStyle w:val="CharSClsNo"/>
        </w:rPr>
        <w:t>2A</w:t>
      </w:r>
      <w:r>
        <w:t>.</w:t>
      </w:r>
      <w:r>
        <w:tab/>
        <w:t>Summons to offender/liable person to appear at warrant of commitment inquiry for the purposes of Act s. 52Q(1)(a) and 52U and Part 5</w:t>
      </w:r>
      <w:bookmarkEnd w:id="73"/>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lastRenderedPageBreak/>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w:t>
            </w:r>
            <w:r>
              <w:lastRenderedPageBreak/>
              <w:t xml:space="preserve">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lastRenderedPageBreak/>
        <w:tab/>
        <w:t>[Form 2A inserted: SL 2020/167 r. 24.]</w:t>
      </w:r>
    </w:p>
    <w:p>
      <w:pPr>
        <w:pStyle w:val="yHeading5"/>
      </w:pPr>
      <w:bookmarkStart w:id="74" w:name="_Toc186710138"/>
      <w:r>
        <w:rPr>
          <w:rStyle w:val="CharSClsNo"/>
        </w:rPr>
        <w:t>2B</w:t>
      </w:r>
      <w:r>
        <w:t>.</w:t>
      </w:r>
      <w:r>
        <w:tab/>
        <w:t>Summons to person named under Act s. 52O(1)(c) to appear at warrant of commitment inquiry for the purposes of Act s. 52Q(2) and 52U and Part 5</w:t>
      </w:r>
      <w:bookmarkEnd w:id="74"/>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lastRenderedPageBreak/>
              <w:t>[*Police only]</w:t>
            </w:r>
          </w:p>
        </w:tc>
        <w:tc>
          <w:tcPr>
            <w:tcW w:w="5528" w:type="dxa"/>
            <w:gridSpan w:val="3"/>
            <w:noWrap/>
          </w:tcPr>
          <w:p>
            <w:pPr>
              <w:pStyle w:val="yTableNAm"/>
              <w:tabs>
                <w:tab w:val="clear" w:pos="567"/>
                <w:tab w:val="left" w:pos="3784"/>
              </w:tabs>
              <w:spacing w:before="0"/>
            </w:pPr>
            <w:r>
              <w:lastRenderedPageBreak/>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keepNext/>
              <w:tabs>
                <w:tab w:val="clear" w:pos="567"/>
                <w:tab w:val="left" w:pos="2944"/>
              </w:tabs>
              <w:spacing w:before="0"/>
            </w:pPr>
            <w:r>
              <w:lastRenderedPageBreak/>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lastRenderedPageBreak/>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75" w:name="_Toc186710139"/>
      <w:r>
        <w:rPr>
          <w:rStyle w:val="CharSClsNo"/>
        </w:rPr>
        <w:t>2C</w:t>
      </w:r>
      <w:r>
        <w:t>.</w:t>
      </w:r>
      <w:r>
        <w:tab/>
        <w:t>Arrest warrant for the purposes of Act s. 52Q(1)(b) and 52Y and Part 5</w:t>
      </w:r>
      <w:bookmarkEnd w:id="75"/>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rPr>
          <w:cantSplit/>
        </w:trPr>
        <w:tc>
          <w:tcPr>
            <w:tcW w:w="1418" w:type="dxa"/>
            <w:tcBorders>
              <w:bottom w:val="single" w:sz="4" w:space="0" w:color="auto"/>
            </w:tcBorders>
            <w:noWrap/>
          </w:tcPr>
          <w:p>
            <w:pPr>
              <w:pStyle w:val="yTableNAm"/>
              <w:spacing w:before="0"/>
              <w:rPr>
                <w:szCs w:val="22"/>
              </w:rPr>
            </w:pPr>
            <w:r>
              <w:rPr>
                <w:szCs w:val="22"/>
              </w:rPr>
              <w:lastRenderedPageBreak/>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lastRenderedPageBreak/>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lastRenderedPageBreak/>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76" w:name="_Toc186710140"/>
      <w:r>
        <w:rPr>
          <w:rStyle w:val="CharSClsNo"/>
        </w:rPr>
        <w:t>2D</w:t>
      </w:r>
      <w:r>
        <w:t>.</w:t>
      </w:r>
      <w:r>
        <w:tab/>
        <w:t>Conditional release undertaking for the purposes of Act s. 52ZD and Part 5</w:t>
      </w:r>
      <w:bookmarkEnd w:id="76"/>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lastRenderedPageBreak/>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lastRenderedPageBreak/>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lastRenderedPageBreak/>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77" w:name="_Toc186710141"/>
      <w:r>
        <w:rPr>
          <w:rStyle w:val="CharSClsNo"/>
        </w:rPr>
        <w:t>2E</w:t>
      </w:r>
      <w:r>
        <w:t>.</w:t>
      </w:r>
      <w:r>
        <w:tab/>
        <w:t>Certificate that offender/liable person has a right to be released for the purposes of Act s. 52ZF(c) and Part 5</w:t>
      </w:r>
      <w:bookmarkEnd w:id="77"/>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lastRenderedPageBreak/>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78" w:name="_Toc186710142"/>
      <w:r>
        <w:rPr>
          <w:rStyle w:val="CharSClsNo"/>
        </w:rPr>
        <w:t>3</w:t>
      </w:r>
      <w:r>
        <w:rPr>
          <w:snapToGrid w:val="0"/>
        </w:rPr>
        <w:t>.</w:t>
      </w:r>
      <w:r>
        <w:rPr>
          <w:snapToGrid w:val="0"/>
        </w:rPr>
        <w:tab/>
        <w:t xml:space="preserve">Warrant of commitment for the purposes of Act s. 52S(4) and </w:t>
      </w:r>
      <w:r>
        <w:t>Part 5</w:t>
      </w:r>
      <w:bookmarkEnd w:id="78"/>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Gazette 30 Jun 1995 p. 2639; amended: Gazette 13 May 2005 p. 2082; 4 Jul 2008 p. 3171; SL 2020/167 r. 25.]</w:t>
      </w:r>
    </w:p>
    <w:p>
      <w:pPr>
        <w:pStyle w:val="yHeading5"/>
        <w:rPr>
          <w:snapToGrid w:val="0"/>
        </w:rPr>
      </w:pPr>
      <w:bookmarkStart w:id="79" w:name="_Toc186710143"/>
      <w:r>
        <w:rPr>
          <w:rStyle w:val="CharSClsNo"/>
        </w:rPr>
        <w:lastRenderedPageBreak/>
        <w:t>4</w:t>
      </w:r>
      <w:r>
        <w:rPr>
          <w:snapToGrid w:val="0"/>
        </w:rPr>
        <w:t>.</w:t>
      </w:r>
      <w:r>
        <w:rPr>
          <w:snapToGrid w:val="0"/>
        </w:rPr>
        <w:tab/>
        <w:t>Enforcement warrant for the purposes of Act s. 61</w:t>
      </w:r>
      <w:bookmarkEnd w:id="79"/>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80" w:name="_Toc186710144"/>
      <w:r>
        <w:rPr>
          <w:rStyle w:val="CharSClsNo"/>
        </w:rPr>
        <w:lastRenderedPageBreak/>
        <w:t>6A</w:t>
      </w:r>
      <w:r>
        <w:t>.</w:t>
      </w:r>
      <w:r>
        <w:tab/>
        <w:t>Memorial of land for the purposes of Act s. 89(2)</w:t>
      </w:r>
      <w:bookmarkEnd w:id="80"/>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81" w:name="_Toc186710145"/>
      <w:r>
        <w:rPr>
          <w:rStyle w:val="CharSClsNo"/>
        </w:rPr>
        <w:lastRenderedPageBreak/>
        <w:t>6B</w:t>
      </w:r>
      <w:r>
        <w:t>.</w:t>
      </w:r>
      <w:r>
        <w:tab/>
        <w:t>Withdrawal of memorial of land for the purposes of Act s. 90</w:t>
      </w:r>
      <w:bookmarkEnd w:id="81"/>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82" w:name="_Toc186710146"/>
      <w:r>
        <w:rPr>
          <w:rStyle w:val="CharSClsNo"/>
        </w:rPr>
        <w:lastRenderedPageBreak/>
        <w:t>8</w:t>
      </w:r>
      <w:r>
        <w:t>.</w:t>
      </w:r>
      <w:r>
        <w:tab/>
        <w:t>Certificate under Act s. 101C(1): Part 3 proceedings</w:t>
      </w:r>
      <w:bookmarkEnd w:id="82"/>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 xml:space="preserve">The </w:t>
      </w:r>
      <w:r>
        <w:rPr>
          <w:szCs w:val="18"/>
        </w:rPr>
        <w:t>[modified penalty] / [outstanding balance of the modified penalty]</w:t>
      </w:r>
      <w:r>
        <w:t xml:space="preserve">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r>
      <w:r>
        <w:rPr>
          <w:szCs w:val="18"/>
        </w:rPr>
        <w:t>[An order to pay or elect was issued under section 17 of the Act] / [</w:t>
      </w:r>
      <w:r>
        <w:rPr>
          <w:bCs/>
          <w:szCs w:val="18"/>
        </w:rPr>
        <w:t xml:space="preserve">A </w:t>
      </w:r>
      <w:r>
        <w:rPr>
          <w:szCs w:val="18"/>
        </w:rPr>
        <w:t>balance payment order was issued under section 17A of the Act]</w:t>
      </w:r>
      <w:r>
        <w:t xml:space="preserve">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lastRenderedPageBreak/>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 SL 2024/203 r. 9(2).]</w:t>
      </w:r>
    </w:p>
    <w:p>
      <w:pPr>
        <w:pStyle w:val="yHeading5"/>
      </w:pPr>
      <w:bookmarkStart w:id="83" w:name="_Toc186710147"/>
      <w:r>
        <w:rPr>
          <w:rStyle w:val="CharSClsNo"/>
        </w:rPr>
        <w:t>9</w:t>
      </w:r>
      <w:r>
        <w:t>.</w:t>
      </w:r>
      <w:r>
        <w:tab/>
        <w:t>Certificate under Act s. 101C(1): Part 4 proceedings</w:t>
      </w:r>
      <w:bookmarkEnd w:id="83"/>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lastRenderedPageBreak/>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84" w:name="_Toc186710148"/>
      <w:r>
        <w:rPr>
          <w:rStyle w:val="CharSClsNo"/>
        </w:rPr>
        <w:t>10</w:t>
      </w:r>
      <w:r>
        <w:t>.</w:t>
      </w:r>
      <w:r>
        <w:tab/>
        <w:t>Certificate under Act s. 101C(2A): Part 3 proceedings</w:t>
      </w:r>
      <w:bookmarkEnd w:id="84"/>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 xml:space="preserve">The </w:t>
      </w:r>
      <w:r>
        <w:rPr>
          <w:szCs w:val="18"/>
        </w:rPr>
        <w:t>[modified penalty] / [outstanding balance of the modified penalty]</w:t>
      </w:r>
      <w:r>
        <w:t xml:space="preserve">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lastRenderedPageBreak/>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 amended: SL 2024/203 r. 9(3).]</w:t>
      </w:r>
    </w:p>
    <w:p>
      <w:pPr>
        <w:pStyle w:val="yHeading5"/>
      </w:pPr>
      <w:bookmarkStart w:id="85" w:name="_Toc186710149"/>
      <w:r>
        <w:rPr>
          <w:rStyle w:val="CharSClsNo"/>
        </w:rPr>
        <w:lastRenderedPageBreak/>
        <w:t>11</w:t>
      </w:r>
      <w:r>
        <w:t>.</w:t>
      </w:r>
      <w:r>
        <w:tab/>
        <w:t>Certificate under Act s. 101C(2A): Part 4 proceedings</w:t>
      </w:r>
      <w:bookmarkEnd w:id="85"/>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keepLines/>
        <w:spacing w:before="120"/>
        <w:ind w:left="851" w:hanging="851"/>
      </w:pPr>
      <w:r>
        <w:lastRenderedPageBreak/>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pPr>
      <w:bookmarkStart w:id="86" w:name="_Toc186709191"/>
      <w:bookmarkStart w:id="87" w:name="_Toc186709576"/>
      <w:bookmarkStart w:id="88" w:name="_Toc186710081"/>
      <w:bookmarkStart w:id="89" w:name="_Toc186710150"/>
      <w:r>
        <w:lastRenderedPageBreak/>
        <w:t>Notes</w:t>
      </w:r>
      <w:bookmarkEnd w:id="86"/>
      <w:bookmarkEnd w:id="87"/>
      <w:bookmarkEnd w:id="88"/>
      <w:bookmarkEnd w:id="89"/>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90" w:name="_Toc186710151"/>
      <w:r>
        <w:t>Compilation table</w:t>
      </w:r>
      <w:bookmarkEnd w:id="9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3</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lastRenderedPageBreak/>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lastRenderedPageBreak/>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pPr>
              <w:pStyle w:val="nTable"/>
              <w:keepNext/>
              <w:spacing w:after="40"/>
              <w:ind w:left="-28"/>
            </w:pPr>
            <w:r>
              <w:t>SL 2021/174 8 Oct 2021</w:t>
            </w:r>
          </w:p>
        </w:tc>
        <w:tc>
          <w:tcPr>
            <w:tcW w:w="2693" w:type="dxa"/>
            <w:tcBorders>
              <w:top w:val="nil"/>
              <w:bottom w:val="nil"/>
            </w:tcBorders>
            <w:shd w:val="clear" w:color="auto" w:fill="auto"/>
          </w:tcPr>
          <w:p>
            <w:pPr>
              <w:pStyle w:val="nTable"/>
              <w:keepNext/>
              <w:spacing w:after="40"/>
              <w:ind w:left="-28"/>
            </w:pPr>
            <w:r>
              <w:t>9 Oct 2021 (see r. 2(b))</w:t>
            </w:r>
          </w:p>
        </w:tc>
      </w:tr>
      <w:tr>
        <w:tc>
          <w:tcPr>
            <w:tcW w:w="3119" w:type="dxa"/>
            <w:tcBorders>
              <w:top w:val="nil"/>
              <w:bottom w:val="nil"/>
            </w:tcBorders>
            <w:shd w:val="clear" w:color="auto" w:fill="auto"/>
          </w:tcPr>
          <w:p>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pPr>
              <w:pStyle w:val="nTable"/>
              <w:keepNext/>
              <w:spacing w:after="40"/>
              <w:ind w:left="-28"/>
            </w:pPr>
            <w:r>
              <w:t>SL 2022/7 28 Jan 2022</w:t>
            </w:r>
          </w:p>
        </w:tc>
        <w:tc>
          <w:tcPr>
            <w:tcW w:w="2693" w:type="dxa"/>
            <w:tcBorders>
              <w:top w:val="nil"/>
              <w:bottom w:val="nil"/>
            </w:tcBorders>
            <w:shd w:val="clear" w:color="auto" w:fill="auto"/>
          </w:tcPr>
          <w:p>
            <w:pPr>
              <w:pStyle w:val="nTable"/>
              <w:keepNext/>
              <w:spacing w:after="40"/>
              <w:ind w:left="-28"/>
            </w:pPr>
            <w:r>
              <w:t>r. 1 and 2: 28 Jan 2022 (see r. 2(a));</w:t>
            </w:r>
            <w:r>
              <w:br/>
              <w:t>Regulations other than r. 1 and 2: 29 Jan 2022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(Security of Payment) Regulations 2022</w:t>
            </w:r>
            <w:r>
              <w:t xml:space="preserve"> Pt. 3</w:t>
            </w:r>
          </w:p>
        </w:tc>
        <w:tc>
          <w:tcPr>
            <w:tcW w:w="1276" w:type="dxa"/>
            <w:tcBorders>
              <w:top w:val="nil"/>
              <w:bottom w:val="nil"/>
            </w:tcBorders>
            <w:shd w:val="clear" w:color="auto" w:fill="auto"/>
          </w:tcPr>
          <w:p>
            <w:pPr>
              <w:pStyle w:val="nTable"/>
              <w:keepNext/>
              <w:spacing w:after="40"/>
              <w:ind w:left="-28"/>
            </w:pPr>
            <w:r>
              <w:t>SL 2022/14 11 Feb 2022</w:t>
            </w:r>
          </w:p>
        </w:tc>
        <w:tc>
          <w:tcPr>
            <w:tcW w:w="2693" w:type="dxa"/>
            <w:tcBorders>
              <w:top w:val="nil"/>
              <w:bottom w:val="nil"/>
            </w:tcBorders>
            <w:shd w:val="clear" w:color="auto" w:fill="auto"/>
          </w:tcPr>
          <w:p>
            <w:pPr>
              <w:pStyle w:val="nTable"/>
              <w:keepNext/>
              <w:spacing w:after="40"/>
              <w:ind w:left="-28"/>
            </w:pPr>
            <w:r>
              <w:t>12 Feb 2022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9</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c>
          <w:tcPr>
            <w:tcW w:w="3119" w:type="dxa"/>
            <w:tcBorders>
              <w:top w:val="nil"/>
              <w:bottom w:val="nil"/>
            </w:tcBorders>
            <w:shd w:val="clear" w:color="auto" w:fill="auto"/>
          </w:tcPr>
          <w:p>
            <w:pPr>
              <w:pStyle w:val="nTable"/>
              <w:spacing w:after="40"/>
              <w:rPr>
                <w:i/>
              </w:rPr>
            </w:pPr>
            <w:r>
              <w:rPr>
                <w:i/>
              </w:rPr>
              <w:t>Justice Regulations Amendment (Major Events) Regulations 2023</w:t>
            </w:r>
            <w:r>
              <w:t xml:space="preserve"> Pt. 3</w:t>
            </w:r>
          </w:p>
        </w:tc>
        <w:tc>
          <w:tcPr>
            <w:tcW w:w="1276" w:type="dxa"/>
            <w:tcBorders>
              <w:top w:val="nil"/>
              <w:bottom w:val="nil"/>
            </w:tcBorders>
            <w:shd w:val="clear" w:color="auto" w:fill="auto"/>
          </w:tcPr>
          <w:p>
            <w:pPr>
              <w:pStyle w:val="nTable"/>
              <w:spacing w:after="40"/>
            </w:pPr>
            <w:r>
              <w:t>SL 2023/69 16 Jun 2023</w:t>
            </w:r>
          </w:p>
        </w:tc>
        <w:tc>
          <w:tcPr>
            <w:tcW w:w="2693" w:type="dxa"/>
            <w:tcBorders>
              <w:top w:val="nil"/>
              <w:bottom w:val="nil"/>
            </w:tcBorders>
            <w:shd w:val="clear" w:color="auto" w:fill="auto"/>
          </w:tcPr>
          <w:p>
            <w:pPr>
              <w:pStyle w:val="nTable"/>
              <w:spacing w:after="40"/>
            </w:pPr>
            <w:r>
              <w:t>17 Jun 2023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9</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c>
          <w:tcPr>
            <w:tcW w:w="3119" w:type="dxa"/>
            <w:tcBorders>
              <w:top w:val="nil"/>
              <w:bottom w:val="nil"/>
            </w:tcBorders>
            <w:shd w:val="clear" w:color="auto" w:fill="auto"/>
          </w:tcPr>
          <w:p>
            <w:pPr>
              <w:pStyle w:val="nTable"/>
              <w:spacing w:after="40"/>
              <w:rPr>
                <w:i/>
              </w:rPr>
            </w:pPr>
            <w:r>
              <w:rPr>
                <w:i/>
              </w:rPr>
              <w:t>Fines, Penalties and Infringement Notices Enforcement Amendment Regulations 2023</w:t>
            </w:r>
          </w:p>
        </w:tc>
        <w:tc>
          <w:tcPr>
            <w:tcW w:w="1276" w:type="dxa"/>
            <w:tcBorders>
              <w:top w:val="nil"/>
              <w:bottom w:val="nil"/>
            </w:tcBorders>
            <w:shd w:val="clear" w:color="auto" w:fill="auto"/>
          </w:tcPr>
          <w:p>
            <w:pPr>
              <w:pStyle w:val="nTable"/>
              <w:spacing w:after="40"/>
            </w:pPr>
            <w:r>
              <w:t>SL 2023/180 15 Nov 2023</w:t>
            </w:r>
          </w:p>
        </w:tc>
        <w:tc>
          <w:tcPr>
            <w:tcW w:w="2693" w:type="dxa"/>
            <w:tcBorders>
              <w:top w:val="nil"/>
              <w:bottom w:val="nil"/>
            </w:tcBorders>
            <w:shd w:val="clear" w:color="auto" w:fill="auto"/>
          </w:tcPr>
          <w:p>
            <w:pPr>
              <w:pStyle w:val="nTable"/>
              <w:spacing w:after="40"/>
            </w:pPr>
            <w:r>
              <w:t>r. 1 and 2: 15 Nov 2023 (see r. 2(a));</w:t>
            </w:r>
            <w:r>
              <w:br/>
              <w:t>Regulations other than r. 1 and 2: 16 Nov 2023 (see r. 2(b))</w:t>
            </w:r>
          </w:p>
        </w:tc>
      </w:tr>
      <w:tr>
        <w:tc>
          <w:tcPr>
            <w:tcW w:w="3119" w:type="dxa"/>
            <w:tcBorders>
              <w:top w:val="nil"/>
              <w:bottom w:val="nil"/>
            </w:tcBorders>
            <w:shd w:val="clear" w:color="auto" w:fill="auto"/>
          </w:tcPr>
          <w:p>
            <w:pPr>
              <w:pStyle w:val="nTable"/>
              <w:spacing w:after="40"/>
              <w:rPr>
                <w:iCs/>
              </w:rPr>
            </w:pPr>
            <w:r>
              <w:rPr>
                <w:i/>
              </w:rPr>
              <w:lastRenderedPageBreak/>
              <w:t>Attorney General Regulations Amendment (Workers Compensation) Regulations (No. 2) 2024</w:t>
            </w:r>
            <w:r>
              <w:rPr>
                <w:iCs/>
              </w:rPr>
              <w:t xml:space="preserve"> Pt. 3</w:t>
            </w:r>
          </w:p>
        </w:tc>
        <w:tc>
          <w:tcPr>
            <w:tcW w:w="1276" w:type="dxa"/>
            <w:tcBorders>
              <w:top w:val="nil"/>
              <w:bottom w:val="nil"/>
            </w:tcBorders>
            <w:shd w:val="clear" w:color="auto" w:fill="auto"/>
          </w:tcPr>
          <w:p>
            <w:pPr>
              <w:pStyle w:val="nTable"/>
              <w:spacing w:after="40"/>
            </w:pPr>
            <w:r>
              <w:t>SL 2024/29 7 Mar 2024</w:t>
            </w:r>
          </w:p>
        </w:tc>
        <w:tc>
          <w:tcPr>
            <w:tcW w:w="2693" w:type="dxa"/>
            <w:tcBorders>
              <w:top w:val="nil"/>
              <w:bottom w:val="nil"/>
            </w:tcBorders>
            <w:shd w:val="clear" w:color="auto" w:fill="auto"/>
          </w:tcPr>
          <w:p>
            <w:pPr>
              <w:pStyle w:val="nTable"/>
              <w:spacing w:after="40"/>
            </w:pPr>
            <w:r>
              <w:t>8 Mar 2024 (see r. 2(b))</w:t>
            </w:r>
          </w:p>
        </w:tc>
      </w:tr>
      <w:tr>
        <w:tc>
          <w:tcPr>
            <w:tcW w:w="3119" w:type="dxa"/>
            <w:tcBorders>
              <w:top w:val="nil"/>
              <w:bottom w:val="nil"/>
            </w:tcBorders>
            <w:shd w:val="clear" w:color="auto" w:fill="auto"/>
          </w:tcPr>
          <w:p>
            <w:pPr>
              <w:pStyle w:val="nTable"/>
              <w:spacing w:after="40"/>
              <w:rPr>
                <w:i/>
              </w:rPr>
            </w:pPr>
            <w:r>
              <w:rPr>
                <w:i/>
              </w:rPr>
              <w:t>Fines, Penalties and Infringement Notices Amendment Regulations 2024</w:t>
            </w:r>
          </w:p>
        </w:tc>
        <w:tc>
          <w:tcPr>
            <w:tcW w:w="1276" w:type="dxa"/>
            <w:tcBorders>
              <w:top w:val="nil"/>
              <w:bottom w:val="nil"/>
            </w:tcBorders>
            <w:shd w:val="clear" w:color="auto" w:fill="auto"/>
          </w:tcPr>
          <w:p>
            <w:pPr>
              <w:pStyle w:val="nTable"/>
              <w:spacing w:after="40"/>
            </w:pPr>
            <w:r>
              <w:t>SL 2024/44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5 Apr 2024 (see r. 2(b))</w:t>
            </w:r>
          </w:p>
        </w:tc>
      </w:tr>
      <w:tr>
        <w:tc>
          <w:tcPr>
            <w:tcW w:w="3119" w:type="dxa"/>
            <w:tcBorders>
              <w:top w:val="nil"/>
              <w:bottom w:val="nil"/>
            </w:tcBorders>
            <w:shd w:val="clear" w:color="auto" w:fill="auto"/>
          </w:tcPr>
          <w:p>
            <w:pPr>
              <w:pStyle w:val="nTable"/>
              <w:spacing w:after="40"/>
              <w:rPr>
                <w:iCs/>
              </w:rPr>
            </w:pPr>
            <w:r>
              <w:rPr>
                <w:i/>
              </w:rPr>
              <w:t>Attorney General Regulations Amendment (Short-Term Rental Accommodation) Regulations 2024</w:t>
            </w:r>
            <w:r>
              <w:rPr>
                <w:iCs/>
              </w:rPr>
              <w:t xml:space="preserve"> Pt. 3</w:t>
            </w:r>
          </w:p>
        </w:tc>
        <w:tc>
          <w:tcPr>
            <w:tcW w:w="1276" w:type="dxa"/>
            <w:tcBorders>
              <w:top w:val="nil"/>
              <w:bottom w:val="nil"/>
            </w:tcBorders>
            <w:shd w:val="clear" w:color="auto" w:fill="auto"/>
          </w:tcPr>
          <w:p>
            <w:pPr>
              <w:pStyle w:val="nTable"/>
              <w:spacing w:after="40"/>
            </w:pPr>
            <w:r>
              <w:t>SL 2024/76 15 May 2024</w:t>
            </w:r>
          </w:p>
        </w:tc>
        <w:tc>
          <w:tcPr>
            <w:tcW w:w="2693" w:type="dxa"/>
            <w:tcBorders>
              <w:top w:val="nil"/>
              <w:bottom w:val="nil"/>
            </w:tcBorders>
            <w:shd w:val="clear" w:color="auto" w:fill="auto"/>
          </w:tcPr>
          <w:p>
            <w:pPr>
              <w:pStyle w:val="nTable"/>
              <w:spacing w:after="40"/>
            </w:pPr>
            <w:r>
              <w:t>16 May 2024</w:t>
            </w:r>
          </w:p>
        </w:tc>
      </w:tr>
      <w:tr>
        <w:tc>
          <w:tcPr>
            <w:tcW w:w="3119" w:type="dxa"/>
            <w:tcBorders>
              <w:top w:val="nil"/>
              <w:bottom w:val="nil"/>
            </w:tcBorders>
            <w:shd w:val="clear" w:color="auto" w:fill="auto"/>
          </w:tcPr>
          <w:p>
            <w:pPr>
              <w:pStyle w:val="nTable"/>
              <w:spacing w:after="40"/>
              <w:rPr>
                <w:iCs/>
              </w:rPr>
            </w:pPr>
            <w:r>
              <w:rPr>
                <w:i/>
              </w:rPr>
              <w:t>Attorney General Regulations Amendment (Fees and Charges) Regulations 2024</w:t>
            </w:r>
            <w:r>
              <w:rPr>
                <w:iCs/>
              </w:rPr>
              <w:t xml:space="preserve"> Pt. 9</w:t>
            </w:r>
          </w:p>
        </w:tc>
        <w:tc>
          <w:tcPr>
            <w:tcW w:w="1276" w:type="dxa"/>
            <w:tcBorders>
              <w:top w:val="nil"/>
              <w:bottom w:val="nil"/>
            </w:tcBorders>
            <w:shd w:val="clear" w:color="auto" w:fill="auto"/>
          </w:tcPr>
          <w:p>
            <w:pPr>
              <w:pStyle w:val="nTable"/>
              <w:spacing w:after="40"/>
            </w:pPr>
            <w:r>
              <w:t>SL 2024/113 26 Jun 2024</w:t>
            </w:r>
          </w:p>
        </w:tc>
        <w:tc>
          <w:tcPr>
            <w:tcW w:w="2693" w:type="dxa"/>
            <w:tcBorders>
              <w:top w:val="nil"/>
              <w:bottom w:val="nil"/>
            </w:tcBorders>
            <w:shd w:val="clear" w:color="auto" w:fill="auto"/>
          </w:tcPr>
          <w:p>
            <w:pPr>
              <w:pStyle w:val="nTable"/>
              <w:spacing w:after="40"/>
            </w:pPr>
            <w:r>
              <w:t>1 Jul 2024 (see r. 2(b))</w:t>
            </w:r>
          </w:p>
        </w:tc>
      </w:tr>
      <w:tr>
        <w:tc>
          <w:tcPr>
            <w:tcW w:w="3119" w:type="dxa"/>
            <w:tcBorders>
              <w:top w:val="nil"/>
              <w:bottom w:val="nil"/>
            </w:tcBorders>
            <w:shd w:val="clear" w:color="auto" w:fill="auto"/>
          </w:tcPr>
          <w:p>
            <w:pPr>
              <w:pStyle w:val="nTable"/>
              <w:spacing w:after="40"/>
              <w:rPr>
                <w:i/>
              </w:rPr>
            </w:pPr>
            <w:r>
              <w:rPr>
                <w:i/>
              </w:rPr>
              <w:t xml:space="preserve">Attorney General Regulations Amendment (Workers Compensation) Regulations 2024 </w:t>
            </w:r>
            <w:r>
              <w:rPr>
                <w:iCs/>
              </w:rPr>
              <w:t>Pt. 3</w:t>
            </w:r>
          </w:p>
        </w:tc>
        <w:tc>
          <w:tcPr>
            <w:tcW w:w="1276" w:type="dxa"/>
            <w:tcBorders>
              <w:top w:val="nil"/>
              <w:bottom w:val="nil"/>
            </w:tcBorders>
            <w:shd w:val="clear" w:color="auto" w:fill="auto"/>
          </w:tcPr>
          <w:p>
            <w:pPr>
              <w:pStyle w:val="nTable"/>
              <w:spacing w:after="40"/>
            </w:pPr>
            <w:r>
              <w:t>SL 2024/132 26 Jun 2024</w:t>
            </w:r>
          </w:p>
        </w:tc>
        <w:tc>
          <w:tcPr>
            <w:tcW w:w="2693" w:type="dxa"/>
            <w:tcBorders>
              <w:top w:val="nil"/>
              <w:bottom w:val="nil"/>
            </w:tcBorders>
            <w:shd w:val="clear" w:color="auto" w:fill="auto"/>
          </w:tcPr>
          <w:p>
            <w:pPr>
              <w:pStyle w:val="nTable"/>
              <w:spacing w:after="40"/>
            </w:pPr>
            <w:r>
              <w:t>1 Jul 2024 (see r. 2(b))</w:t>
            </w:r>
          </w:p>
        </w:tc>
      </w:tr>
      <w:tr>
        <w:tc>
          <w:tcPr>
            <w:tcW w:w="3119" w:type="dxa"/>
            <w:tcBorders>
              <w:top w:val="nil"/>
              <w:bottom w:val="nil"/>
            </w:tcBorders>
            <w:shd w:val="clear" w:color="auto" w:fill="auto"/>
          </w:tcPr>
          <w:p>
            <w:pPr>
              <w:pStyle w:val="nTable"/>
              <w:spacing w:after="40"/>
              <w:rPr>
                <w:i/>
              </w:rPr>
            </w:pPr>
            <w:r>
              <w:rPr>
                <w:bCs/>
                <w:i/>
              </w:rPr>
              <w:t>Attorney General Regulations Amendment (Road Traffic Infringement Management Reform) Regulations 2024</w:t>
            </w:r>
            <w:r>
              <w:rPr>
                <w:bCs/>
                <w:iCs/>
              </w:rPr>
              <w:t xml:space="preserve"> Pt. 3</w:t>
            </w:r>
          </w:p>
        </w:tc>
        <w:tc>
          <w:tcPr>
            <w:tcW w:w="1276" w:type="dxa"/>
            <w:tcBorders>
              <w:top w:val="nil"/>
              <w:bottom w:val="nil"/>
            </w:tcBorders>
            <w:shd w:val="clear" w:color="auto" w:fill="auto"/>
          </w:tcPr>
          <w:p>
            <w:pPr>
              <w:pStyle w:val="nTable"/>
              <w:spacing w:after="40"/>
            </w:pPr>
            <w:r>
              <w:t>SL 2024/203 2 Oct 2024</w:t>
            </w:r>
          </w:p>
        </w:tc>
        <w:tc>
          <w:tcPr>
            <w:tcW w:w="2693" w:type="dxa"/>
            <w:tcBorders>
              <w:top w:val="nil"/>
              <w:bottom w:val="nil"/>
            </w:tcBorders>
            <w:shd w:val="clear" w:color="auto" w:fill="auto"/>
          </w:tcPr>
          <w:p>
            <w:pPr>
              <w:pStyle w:val="nTable"/>
              <w:spacing w:after="40"/>
            </w:pPr>
            <w:r>
              <w:t>7 Oct 2024 (see r. 2(b))</w:t>
            </w:r>
          </w:p>
        </w:tc>
      </w:tr>
      <w:tr>
        <w:tc>
          <w:tcPr>
            <w:tcW w:w="3119" w:type="dxa"/>
            <w:tcBorders>
              <w:top w:val="nil"/>
              <w:bottom w:val="nil"/>
            </w:tcBorders>
            <w:shd w:val="clear" w:color="auto" w:fill="auto"/>
          </w:tcPr>
          <w:p>
            <w:pPr>
              <w:pStyle w:val="nTable"/>
              <w:spacing w:after="40"/>
              <w:rPr>
                <w:bCs/>
                <w:iCs/>
              </w:rPr>
            </w:pPr>
            <w:r>
              <w:rPr>
                <w:bCs/>
                <w:i/>
              </w:rPr>
              <w:t xml:space="preserve">Attorney General Regulations Amendment (Medicines and Poisons) Regulations 2024 </w:t>
            </w:r>
            <w:r>
              <w:rPr>
                <w:bCs/>
                <w:iCs/>
              </w:rPr>
              <w:t>Pt. 3</w:t>
            </w:r>
          </w:p>
        </w:tc>
        <w:tc>
          <w:tcPr>
            <w:tcW w:w="1276" w:type="dxa"/>
            <w:tcBorders>
              <w:top w:val="nil"/>
              <w:bottom w:val="nil"/>
            </w:tcBorders>
            <w:shd w:val="clear" w:color="auto" w:fill="auto"/>
          </w:tcPr>
          <w:p>
            <w:pPr>
              <w:pStyle w:val="nTable"/>
              <w:spacing w:after="40"/>
            </w:pPr>
            <w:r>
              <w:t>SL 2024/210 16 Oct 2024</w:t>
            </w:r>
          </w:p>
        </w:tc>
        <w:tc>
          <w:tcPr>
            <w:tcW w:w="2693" w:type="dxa"/>
            <w:tcBorders>
              <w:top w:val="nil"/>
              <w:bottom w:val="nil"/>
            </w:tcBorders>
            <w:shd w:val="clear" w:color="auto" w:fill="auto"/>
          </w:tcPr>
          <w:p>
            <w:pPr>
              <w:pStyle w:val="nTable"/>
              <w:spacing w:after="40"/>
            </w:pPr>
            <w:r>
              <w:t>17 Oct 2024 (see r. 2(b))</w:t>
            </w:r>
          </w:p>
        </w:tc>
      </w:tr>
      <w:tr>
        <w:tc>
          <w:tcPr>
            <w:tcW w:w="3119" w:type="dxa"/>
            <w:tcBorders>
              <w:top w:val="nil"/>
              <w:bottom w:val="nil"/>
            </w:tcBorders>
            <w:shd w:val="clear" w:color="auto" w:fill="auto"/>
          </w:tcPr>
          <w:p>
            <w:pPr>
              <w:pStyle w:val="nTable"/>
              <w:spacing w:after="40"/>
              <w:rPr>
                <w:bCs/>
                <w:i/>
              </w:rPr>
            </w:pPr>
            <w:r>
              <w:rPr>
                <w:bCs/>
                <w:i/>
              </w:rPr>
              <w:t>Fines, Penalties and Infringement Notices Enforcement Amendment Regulations 2024</w:t>
            </w:r>
          </w:p>
        </w:tc>
        <w:tc>
          <w:tcPr>
            <w:tcW w:w="1276" w:type="dxa"/>
            <w:tcBorders>
              <w:top w:val="nil"/>
              <w:bottom w:val="nil"/>
            </w:tcBorders>
            <w:shd w:val="clear" w:color="auto" w:fill="auto"/>
          </w:tcPr>
          <w:p>
            <w:pPr>
              <w:pStyle w:val="nTable"/>
              <w:spacing w:after="40"/>
            </w:pPr>
            <w:r>
              <w:t>SL 2024/232 13 Nov 2024</w:t>
            </w:r>
          </w:p>
        </w:tc>
        <w:tc>
          <w:tcPr>
            <w:tcW w:w="2693" w:type="dxa"/>
            <w:tcBorders>
              <w:top w:val="nil"/>
              <w:bottom w:val="nil"/>
            </w:tcBorders>
            <w:shd w:val="clear" w:color="auto" w:fill="auto"/>
          </w:tcPr>
          <w:p>
            <w:pPr>
              <w:pStyle w:val="nTable"/>
              <w:spacing w:after="40"/>
            </w:pPr>
            <w:r>
              <w:t>r. 1 and 2: 13 Nov 2024 (see r. 2(a));</w:t>
            </w:r>
            <w:r>
              <w:br/>
              <w:t>Regulations other than r. 1 and 2: 14 Nov 2024 (see r. 2(b))</w:t>
            </w:r>
          </w:p>
        </w:tc>
      </w:tr>
      <w:tr>
        <w:tc>
          <w:tcPr>
            <w:tcW w:w="3119" w:type="dxa"/>
            <w:tcBorders>
              <w:top w:val="nil"/>
              <w:bottom w:val="nil"/>
            </w:tcBorders>
            <w:shd w:val="clear" w:color="auto" w:fill="auto"/>
          </w:tcPr>
          <w:p>
            <w:pPr>
              <w:pStyle w:val="nTable"/>
              <w:spacing w:after="40"/>
              <w:rPr>
                <w:bCs/>
                <w:iCs/>
              </w:rPr>
            </w:pPr>
            <w:r>
              <w:rPr>
                <w:bCs/>
                <w:i/>
              </w:rPr>
              <w:t xml:space="preserve">Attorney General Regulations Amendment (Firearms) Regulations (No. 2) 2024 </w:t>
            </w:r>
            <w:r>
              <w:rPr>
                <w:bCs/>
                <w:iCs/>
              </w:rPr>
              <w:t>Pt. 3</w:t>
            </w:r>
          </w:p>
        </w:tc>
        <w:tc>
          <w:tcPr>
            <w:tcW w:w="1276" w:type="dxa"/>
            <w:tcBorders>
              <w:top w:val="nil"/>
              <w:bottom w:val="nil"/>
            </w:tcBorders>
            <w:shd w:val="clear" w:color="auto" w:fill="auto"/>
          </w:tcPr>
          <w:p>
            <w:pPr>
              <w:pStyle w:val="nTable"/>
              <w:spacing w:after="40"/>
            </w:pPr>
            <w:r>
              <w:t>SL 2024/242 27 Nov 2024</w:t>
            </w:r>
          </w:p>
        </w:tc>
        <w:tc>
          <w:tcPr>
            <w:tcW w:w="2693" w:type="dxa"/>
            <w:tcBorders>
              <w:top w:val="nil"/>
              <w:bottom w:val="nil"/>
            </w:tcBorders>
            <w:shd w:val="clear" w:color="auto" w:fill="auto"/>
          </w:tcPr>
          <w:p>
            <w:pPr>
              <w:pStyle w:val="nTable"/>
              <w:spacing w:after="40"/>
            </w:pPr>
            <w:r>
              <w:t>28 Nov 2024 (see r. 2(b))</w:t>
            </w:r>
          </w:p>
        </w:tc>
      </w:tr>
      <w:tr>
        <w:tc>
          <w:tcPr>
            <w:tcW w:w="3119" w:type="dxa"/>
            <w:tcBorders>
              <w:top w:val="nil"/>
              <w:bottom w:val="nil"/>
            </w:tcBorders>
            <w:shd w:val="clear" w:color="auto" w:fill="auto"/>
          </w:tcPr>
          <w:p>
            <w:pPr>
              <w:pStyle w:val="nTable"/>
              <w:spacing w:after="40"/>
              <w:rPr>
                <w:bCs/>
                <w:i/>
              </w:rPr>
            </w:pPr>
            <w:r>
              <w:rPr>
                <w:i/>
              </w:rPr>
              <w:t xml:space="preserve">Attorney General Regulations Amendment (Towing Services) Regulations 2024 </w:t>
            </w:r>
            <w:r>
              <w:rPr>
                <w:iCs/>
              </w:rPr>
              <w:t>Pt. 3</w:t>
            </w:r>
          </w:p>
        </w:tc>
        <w:tc>
          <w:tcPr>
            <w:tcW w:w="1276" w:type="dxa"/>
            <w:tcBorders>
              <w:top w:val="nil"/>
              <w:bottom w:val="nil"/>
            </w:tcBorders>
            <w:shd w:val="clear" w:color="auto" w:fill="auto"/>
          </w:tcPr>
          <w:p>
            <w:pPr>
              <w:pStyle w:val="nTable"/>
              <w:spacing w:after="40"/>
            </w:pPr>
            <w:r>
              <w:t>SL 2024/260 11 Dec 2024</w:t>
            </w:r>
          </w:p>
        </w:tc>
        <w:tc>
          <w:tcPr>
            <w:tcW w:w="2693" w:type="dxa"/>
            <w:tcBorders>
              <w:top w:val="nil"/>
              <w:bottom w:val="nil"/>
            </w:tcBorders>
            <w:shd w:val="clear" w:color="auto" w:fill="auto"/>
          </w:tcPr>
          <w:p>
            <w:pPr>
              <w:pStyle w:val="nTable"/>
              <w:spacing w:after="40"/>
            </w:pPr>
            <w:r>
              <w:t>12 Dec 2024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iCs/>
              </w:rPr>
            </w:pPr>
            <w:r>
              <w:rPr>
                <w:i/>
              </w:rPr>
              <w:t xml:space="preserve">Attorney General Regulations Amendment (Gambling) Regulations 2025 </w:t>
            </w:r>
            <w:r>
              <w:rPr>
                <w:iCs/>
              </w:rPr>
              <w:t>Pt. 3</w:t>
            </w:r>
          </w:p>
        </w:tc>
        <w:tc>
          <w:tcPr>
            <w:tcW w:w="1276" w:type="dxa"/>
            <w:tcBorders>
              <w:bottom w:val="single" w:sz="4" w:space="0" w:color="auto"/>
            </w:tcBorders>
            <w:shd w:val="clear" w:color="auto" w:fill="auto"/>
          </w:tcPr>
          <w:p>
            <w:pPr>
              <w:pStyle w:val="nTable"/>
              <w:spacing w:after="40"/>
            </w:pPr>
            <w:r>
              <w:t>SL 2025/2 8 Jan 2025</w:t>
            </w:r>
          </w:p>
        </w:tc>
        <w:tc>
          <w:tcPr>
            <w:tcW w:w="2693" w:type="dxa"/>
            <w:tcBorders>
              <w:bottom w:val="single" w:sz="4" w:space="0" w:color="auto"/>
            </w:tcBorders>
            <w:shd w:val="clear" w:color="auto" w:fill="auto"/>
          </w:tcPr>
          <w:p>
            <w:pPr>
              <w:pStyle w:val="nTable"/>
              <w:spacing w:after="40"/>
            </w:pPr>
            <w:r>
              <w:t>9 Jan 2025 (see r. 2(b))</w:t>
            </w:r>
          </w:p>
        </w:tc>
      </w:tr>
    </w:tbl>
    <w:p>
      <w:pPr>
        <w:pStyle w:val="nHeading3"/>
      </w:pPr>
      <w:bookmarkStart w:id="91" w:name="_Toc186710152"/>
      <w:r>
        <w:lastRenderedPageBreak/>
        <w:t>Other notes</w:t>
      </w:r>
      <w:bookmarkEnd w:id="91"/>
    </w:p>
    <w:p>
      <w:pPr>
        <w:pStyle w:val="nNote"/>
      </w:pPr>
      <w:r>
        <w:rPr>
          <w:vertAlign w:val="superscript"/>
        </w:rPr>
        <w:t>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2</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3</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93" w:name="_Toc186709194"/>
      <w:bookmarkStart w:id="94" w:name="_Toc186709579"/>
      <w:bookmarkStart w:id="95" w:name="_Toc186710084"/>
      <w:bookmarkStart w:id="96" w:name="_Toc186710153"/>
      <w:r>
        <w:rPr>
          <w:sz w:val="28"/>
        </w:rPr>
        <w:lastRenderedPageBreak/>
        <w:t>Defined terms</w:t>
      </w:r>
      <w:bookmarkEnd w:id="93"/>
      <w:bookmarkEnd w:id="94"/>
      <w:bookmarkEnd w:id="95"/>
      <w:bookmarkEnd w:id="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ASGS</w:t>
      </w:r>
      <w:r>
        <w:tab/>
        <w:t>2B(1)</w:t>
      </w:r>
    </w:p>
    <w:p>
      <w:pPr>
        <w:pStyle w:val="DefinedTerms"/>
      </w:pPr>
      <w:r>
        <w:t>ECMS</w:t>
      </w:r>
      <w:r>
        <w:tab/>
        <w:t>2A</w:t>
      </w:r>
    </w:p>
    <w:p>
      <w:pPr>
        <w:pStyle w:val="DefinedTerms"/>
      </w:pPr>
      <w:r>
        <w:t>GST</w:t>
      </w:r>
      <w:r>
        <w:tab/>
        <w:t>3AA(1)</w:t>
      </w:r>
    </w:p>
    <w:p>
      <w:pPr>
        <w:pStyle w:val="DefinedTerms"/>
      </w:pPr>
      <w:r>
        <w:t>metropolitan region</w:t>
      </w:r>
      <w:r>
        <w:tab/>
        <w:t>2A</w:t>
      </w:r>
    </w:p>
    <w:p>
      <w:pPr>
        <w:pStyle w:val="DefinedTerms"/>
      </w:pPr>
      <w:r>
        <w:t>section</w:t>
      </w:r>
      <w:r>
        <w:tab/>
        <w:t>2A</w:t>
      </w:r>
    </w:p>
    <w:p>
      <w:pPr>
        <w:pStyle w:val="DefinedTerms"/>
      </w:pPr>
      <w:r>
        <w:t>warrant</w:t>
      </w:r>
      <w:r>
        <w:tab/>
        <w:t>11B(1)</w:t>
      </w:r>
    </w:p>
    <w:p>
      <w:pPr>
        <w:pStyle w:val="DefinedTerms"/>
      </w:pPr>
      <w:r>
        <w:t>WPI</w:t>
      </w:r>
      <w:r>
        <w:tab/>
        <w:t>8AA(3), 8AC(1)</w:t>
      </w:r>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367F5D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70FE9E76" w14:textId="5BECD11F" w:rsidR="00B3168F" w:rsidRDefault="00A642C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75913">
                        <w:rPr>
                          <w:sz w:val="16"/>
                        </w:rPr>
                        <w:t>2025</w:t>
                      </w:r>
                      <w:r>
                        <w:rPr>
                          <w:sz w:val="16"/>
                        </w:rPr>
                        <w:fldChar w:fldCharType="end"/>
                      </w:r>
                      <w:r>
                        <w:rPr>
                          <w:sz w:val="16"/>
                        </w:rPr>
                        <w:t>.</w:t>
                      </w:r>
                    </w:p>
                    <w:p w14:paraId="7311F632" w14:textId="77777777" w:rsidR="00B3168F" w:rsidRDefault="00A642C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31EDA92" w14:textId="2FECE1A6" w:rsidR="00B3168F" w:rsidRDefault="00A642C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75913">
                        <w:rPr>
                          <w:sz w:val="16"/>
                        </w:rPr>
                        <w:t>2025</w:t>
                      </w:r>
                      <w:r>
                        <w:rPr>
                          <w:sz w:val="16"/>
                        </w:rPr>
                        <w:fldChar w:fldCharType="end"/>
                      </w:r>
                      <w:r>
                        <w:rPr>
                          <w:sz w:val="16"/>
                        </w:rPr>
                        <w:t>.</w:t>
                      </w:r>
                    </w:p>
                    <w:p w14:paraId="21B3D700" w14:textId="77777777" w:rsidR="00B3168F" w:rsidRDefault="00A642C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6" w:name="Schedule"/>
    <w:bookmarkEnd w:id="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exercise of power under enforcement warrant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7" w:name="DefinedTerms"/>
    <w:bookmarkEnd w:id="9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8" w:name="Coversheet"/>
    <w:bookmarkEnd w:id="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2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02111723"/>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 w:name="WAFER_20220627153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3950_GUID" w:val="a4d11830-805a-4f54-9214-a9794b78a027"/>
    <w:docVar w:name="WAFER_20230613152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804_GUID" w:val="f9f75b97-79dc-4257-8838-65767e17bd47"/>
    <w:docVar w:name="WAFER_2023080116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243_GUID" w:val="8a543741-7eeb-4a7f-b58f-319a95c34c7a"/>
    <w:docVar w:name="WAFER_2023110915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52927_GUID" w:val="f9e50ec0-3120-48cd-83d7-5e7d5fd49956"/>
    <w:docVar w:name="WAFER_2024022913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30916_GUID" w:val="02cbad84-44bd-4aa9-ac79-72d92630c4af"/>
    <w:docVar w:name="WAFER_20240229130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30938_GUID" w:val="0708f06b-2749-4e7e-915f-1b25345edd46"/>
    <w:docVar w:name="WAFER_20240328143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3236_GUID" w:val="369a898d-88ad-4f83-b4b6-de8a5983ba66"/>
    <w:docVar w:name="WAFER_20240509121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1050_GUID" w:val="a8f76649-7669-4f7d-ae03-3fc7c184aabb"/>
    <w:docVar w:name="WAFER_20240621153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3542_GUID" w:val="964b9da3-846d-4470-adb6-bfe499b2b21e"/>
    <w:docVar w:name="WAFER_202409261250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6125009_GUID" w:val="dc1c1ee7-a6a1-415d-b415-3986d85f187a"/>
    <w:docVar w:name="WAFER_20241010143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3451_GUID" w:val="01609bba-473e-4b73-880e-87517a7c28e9"/>
    <w:docVar w:name="WAFER_20241010143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3533_GUID" w:val="ad812e09-792c-488e-97ad-54b21a6b18da"/>
    <w:docVar w:name="WAFER_20241107154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7154850_GUID" w:val="64b65964-d090-4280-b722-0e0f052ae781"/>
    <w:docVar w:name="WAFER_20241121135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35426_GUID" w:val="d6fbc9bb-39ae-4369-a030-9962ceef2a7f"/>
    <w:docVar w:name="WAFER_20241206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094413_GUID" w:val="21434f04-6f9e-4583-a946-fc0a6350a9f5"/>
    <w:docVar w:name="WAFER_20250102111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2111723_GUID" w:val="6544370f-3454-4d08-934f-c225ef0f14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2145"/>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58407-395C-4048-9081-91AE8955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16661</Words>
  <Characters>83976</Characters>
  <Application>Microsoft Office Word</Application>
  <DocSecurity>0</DocSecurity>
  <Lines>3110</Lines>
  <Paragraphs>1765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1994 - 08-ag0-00</dc:title>
  <dc:subject/>
  <dc:creator/>
  <cp:keywords/>
  <dc:description/>
  <cp:lastModifiedBy>Master Repository Process</cp:lastModifiedBy>
  <cp:revision>4</cp:revision>
  <cp:lastPrinted>2021-07-29T05:22:00Z</cp:lastPrinted>
  <dcterms:created xsi:type="dcterms:W3CDTF">2025-06-09T03:56:00Z</dcterms:created>
  <dcterms:modified xsi:type="dcterms:W3CDTF">2025-06-09T03:57:00Z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CommencementDate">
    <vt:lpwstr>20250109</vt:lpwstr>
  </property>
  <property fmtid="{D5CDD505-2E9C-101B-9397-08002B2CF9AE}" pid="8" name="CommencementAsAt">
    <vt:filetime>2025-01-08T16:00:00Z</vt:filetime>
  </property>
  <property fmtid="{D5CDD505-2E9C-101B-9397-08002B2CF9AE}" pid="9" name="CommencementYear">
    <vt:lpwstr>2025</vt:lpwstr>
  </property>
  <property fmtid="{D5CDD505-2E9C-101B-9397-08002B2CF9AE}" pid="10" name="AsAtDate">
    <vt:lpwstr>09 Jan 2025</vt:lpwstr>
  </property>
  <property fmtid="{D5CDD505-2E9C-101B-9397-08002B2CF9AE}" pid="11" name="Suffix">
    <vt:lpwstr>08-ag0-00</vt:lpwstr>
  </property>
  <property fmtid="{D5CDD505-2E9C-101B-9397-08002B2CF9AE}" pid="12" name="Official">
    <vt:lpwstr/>
  </property>
</Properties>
</file>