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Industrial Relations Act 1979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Industrial Relations Regulations Amendment Regulations (No. 2)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Industrial Relations Regulations Amendment Regulations (No. 2)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_Toc187927881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_Toc187927882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Industrial Relations (Employer</w:t>
      </w:r>
      <w:r>
        <w:rPr>
          <w:i/>
          <w:iCs/>
        </w:rPr>
        <w:noBreakHyphen/>
        <w:t>employee Agreements) Regulations 2002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_Toc187927884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Part 3 Division 2 heading amended</w:t>
      </w:r>
      <w:r>
        <w:tab/>
      </w:r>
      <w:r>
        <w:fldChar w:fldCharType="begin"/>
      </w:r>
      <w:r>
        <w:instrText xml:space="preserve"> PAGEREF _Toc187927885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15 amended</w:t>
      </w:r>
      <w:r>
        <w:tab/>
      </w:r>
      <w:r>
        <w:fldChar w:fldCharType="begin"/>
      </w:r>
      <w:r>
        <w:instrText xml:space="preserve"> PAGEREF _Toc187927886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25 amended</w:t>
      </w:r>
      <w:r>
        <w:tab/>
      </w:r>
      <w:r>
        <w:fldChar w:fldCharType="begin"/>
      </w:r>
      <w:r>
        <w:instrText xml:space="preserve"> PAGEREF _Toc187927887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33 amended</w:t>
      </w:r>
      <w:r>
        <w:tab/>
      </w:r>
      <w:r>
        <w:fldChar w:fldCharType="begin"/>
      </w:r>
      <w:r>
        <w:instrText xml:space="preserve"> PAGEREF _Toc187927888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Schedule 3 amended</w:t>
      </w:r>
      <w:r>
        <w:tab/>
      </w:r>
      <w:r>
        <w:fldChar w:fldCharType="begin"/>
      </w:r>
      <w:r>
        <w:instrText xml:space="preserve"> PAGEREF _Toc187927889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Various references to “relevant industrial authority” amended</w:t>
      </w:r>
      <w:r>
        <w:tab/>
      </w:r>
      <w:r>
        <w:fldChar w:fldCharType="begin"/>
      </w:r>
      <w:r>
        <w:instrText xml:space="preserve"> PAGEREF _Toc187927890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Industrial Relations (General) Regulations 1997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_Toc187927892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Regulation 8 deleted</w:t>
      </w:r>
      <w:r>
        <w:tab/>
      </w:r>
      <w:r>
        <w:fldChar w:fldCharType="begin"/>
      </w:r>
      <w:r>
        <w:instrText xml:space="preserve"> PAGEREF _Toc187927893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Regulations 16 to 18 inserted</w:t>
      </w:r>
      <w:r>
        <w:tab/>
      </w:r>
      <w:r>
        <w:fldChar w:fldCharType="begin"/>
      </w:r>
      <w:r>
        <w:instrText xml:space="preserve"> PAGEREF _Toc187927894 \h </w:instrText>
      </w:r>
      <w:r>
        <w:fldChar w:fldCharType="separate"/>
      </w:r>
      <w:r>
        <w:t>6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16.</w:t>
      </w:r>
      <w:r>
        <w:rPr>
          <w:noProof/>
        </w:rPr>
        <w:tab/>
        <w:t>Federal organisations prescribed to be federal counterpart in relation to organisation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_Toc187927895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17.</w:t>
      </w:r>
      <w:r>
        <w:rPr>
          <w:noProof/>
        </w:rPr>
        <w:tab/>
        <w:t>State laws prescribed to be industrial laws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_Toc187927896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lastRenderedPageBreak/>
        <w:t>18.</w:t>
      </w:r>
      <w:r>
        <w:rPr>
          <w:noProof/>
        </w:rPr>
        <w:tab/>
        <w:t>Commonwealth, State and Territory laws prescribed to be work health and safety laws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_Toc187927897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_Toc187927898 \h </w:instrText>
      </w:r>
      <w:r>
        <w:fldChar w:fldCharType="separate"/>
      </w:r>
      <w:r>
        <w:t>8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Industrial Relations Act 1979</w:t>
      </w:r>
    </w:p>
    <w:p>
      <w:pPr>
        <w:pStyle w:val="NameofActReg"/>
      </w:pPr>
      <w:r>
        <w:t>Industrial Relations Regulations Amendment Regulations (No. 2) 2025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360"/>
      </w:pPr>
      <w:bookmarkStart w:id="2" w:name="_Toc187927579"/>
      <w:bookmarkStart w:id="3" w:name="_Toc187927633"/>
      <w:bookmarkStart w:id="4" w:name="_Toc187927774"/>
      <w:bookmarkStart w:id="5" w:name="_Toc187927880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187927580"/>
      <w:bookmarkStart w:id="7" w:name="_Toc187927881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Industrial Relations Regulations Amendment Regulations (No. 2) 2025</w:t>
      </w:r>
      <w:r>
        <w:t>.</w:t>
      </w:r>
    </w:p>
    <w:p>
      <w:pPr>
        <w:pStyle w:val="Heading5"/>
        <w:rPr>
          <w:spacing w:val="-2"/>
        </w:rPr>
      </w:pPr>
      <w:bookmarkStart w:id="9" w:name="_Toc187927581"/>
      <w:bookmarkStart w:id="10" w:name="_Toc18792788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Part 1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2"/>
      </w:pPr>
      <w:bookmarkStart w:id="11" w:name="_Toc187927582"/>
      <w:bookmarkStart w:id="12" w:name="_Toc187927636"/>
      <w:bookmarkStart w:id="13" w:name="_Toc187927777"/>
      <w:bookmarkStart w:id="14" w:name="_Toc187927883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Industrial Relations (Employer</w:t>
      </w:r>
      <w:r>
        <w:rPr>
          <w:rStyle w:val="CharPartText"/>
          <w:i/>
          <w:iCs/>
        </w:rPr>
        <w:noBreakHyphen/>
        <w:t>employee Agreements) Regulations 2002</w:t>
      </w:r>
      <w:r>
        <w:rPr>
          <w:rStyle w:val="CharPartText"/>
        </w:rPr>
        <w:t xml:space="preserve"> amended</w:t>
      </w:r>
      <w:bookmarkEnd w:id="11"/>
      <w:bookmarkEnd w:id="12"/>
      <w:bookmarkEnd w:id="13"/>
      <w:bookmarkEnd w:id="14"/>
    </w:p>
    <w:p>
      <w:pPr>
        <w:pStyle w:val="Heading5"/>
        <w:rPr>
          <w:snapToGrid w:val="0"/>
        </w:rPr>
      </w:pPr>
      <w:bookmarkStart w:id="15" w:name="_Toc187927583"/>
      <w:bookmarkStart w:id="16" w:name="_Toc18792788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Industrial Relations (Employer</w:t>
      </w:r>
      <w:r>
        <w:rPr>
          <w:i/>
        </w:rPr>
        <w:noBreakHyphen/>
        <w:t>employee Agreements) Regulations 2002</w:t>
      </w:r>
      <w:r>
        <w:t>.</w:t>
      </w:r>
    </w:p>
    <w:p>
      <w:pPr>
        <w:pStyle w:val="Heading5"/>
      </w:pPr>
      <w:bookmarkStart w:id="17" w:name="_Toc187927584"/>
      <w:bookmarkStart w:id="18" w:name="_Toc187927885"/>
      <w:r>
        <w:rPr>
          <w:rStyle w:val="CharSectno"/>
        </w:rPr>
        <w:t>4</w:t>
      </w:r>
      <w:r>
        <w:t>.</w:t>
      </w:r>
      <w:r>
        <w:tab/>
        <w:t>Part 3 Division 2 heading amended</w:t>
      </w:r>
      <w:bookmarkEnd w:id="17"/>
      <w:bookmarkEnd w:id="18"/>
    </w:p>
    <w:p>
      <w:pPr>
        <w:pStyle w:val="Subsection"/>
      </w:pPr>
      <w:r>
        <w:tab/>
      </w:r>
      <w:r>
        <w:tab/>
        <w:t>In the heading to Part 3 Division 2 delete “</w:t>
      </w:r>
      <w:r>
        <w:rPr>
          <w:b/>
          <w:sz w:val="26"/>
        </w:rPr>
        <w:t>relevant industrial authority</w:t>
      </w:r>
      <w:r>
        <w:t>” and insert:</w:t>
      </w:r>
    </w:p>
    <w:p>
      <w:pPr>
        <w:pStyle w:val="BlankOpen"/>
      </w:pPr>
    </w:p>
    <w:p>
      <w:pPr>
        <w:pStyle w:val="Subsection"/>
        <w:rPr>
          <w:b/>
          <w:sz w:val="26"/>
        </w:rPr>
      </w:pPr>
      <w:r>
        <w:tab/>
      </w:r>
      <w:r>
        <w:tab/>
      </w:r>
      <w:r>
        <w:rPr>
          <w:b/>
          <w:sz w:val="26"/>
        </w:rPr>
        <w:t>Commission</w:t>
      </w:r>
    </w:p>
    <w:p>
      <w:pPr>
        <w:pStyle w:val="BlankClose"/>
      </w:pPr>
    </w:p>
    <w:p>
      <w:pPr>
        <w:pStyle w:val="Heading5"/>
      </w:pPr>
      <w:bookmarkStart w:id="19" w:name="_Toc187927585"/>
      <w:bookmarkStart w:id="20" w:name="_Toc187927886"/>
      <w:r>
        <w:rPr>
          <w:rStyle w:val="CharSectno"/>
        </w:rPr>
        <w:t>5</w:t>
      </w:r>
      <w:r>
        <w:t>.</w:t>
      </w:r>
      <w:r>
        <w:tab/>
        <w:t>Regulation 15 amended</w:t>
      </w:r>
      <w:bookmarkEnd w:id="19"/>
      <w:bookmarkEnd w:id="20"/>
    </w:p>
    <w:p>
      <w:pPr>
        <w:pStyle w:val="Subsection"/>
      </w:pPr>
      <w:r>
        <w:tab/>
      </w:r>
      <w:r>
        <w:tab/>
        <w:t>Delete regulation 15(a) and insert:</w:t>
      </w:r>
    </w:p>
    <w:p>
      <w:pPr>
        <w:pStyle w:val="BlankOpen"/>
      </w:pPr>
    </w:p>
    <w:p>
      <w:pPr>
        <w:pStyle w:val="zIndenta"/>
      </w:pPr>
      <w:r>
        <w:tab/>
        <w:t>(a)</w:t>
      </w:r>
      <w:r>
        <w:tab/>
        <w:t>the referral of a dispute for arbitration by the Commission constituted by a commissioner under an EEA dispute provision of the kind mentioned in section 97UP of the Act; and</w:t>
      </w:r>
    </w:p>
    <w:p>
      <w:pPr>
        <w:pStyle w:val="BlankClose"/>
      </w:pPr>
    </w:p>
    <w:p>
      <w:pPr>
        <w:pStyle w:val="Heading5"/>
      </w:pPr>
      <w:bookmarkStart w:id="21" w:name="_Toc187927586"/>
      <w:bookmarkStart w:id="22" w:name="_Toc187927887"/>
      <w:r>
        <w:rPr>
          <w:rStyle w:val="CharSectno"/>
        </w:rPr>
        <w:t>6</w:t>
      </w:r>
      <w:r>
        <w:t>.</w:t>
      </w:r>
      <w:r>
        <w:tab/>
        <w:t>Regulation 25 amended</w:t>
      </w:r>
      <w:bookmarkEnd w:id="21"/>
      <w:bookmarkEnd w:id="22"/>
    </w:p>
    <w:p>
      <w:pPr>
        <w:pStyle w:val="Subsection"/>
      </w:pPr>
      <w:r>
        <w:tab/>
      </w:r>
      <w:r>
        <w:tab/>
        <w:t>In regulation 25(1) delete “a relevant industrial authority under a provision”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the Commission constituted by a commissioner under an EEA dispute provision</w:t>
      </w:r>
    </w:p>
    <w:p>
      <w:pPr>
        <w:pStyle w:val="BlankClose"/>
      </w:pPr>
    </w:p>
    <w:p>
      <w:pPr>
        <w:pStyle w:val="Heading5"/>
      </w:pPr>
      <w:bookmarkStart w:id="23" w:name="_Toc187927587"/>
      <w:bookmarkStart w:id="24" w:name="_Toc187927888"/>
      <w:r>
        <w:rPr>
          <w:rStyle w:val="CharSectno"/>
        </w:rPr>
        <w:lastRenderedPageBreak/>
        <w:t>7</w:t>
      </w:r>
      <w:r>
        <w:t>.</w:t>
      </w:r>
      <w:r>
        <w:tab/>
        <w:t>Regulation 33 amended</w:t>
      </w:r>
      <w:bookmarkEnd w:id="23"/>
      <w:bookmarkEnd w:id="24"/>
    </w:p>
    <w:p>
      <w:pPr>
        <w:pStyle w:val="Subsection"/>
        <w:keepNext/>
      </w:pPr>
      <w:r>
        <w:tab/>
      </w:r>
      <w:r>
        <w:tab/>
        <w:t>After regulation 33(5) insert:</w:t>
      </w:r>
    </w:p>
    <w:p>
      <w:pPr>
        <w:pStyle w:val="BlankOpen"/>
      </w:pPr>
    </w:p>
    <w:p>
      <w:pPr>
        <w:pStyle w:val="zSubsection"/>
      </w:pPr>
      <w:r>
        <w:tab/>
        <w:t>(6)</w:t>
      </w:r>
      <w:r>
        <w:tab/>
        <w:t>In this regulation and Schedule 3, a reference to the Commission is a reference to the Commission constituted by a commissioner.</w:t>
      </w:r>
    </w:p>
    <w:p>
      <w:pPr>
        <w:pStyle w:val="BlankClose"/>
      </w:pPr>
    </w:p>
    <w:p>
      <w:pPr>
        <w:pStyle w:val="Heading5"/>
      </w:pPr>
      <w:bookmarkStart w:id="25" w:name="_Toc187927588"/>
      <w:bookmarkStart w:id="26" w:name="_Toc187927889"/>
      <w:r>
        <w:rPr>
          <w:rStyle w:val="CharSectno"/>
        </w:rPr>
        <w:t>8</w:t>
      </w:r>
      <w:r>
        <w:t>.</w:t>
      </w:r>
      <w:r>
        <w:tab/>
        <w:t>Schedule 3 amended</w:t>
      </w:r>
      <w:bookmarkEnd w:id="25"/>
      <w:bookmarkEnd w:id="26"/>
    </w:p>
    <w:p>
      <w:pPr>
        <w:pStyle w:val="Subsection"/>
      </w:pPr>
      <w:r>
        <w:tab/>
        <w:t>(1)</w:t>
      </w:r>
      <w:r>
        <w:tab/>
        <w:t xml:space="preserve">In Schedule 3 Division 3 clause 1 delete the definition of </w:t>
      </w:r>
      <w:r>
        <w:rPr>
          <w:b/>
          <w:bCs/>
          <w:i/>
          <w:iCs/>
        </w:rPr>
        <w:t>relevant industrial authority</w:t>
      </w:r>
      <w:r>
        <w:t>.</w:t>
      </w:r>
    </w:p>
    <w:p>
      <w:pPr>
        <w:pStyle w:val="Subsection"/>
      </w:pPr>
      <w:r>
        <w:tab/>
        <w:t>(2)</w:t>
      </w:r>
      <w:r>
        <w:tab/>
        <w:t xml:space="preserve">In Schedule 3 Division 3 clause 1 in the definition of </w:t>
      </w:r>
      <w:r>
        <w:rPr>
          <w:b/>
          <w:bCs/>
          <w:i/>
          <w:iCs/>
        </w:rPr>
        <w:t>dispute notice</w:t>
      </w:r>
      <w:r>
        <w:t xml:space="preserve"> delete “</w:t>
      </w:r>
      <w:r>
        <w:rPr>
          <w:sz w:val="22"/>
          <w:szCs w:val="22"/>
        </w:rPr>
        <w:t>clause 4;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clause 4.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In Schedule 3 Division 3 clause 14(1)(b) and (c) delete “</w:t>
      </w:r>
      <w:r>
        <w:rPr>
          <w:sz w:val="22"/>
          <w:szCs w:val="22"/>
        </w:rPr>
        <w:t>authority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Commission</w:t>
      </w:r>
    </w:p>
    <w:p>
      <w:pPr>
        <w:pStyle w:val="BlankClose"/>
      </w:pPr>
    </w:p>
    <w:p>
      <w:pPr>
        <w:pStyle w:val="Subsection"/>
      </w:pPr>
      <w:r>
        <w:tab/>
        <w:t>(4)</w:t>
      </w:r>
      <w:r>
        <w:tab/>
        <w:t xml:space="preserve">In Schedule 3 Division 4 clause 1 delete the definition of </w:t>
      </w:r>
      <w:r>
        <w:rPr>
          <w:b/>
          <w:bCs/>
          <w:i/>
          <w:iCs/>
        </w:rPr>
        <w:t>relevant industrial authority</w:t>
      </w:r>
      <w:r>
        <w:t>.</w:t>
      </w:r>
    </w:p>
    <w:p>
      <w:pPr>
        <w:pStyle w:val="Subsection"/>
      </w:pPr>
      <w:r>
        <w:tab/>
        <w:t>(5)</w:t>
      </w:r>
      <w:r>
        <w:tab/>
        <w:t xml:space="preserve">In Schedule 3 Division 4 clause 1 in the definition of </w:t>
      </w:r>
      <w:r>
        <w:rPr>
          <w:b/>
          <w:bCs/>
          <w:i/>
          <w:iCs/>
        </w:rPr>
        <w:t>dispute notice</w:t>
      </w:r>
      <w:r>
        <w:t xml:space="preserve"> delete “</w:t>
      </w:r>
      <w:r>
        <w:rPr>
          <w:sz w:val="22"/>
          <w:szCs w:val="22"/>
        </w:rPr>
        <w:t>clause 4;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clause 4.</w:t>
      </w:r>
    </w:p>
    <w:p>
      <w:pPr>
        <w:pStyle w:val="BlankClose"/>
      </w:pPr>
    </w:p>
    <w:p>
      <w:pPr>
        <w:pStyle w:val="Subsection"/>
        <w:keepNext/>
      </w:pPr>
      <w:r>
        <w:lastRenderedPageBreak/>
        <w:tab/>
        <w:t>(6)</w:t>
      </w:r>
      <w:r>
        <w:tab/>
        <w:t>In Schedule 3 Division 4 clause 14(1)(b) and (c) delete “</w:t>
      </w:r>
      <w:r>
        <w:rPr>
          <w:sz w:val="22"/>
          <w:szCs w:val="22"/>
        </w:rPr>
        <w:t>authority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Commission</w:t>
      </w:r>
    </w:p>
    <w:p>
      <w:pPr>
        <w:pStyle w:val="BlankClose"/>
      </w:pPr>
    </w:p>
    <w:p>
      <w:pPr>
        <w:pStyle w:val="Heading5"/>
      </w:pPr>
      <w:bookmarkStart w:id="27" w:name="_Toc187927589"/>
      <w:bookmarkStart w:id="28" w:name="_Toc187927890"/>
      <w:r>
        <w:rPr>
          <w:rStyle w:val="CharSectno"/>
        </w:rPr>
        <w:t>9</w:t>
      </w:r>
      <w:r>
        <w:t>.</w:t>
      </w:r>
      <w:r>
        <w:tab/>
        <w:t>Various references to “relevant industrial authority” amended</w:t>
      </w:r>
      <w:bookmarkEnd w:id="27"/>
      <w:bookmarkEnd w:id="28"/>
    </w:p>
    <w:p>
      <w:pPr>
        <w:pStyle w:val="Subsection"/>
      </w:pPr>
      <w:r>
        <w:tab/>
      </w:r>
      <w:r>
        <w:tab/>
        <w:t xml:space="preserve">In the provisions listed in the Table: </w:t>
      </w:r>
    </w:p>
    <w:p>
      <w:pPr>
        <w:pStyle w:val="Indenta"/>
      </w:pPr>
      <w:r>
        <w:tab/>
        <w:t>(a)</w:t>
      </w:r>
      <w:r>
        <w:tab/>
        <w:t>delete “the relevant industrial authority” (each occurrence)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the Commission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“a relevant industrial authority”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the Commission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delete “</w:t>
      </w:r>
      <w:r>
        <w:rPr>
          <w:sz w:val="22"/>
          <w:szCs w:val="22"/>
        </w:rPr>
        <w:t>the relevant industrial authority</w:t>
      </w:r>
      <w:r>
        <w:t>”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the Commission</w:t>
      </w:r>
    </w:p>
    <w:p>
      <w:pPr>
        <w:pStyle w:val="BlankClose"/>
      </w:pPr>
    </w:p>
    <w:p>
      <w:pPr>
        <w:pStyle w:val="Indenta"/>
      </w:pPr>
      <w:r>
        <w:tab/>
        <w:t>(d)</w:t>
      </w:r>
      <w:r>
        <w:tab/>
        <w:t>delete “</w:t>
      </w:r>
      <w:r>
        <w:rPr>
          <w:b/>
          <w:bCs/>
        </w:rPr>
        <w:t>a relevant industrial authority</w:t>
      </w:r>
      <w:r>
        <w:t>” and insert:</w:t>
      </w:r>
    </w:p>
    <w:p>
      <w:pPr>
        <w:pStyle w:val="BlankOpen"/>
      </w:pPr>
    </w:p>
    <w:p>
      <w:pPr>
        <w:pStyle w:val="Indenta"/>
        <w:rPr>
          <w:b/>
          <w:bCs/>
          <w:szCs w:val="24"/>
        </w:rPr>
      </w:pPr>
      <w:r>
        <w:tab/>
      </w:r>
      <w:r>
        <w:tab/>
      </w:r>
      <w:r>
        <w:rPr>
          <w:b/>
          <w:bCs/>
          <w:szCs w:val="24"/>
        </w:rPr>
        <w:t>the Commission</w:t>
      </w:r>
    </w:p>
    <w:p>
      <w:pPr>
        <w:pStyle w:val="BlankClose"/>
      </w:pPr>
    </w:p>
    <w:p>
      <w:pPr>
        <w:pStyle w:val="Indenta"/>
      </w:pPr>
      <w:r>
        <w:tab/>
        <w:t>(e)</w:t>
      </w:r>
      <w:r>
        <w:tab/>
        <w:t>delete “</w:t>
      </w:r>
      <w:r>
        <w:rPr>
          <w:rFonts w:ascii="Arial" w:hAnsi="Arial" w:cs="Arial"/>
          <w:sz w:val="18"/>
          <w:szCs w:val="18"/>
        </w:rPr>
        <w:t>a relevant industrial authority</w:t>
      </w:r>
      <w:r>
        <w:t>” and insert:</w:t>
      </w:r>
    </w:p>
    <w:p>
      <w:pPr>
        <w:pStyle w:val="BlankOpen"/>
      </w:pPr>
    </w:p>
    <w:p>
      <w:pPr>
        <w:pStyle w:val="Indenta"/>
        <w:rPr>
          <w:rFonts w:ascii="Arial" w:hAnsi="Arial" w:cs="Arial"/>
          <w:sz w:val="18"/>
          <w:szCs w:val="18"/>
        </w:rPr>
      </w:pPr>
      <w:r>
        <w:tab/>
      </w:r>
      <w:r>
        <w:tab/>
      </w:r>
      <w:r>
        <w:rPr>
          <w:rFonts w:ascii="Arial" w:hAnsi="Arial" w:cs="Arial"/>
          <w:sz w:val="18"/>
          <w:szCs w:val="18"/>
        </w:rPr>
        <w:t>the Commission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(f)</w:t>
      </w:r>
      <w:r>
        <w:tab/>
        <w:t>delete “</w:t>
      </w:r>
      <w:r>
        <w:rPr>
          <w:sz w:val="22"/>
          <w:szCs w:val="22"/>
        </w:rPr>
        <w:t>The relevant industrial authority</w:t>
      </w:r>
      <w:r>
        <w:t>”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The Commission</w:t>
      </w:r>
    </w:p>
    <w:p>
      <w:pPr>
        <w:pStyle w:val="BlankClose"/>
      </w:pPr>
    </w:p>
    <w:p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402"/>
        <w:gridCol w:w="3402"/>
      </w:tblGrid>
      <w:tr>
        <w:trPr>
          <w:cantSplit/>
          <w:jc w:val="center"/>
        </w:trPr>
        <w:tc>
          <w:tcPr>
            <w:tcW w:w="3402" w:type="dxa"/>
          </w:tcPr>
          <w:p>
            <w:pPr>
              <w:pStyle w:val="TableAm"/>
            </w:pPr>
            <w:r>
              <w:t>r. 31(1), (2), (3)(b)</w:t>
            </w:r>
          </w:p>
        </w:tc>
        <w:tc>
          <w:tcPr>
            <w:tcW w:w="3402" w:type="dxa"/>
          </w:tcPr>
          <w:p>
            <w:pPr>
              <w:pStyle w:val="TableAm"/>
            </w:pPr>
            <w:r>
              <w:t>r. 32</w:t>
            </w:r>
          </w:p>
        </w:tc>
      </w:tr>
      <w:tr>
        <w:trPr>
          <w:cantSplit/>
          <w:jc w:val="center"/>
        </w:trPr>
        <w:tc>
          <w:tcPr>
            <w:tcW w:w="3402" w:type="dxa"/>
          </w:tcPr>
          <w:p>
            <w:pPr>
              <w:pStyle w:val="TableAm"/>
            </w:pPr>
            <w:r>
              <w:t>r. 33(2)(a), (3)(a), (4)(a) and (5)(a)</w:t>
            </w:r>
          </w:p>
        </w:tc>
        <w:tc>
          <w:tcPr>
            <w:tcW w:w="3402" w:type="dxa"/>
          </w:tcPr>
          <w:p>
            <w:pPr>
              <w:pStyle w:val="TableAm"/>
            </w:pPr>
            <w:r>
              <w:t>r. 45(1)(b)</w:t>
            </w:r>
          </w:p>
        </w:tc>
      </w:tr>
      <w:tr>
        <w:trPr>
          <w:cantSplit/>
          <w:jc w:val="center"/>
        </w:trPr>
        <w:tc>
          <w:tcPr>
            <w:tcW w:w="3402" w:type="dxa"/>
          </w:tcPr>
          <w:p>
            <w:pPr>
              <w:pStyle w:val="TableAm"/>
            </w:pPr>
            <w:r>
              <w:t>r. 46</w:t>
            </w:r>
          </w:p>
        </w:tc>
        <w:tc>
          <w:tcPr>
            <w:tcW w:w="3402" w:type="dxa"/>
          </w:tcPr>
          <w:p>
            <w:pPr>
              <w:pStyle w:val="TableAm"/>
            </w:pPr>
            <w:r>
              <w:t>Sch. 2 cl. 8(c)</w:t>
            </w:r>
          </w:p>
        </w:tc>
      </w:tr>
      <w:tr>
        <w:trPr>
          <w:cantSplit/>
          <w:jc w:val="center"/>
        </w:trPr>
        <w:tc>
          <w:tcPr>
            <w:tcW w:w="3402" w:type="dxa"/>
          </w:tcPr>
          <w:p>
            <w:pPr>
              <w:pStyle w:val="TableAm"/>
            </w:pPr>
            <w:r>
              <w:t>Sch. 3 Div. 1 heading</w:t>
            </w:r>
          </w:p>
        </w:tc>
        <w:tc>
          <w:tcPr>
            <w:tcW w:w="3402" w:type="dxa"/>
          </w:tcPr>
          <w:p>
            <w:pPr>
              <w:pStyle w:val="TableAm"/>
            </w:pPr>
            <w:r>
              <w:t>Sch. 3 Div. 2 heading</w:t>
            </w:r>
          </w:p>
        </w:tc>
      </w:tr>
      <w:tr>
        <w:trPr>
          <w:cantSplit/>
          <w:jc w:val="center"/>
        </w:trPr>
        <w:tc>
          <w:tcPr>
            <w:tcW w:w="3402" w:type="dxa"/>
          </w:tcPr>
          <w:p>
            <w:pPr>
              <w:pStyle w:val="TableAm"/>
            </w:pPr>
            <w:r>
              <w:t>Sch. 3 Div. 3 heading</w:t>
            </w:r>
          </w:p>
        </w:tc>
        <w:tc>
          <w:tcPr>
            <w:tcW w:w="3402" w:type="dxa"/>
          </w:tcPr>
          <w:p>
            <w:pPr>
              <w:pStyle w:val="TableAm"/>
            </w:pPr>
            <w:r>
              <w:t>Sch. 3 Div. 3 cl. 5(b)</w:t>
            </w:r>
          </w:p>
        </w:tc>
      </w:tr>
      <w:tr>
        <w:trPr>
          <w:cantSplit/>
          <w:jc w:val="center"/>
        </w:trPr>
        <w:tc>
          <w:tcPr>
            <w:tcW w:w="3402" w:type="dxa"/>
          </w:tcPr>
          <w:p>
            <w:pPr>
              <w:pStyle w:val="TableAm"/>
              <w:rPr>
                <w:rStyle w:val="DraftersNotes"/>
              </w:rPr>
            </w:pPr>
            <w:r>
              <w:t>Sch. 3 Div. 3 cl. 8</w:t>
            </w:r>
          </w:p>
        </w:tc>
        <w:tc>
          <w:tcPr>
            <w:tcW w:w="3402" w:type="dxa"/>
          </w:tcPr>
          <w:p>
            <w:pPr>
              <w:pStyle w:val="TableAm"/>
            </w:pPr>
            <w:r>
              <w:t>Sch. 3 Div. 3. cl. 9</w:t>
            </w:r>
          </w:p>
        </w:tc>
      </w:tr>
      <w:tr>
        <w:trPr>
          <w:cantSplit/>
          <w:jc w:val="center"/>
        </w:trPr>
        <w:tc>
          <w:tcPr>
            <w:tcW w:w="3402" w:type="dxa"/>
          </w:tcPr>
          <w:p>
            <w:pPr>
              <w:pStyle w:val="TableAm"/>
              <w:rPr>
                <w:rStyle w:val="DraftersNotes"/>
                <w:b w:val="0"/>
                <w:i w:val="0"/>
                <w:sz w:val="24"/>
              </w:rPr>
            </w:pPr>
            <w:r>
              <w:t>Sch. 3 Div. 3 Subdiv. 4 note</w:t>
            </w:r>
          </w:p>
        </w:tc>
        <w:tc>
          <w:tcPr>
            <w:tcW w:w="3402" w:type="dxa"/>
          </w:tcPr>
          <w:p>
            <w:pPr>
              <w:pStyle w:val="TableAm"/>
            </w:pPr>
            <w:r>
              <w:t>Sch. 3 Div. 3. cl. 11(2) and (3)</w:t>
            </w:r>
          </w:p>
        </w:tc>
      </w:tr>
      <w:tr>
        <w:trPr>
          <w:cantSplit/>
          <w:jc w:val="center"/>
        </w:trPr>
        <w:tc>
          <w:tcPr>
            <w:tcW w:w="3402" w:type="dxa"/>
          </w:tcPr>
          <w:p>
            <w:pPr>
              <w:pStyle w:val="TableAm"/>
            </w:pPr>
            <w:r>
              <w:t>Sch. 3 Div. 3. cl. 12</w:t>
            </w:r>
          </w:p>
        </w:tc>
        <w:tc>
          <w:tcPr>
            <w:tcW w:w="3402" w:type="dxa"/>
          </w:tcPr>
          <w:p>
            <w:pPr>
              <w:pStyle w:val="TableAm"/>
            </w:pPr>
            <w:r>
              <w:t>Sch. 3 Div. 3 cl. 13</w:t>
            </w:r>
          </w:p>
        </w:tc>
      </w:tr>
      <w:tr>
        <w:trPr>
          <w:cantSplit/>
          <w:jc w:val="center"/>
        </w:trPr>
        <w:tc>
          <w:tcPr>
            <w:tcW w:w="3402" w:type="dxa"/>
          </w:tcPr>
          <w:p>
            <w:pPr>
              <w:pStyle w:val="TableAm"/>
            </w:pPr>
            <w:r>
              <w:t>Sch. 3 Div. 3. cl. 14(1)</w:t>
            </w:r>
          </w:p>
        </w:tc>
        <w:tc>
          <w:tcPr>
            <w:tcW w:w="3402" w:type="dxa"/>
          </w:tcPr>
          <w:p>
            <w:pPr>
              <w:pStyle w:val="TableAm"/>
            </w:pPr>
            <w:r>
              <w:t>Sch. 3 Div. 4 heading</w:t>
            </w:r>
          </w:p>
        </w:tc>
      </w:tr>
      <w:tr>
        <w:trPr>
          <w:cantSplit/>
          <w:jc w:val="center"/>
        </w:trPr>
        <w:tc>
          <w:tcPr>
            <w:tcW w:w="3402" w:type="dxa"/>
          </w:tcPr>
          <w:p>
            <w:pPr>
              <w:pStyle w:val="TableAm"/>
            </w:pPr>
            <w:r>
              <w:t>Sch. 3 Div. 4 cl. 5(1)(b)</w:t>
            </w:r>
          </w:p>
        </w:tc>
        <w:tc>
          <w:tcPr>
            <w:tcW w:w="3402" w:type="dxa"/>
          </w:tcPr>
          <w:p>
            <w:pPr>
              <w:pStyle w:val="TableAm"/>
            </w:pPr>
            <w:r>
              <w:t>Sch. 3 Div. 4. cl. 8</w:t>
            </w:r>
          </w:p>
        </w:tc>
      </w:tr>
      <w:tr>
        <w:trPr>
          <w:cantSplit/>
          <w:jc w:val="center"/>
        </w:trPr>
        <w:tc>
          <w:tcPr>
            <w:tcW w:w="3402" w:type="dxa"/>
          </w:tcPr>
          <w:p>
            <w:pPr>
              <w:pStyle w:val="TableAm"/>
            </w:pPr>
            <w:r>
              <w:t>Sch. 3 Div. 4. cl. 9</w:t>
            </w:r>
          </w:p>
        </w:tc>
        <w:tc>
          <w:tcPr>
            <w:tcW w:w="3402" w:type="dxa"/>
          </w:tcPr>
          <w:p>
            <w:pPr>
              <w:pStyle w:val="TableAm"/>
            </w:pPr>
            <w:r>
              <w:t>Sch. 3 Div. 4 Subdiv. 4 note</w:t>
            </w:r>
          </w:p>
        </w:tc>
      </w:tr>
      <w:tr>
        <w:trPr>
          <w:cantSplit/>
          <w:jc w:val="center"/>
        </w:trPr>
        <w:tc>
          <w:tcPr>
            <w:tcW w:w="3402" w:type="dxa"/>
          </w:tcPr>
          <w:p>
            <w:pPr>
              <w:pStyle w:val="TableAm"/>
            </w:pPr>
            <w:r>
              <w:t>Sch. 3 Div. 4. cl. 11(2) and (3)</w:t>
            </w:r>
          </w:p>
        </w:tc>
        <w:tc>
          <w:tcPr>
            <w:tcW w:w="3402" w:type="dxa"/>
          </w:tcPr>
          <w:p>
            <w:pPr>
              <w:pStyle w:val="TableAm"/>
            </w:pPr>
            <w:r>
              <w:t>Sch. 3 Div. 4. cl. 12</w:t>
            </w:r>
          </w:p>
        </w:tc>
      </w:tr>
      <w:tr>
        <w:trPr>
          <w:cantSplit/>
          <w:jc w:val="center"/>
        </w:trPr>
        <w:tc>
          <w:tcPr>
            <w:tcW w:w="3402" w:type="dxa"/>
          </w:tcPr>
          <w:p>
            <w:pPr>
              <w:pStyle w:val="TableAm"/>
            </w:pPr>
            <w:r>
              <w:t>Sch. 3 Div. 4. cl. 13</w:t>
            </w:r>
          </w:p>
        </w:tc>
        <w:tc>
          <w:tcPr>
            <w:tcW w:w="3402" w:type="dxa"/>
          </w:tcPr>
          <w:p>
            <w:pPr>
              <w:pStyle w:val="TableAm"/>
            </w:pPr>
            <w:r>
              <w:t>Sch. 3 Div. 4. cl. 14(1)</w:t>
            </w:r>
          </w:p>
        </w:tc>
      </w:tr>
    </w:tbl>
    <w:p>
      <w:pPr>
        <w:pStyle w:val="SectAltNote"/>
      </w:pPr>
      <w:r>
        <w:tab/>
        <w:t>Note: The heading to Schedule 2 clause 1 is to read:</w:t>
      </w:r>
    </w:p>
    <w:p>
      <w:pPr>
        <w:pStyle w:val="SectAltHeading"/>
      </w:pPr>
      <w:r>
        <w:tab/>
      </w:r>
      <w:r>
        <w:tab/>
        <w:t>Form of referral to Commission</w:t>
      </w:r>
    </w:p>
    <w:p>
      <w:pPr>
        <w:pStyle w:val="Heading2"/>
      </w:pPr>
      <w:bookmarkStart w:id="29" w:name="_Toc187927590"/>
      <w:bookmarkStart w:id="30" w:name="_Toc187927644"/>
      <w:bookmarkStart w:id="31" w:name="_Toc187927785"/>
      <w:bookmarkStart w:id="32" w:name="_Toc187927891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Industrial Relations (General) Regulations 1997</w:t>
      </w:r>
      <w:r>
        <w:rPr>
          <w:rStyle w:val="CharPartText"/>
        </w:rPr>
        <w:t xml:space="preserve"> amended</w:t>
      </w:r>
      <w:bookmarkEnd w:id="29"/>
      <w:bookmarkEnd w:id="30"/>
      <w:bookmarkEnd w:id="31"/>
      <w:bookmarkEnd w:id="32"/>
    </w:p>
    <w:p>
      <w:pPr>
        <w:pStyle w:val="Heading5"/>
        <w:rPr>
          <w:snapToGrid w:val="0"/>
        </w:rPr>
      </w:pPr>
      <w:bookmarkStart w:id="33" w:name="_Toc187927591"/>
      <w:bookmarkStart w:id="34" w:name="_Toc187927892"/>
      <w:r>
        <w:rPr>
          <w:rStyle w:val="CharSectno"/>
        </w:rPr>
        <w:t>10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33"/>
      <w:bookmarkEnd w:id="3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Industrial Relations (General) Regulations 1997</w:t>
      </w:r>
      <w:r>
        <w:t>.</w:t>
      </w:r>
    </w:p>
    <w:p>
      <w:pPr>
        <w:pStyle w:val="Heading5"/>
      </w:pPr>
      <w:bookmarkStart w:id="35" w:name="_Toc187927592"/>
      <w:bookmarkStart w:id="36" w:name="_Toc187927893"/>
      <w:r>
        <w:rPr>
          <w:rStyle w:val="CharSectno"/>
        </w:rPr>
        <w:t>11</w:t>
      </w:r>
      <w:r>
        <w:t>.</w:t>
      </w:r>
      <w:r>
        <w:tab/>
        <w:t>Regulation 8 deleted</w:t>
      </w:r>
      <w:bookmarkEnd w:id="35"/>
      <w:bookmarkEnd w:id="36"/>
    </w:p>
    <w:p>
      <w:pPr>
        <w:pStyle w:val="Subsection"/>
      </w:pPr>
      <w:r>
        <w:tab/>
      </w:r>
      <w:r>
        <w:tab/>
        <w:t>Delete regulation 8.</w:t>
      </w:r>
    </w:p>
    <w:p>
      <w:pPr>
        <w:pStyle w:val="Heading5"/>
      </w:pPr>
      <w:bookmarkStart w:id="37" w:name="_Toc187927593"/>
      <w:bookmarkStart w:id="38" w:name="_Toc187927894"/>
      <w:r>
        <w:rPr>
          <w:rStyle w:val="CharSectno"/>
        </w:rPr>
        <w:t>12</w:t>
      </w:r>
      <w:r>
        <w:t>.</w:t>
      </w:r>
      <w:r>
        <w:tab/>
        <w:t>Regulations 16 to 18 inserted</w:t>
      </w:r>
      <w:bookmarkEnd w:id="37"/>
      <w:bookmarkEnd w:id="38"/>
    </w:p>
    <w:p>
      <w:pPr>
        <w:pStyle w:val="Subsection"/>
      </w:pPr>
      <w:r>
        <w:tab/>
      </w:r>
      <w:r>
        <w:tab/>
        <w:t>At the end of Part 7 insert:</w:t>
      </w:r>
    </w:p>
    <w:p>
      <w:pPr>
        <w:pStyle w:val="BlankOpen"/>
      </w:pPr>
    </w:p>
    <w:p>
      <w:pPr>
        <w:pStyle w:val="zHeading5"/>
      </w:pPr>
      <w:bookmarkStart w:id="39" w:name="_Toc187927594"/>
      <w:bookmarkStart w:id="40" w:name="_Toc187927895"/>
      <w:r>
        <w:t>16.</w:t>
      </w:r>
      <w:r>
        <w:tab/>
        <w:t>Federal organisations prescribed to be federal counterpart in relation to organisation</w:t>
      </w:r>
      <w:bookmarkEnd w:id="39"/>
      <w:bookmarkEnd w:id="40"/>
    </w:p>
    <w:p>
      <w:pPr>
        <w:pStyle w:val="zSubsection"/>
      </w:pPr>
      <w:r>
        <w:tab/>
      </w:r>
      <w:r>
        <w:tab/>
        <w:t xml:space="preserve">For the purposes of paragraph (b) of the definition of </w:t>
      </w:r>
      <w:r>
        <w:rPr>
          <w:b/>
          <w:bCs/>
          <w:i/>
          <w:iCs/>
        </w:rPr>
        <w:t>federal counterpart</w:t>
      </w:r>
      <w:r>
        <w:t xml:space="preserve"> in section 49G(1) of the Act, in relation to an organisation set out in column 1 of the Table, a federal organisation set out opposite the organisation in column 2 is a federal counterpart of that organisation.</w:t>
      </w:r>
    </w:p>
    <w:p>
      <w:pPr>
        <w:pStyle w:val="zTHeadingNAm"/>
      </w:pPr>
      <w:r>
        <w:tab/>
        <w:t>Table</w:t>
      </w:r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119"/>
        <w:gridCol w:w="2948"/>
      </w:tblGrid>
      <w:tr>
        <w:trPr>
          <w:tblHeader/>
        </w:trPr>
        <w:tc>
          <w:tcPr>
            <w:tcW w:w="3119" w:type="dxa"/>
          </w:tcPr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Organisation</w:t>
            </w:r>
          </w:p>
        </w:tc>
        <w:tc>
          <w:tcPr>
            <w:tcW w:w="2948" w:type="dxa"/>
          </w:tcPr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Federal organisation</w:t>
            </w:r>
          </w:p>
        </w:tc>
      </w:tr>
      <w:tr>
        <w:tc>
          <w:tcPr>
            <w:tcW w:w="3119" w:type="dxa"/>
          </w:tcPr>
          <w:p>
            <w:pPr>
              <w:pStyle w:val="zTableNAm"/>
            </w:pPr>
            <w:r>
              <w:t>Electrical Trades Union WA</w:t>
            </w:r>
          </w:p>
        </w:tc>
        <w:tc>
          <w:tcPr>
            <w:tcW w:w="2948" w:type="dxa"/>
          </w:tcPr>
          <w:p>
            <w:pPr>
              <w:pStyle w:val="zTableNAm"/>
            </w:pPr>
            <w:r>
              <w:t>Communications, Electrical, Electronic, Energy, Information, Postal, Plumbing and Allied Services Union of Australia</w:t>
            </w:r>
          </w:p>
        </w:tc>
      </w:tr>
      <w:tr>
        <w:tc>
          <w:tcPr>
            <w:tcW w:w="3119" w:type="dxa"/>
          </w:tcPr>
          <w:p>
            <w:pPr>
              <w:pStyle w:val="zTableNAm"/>
            </w:pPr>
            <w:r>
              <w:t>United Workers Union (WA)</w:t>
            </w:r>
          </w:p>
        </w:tc>
        <w:tc>
          <w:tcPr>
            <w:tcW w:w="2948" w:type="dxa"/>
          </w:tcPr>
          <w:p>
            <w:pPr>
              <w:pStyle w:val="zTableNAm"/>
              <w:rPr>
                <w:rStyle w:val="DraftersNotes"/>
                <w:b w:val="0"/>
                <w:i w:val="0"/>
                <w:sz w:val="24"/>
              </w:rPr>
            </w:pPr>
            <w:r>
              <w:t>United Workers’ Union</w:t>
            </w:r>
          </w:p>
        </w:tc>
      </w:tr>
      <w:tr>
        <w:tc>
          <w:tcPr>
            <w:tcW w:w="3119" w:type="dxa"/>
          </w:tcPr>
          <w:p>
            <w:pPr>
              <w:pStyle w:val="zTableNAm"/>
            </w:pPr>
            <w:r>
              <w:lastRenderedPageBreak/>
              <w:t>The Coal Miners’ Industrial Union of Workers of Western Australia, Collie</w:t>
            </w:r>
          </w:p>
        </w:tc>
        <w:tc>
          <w:tcPr>
            <w:tcW w:w="2948" w:type="dxa"/>
          </w:tcPr>
          <w:p>
            <w:pPr>
              <w:pStyle w:val="zTableNAm"/>
            </w:pPr>
            <w:r>
              <w:t>Mining and Energy Union</w:t>
            </w:r>
          </w:p>
        </w:tc>
      </w:tr>
      <w:tr>
        <w:tc>
          <w:tcPr>
            <w:tcW w:w="3119" w:type="dxa"/>
          </w:tcPr>
          <w:p>
            <w:pPr>
              <w:pStyle w:val="zTableNAm"/>
            </w:pPr>
            <w:r>
              <w:t>The Western Australian Clothing and Allied Trades’ Industrial Union of Workers, Perth</w:t>
            </w:r>
          </w:p>
        </w:tc>
        <w:tc>
          <w:tcPr>
            <w:tcW w:w="2948" w:type="dxa"/>
          </w:tcPr>
          <w:p>
            <w:pPr>
              <w:pStyle w:val="zTableNAm"/>
            </w:pPr>
            <w:r>
              <w:t>Construction, Forestry and Maritime Employees Union</w:t>
            </w:r>
          </w:p>
        </w:tc>
      </w:tr>
    </w:tbl>
    <w:p>
      <w:pPr>
        <w:pStyle w:val="zHeading5"/>
      </w:pPr>
      <w:bookmarkStart w:id="41" w:name="_Toc187927595"/>
      <w:bookmarkStart w:id="42" w:name="_Toc187927896"/>
      <w:r>
        <w:t>17.</w:t>
      </w:r>
      <w:r>
        <w:tab/>
        <w:t>State laws prescribed to be industrial laws</w:t>
      </w:r>
      <w:bookmarkEnd w:id="41"/>
      <w:bookmarkEnd w:id="42"/>
    </w:p>
    <w:p>
      <w:pPr>
        <w:pStyle w:val="zSubsection"/>
      </w:pPr>
      <w:r>
        <w:tab/>
      </w:r>
      <w:r>
        <w:tab/>
        <w:t xml:space="preserve">For the purposes of paragraph (c) of the definition of </w:t>
      </w:r>
      <w:r>
        <w:rPr>
          <w:b/>
          <w:bCs/>
          <w:i/>
          <w:iCs/>
        </w:rPr>
        <w:t>industrial law</w:t>
      </w:r>
      <w:r>
        <w:t xml:space="preserve"> in section 49G(1) of the Act, each of the following laws is an industrial law — </w:t>
      </w:r>
    </w:p>
    <w:p>
      <w:pPr>
        <w:pStyle w:val="zIndenta"/>
      </w:pPr>
      <w:r>
        <w:tab/>
        <w:t>(a)</w:t>
      </w:r>
      <w:r>
        <w:tab/>
        <w:t xml:space="preserve">the </w:t>
      </w:r>
      <w:r>
        <w:rPr>
          <w:i/>
          <w:iCs/>
        </w:rPr>
        <w:t>Fair Work Act 1994</w:t>
      </w:r>
      <w:r>
        <w:t xml:space="preserve"> (South Australia);</w:t>
      </w:r>
    </w:p>
    <w:p>
      <w:pPr>
        <w:pStyle w:val="zIndenta"/>
      </w:pPr>
      <w:r>
        <w:tab/>
        <w:t>(b)</w:t>
      </w:r>
      <w:r>
        <w:tab/>
        <w:t xml:space="preserve">the </w:t>
      </w:r>
      <w:r>
        <w:rPr>
          <w:i/>
          <w:iCs/>
        </w:rPr>
        <w:t>Industrial Relations Act 1984</w:t>
      </w:r>
      <w:r>
        <w:t xml:space="preserve"> (Tasmania);</w:t>
      </w:r>
    </w:p>
    <w:p>
      <w:pPr>
        <w:pStyle w:val="zIndenta"/>
      </w:pPr>
      <w:r>
        <w:tab/>
        <w:t>(c)</w:t>
      </w:r>
      <w:r>
        <w:tab/>
        <w:t xml:space="preserve">the </w:t>
      </w:r>
      <w:r>
        <w:rPr>
          <w:i/>
          <w:iCs/>
        </w:rPr>
        <w:t>Industrial Relations Act 1996</w:t>
      </w:r>
      <w:r>
        <w:t xml:space="preserve"> (New South Wales);</w:t>
      </w:r>
    </w:p>
    <w:p>
      <w:pPr>
        <w:pStyle w:val="zIndenta"/>
      </w:pPr>
      <w:r>
        <w:tab/>
        <w:t>(d)</w:t>
      </w:r>
      <w:r>
        <w:tab/>
        <w:t xml:space="preserve">the </w:t>
      </w:r>
      <w:r>
        <w:rPr>
          <w:i/>
          <w:iCs/>
        </w:rPr>
        <w:t>Industrial Relations Act 2016</w:t>
      </w:r>
      <w:r>
        <w:t xml:space="preserve"> (Queensland).</w:t>
      </w:r>
    </w:p>
    <w:p>
      <w:pPr>
        <w:pStyle w:val="zHeading5"/>
      </w:pPr>
      <w:bookmarkStart w:id="43" w:name="_Toc187927596"/>
      <w:bookmarkStart w:id="44" w:name="_Toc187927897"/>
      <w:r>
        <w:t>18.</w:t>
      </w:r>
      <w:r>
        <w:tab/>
        <w:t>Commonwealth, State and Territory laws prescribed to be work health and safety laws</w:t>
      </w:r>
      <w:bookmarkEnd w:id="43"/>
      <w:bookmarkEnd w:id="44"/>
    </w:p>
    <w:p>
      <w:pPr>
        <w:pStyle w:val="zSubsection"/>
      </w:pPr>
      <w:r>
        <w:tab/>
      </w:r>
      <w:r>
        <w:tab/>
        <w:t xml:space="preserve">For the purposes of paragraph (b) of the definition of </w:t>
      </w:r>
      <w:r>
        <w:rPr>
          <w:b/>
          <w:bCs/>
          <w:i/>
          <w:iCs/>
        </w:rPr>
        <w:t>work health and safety law</w:t>
      </w:r>
      <w:r>
        <w:t xml:space="preserve"> in section 49G(1) of the Act, each of the following laws is a work health and safety law — </w:t>
      </w:r>
    </w:p>
    <w:p>
      <w:pPr>
        <w:pStyle w:val="zIndenta"/>
      </w:pPr>
      <w:r>
        <w:tab/>
        <w:t>(a)</w:t>
      </w:r>
      <w:r>
        <w:tab/>
        <w:t xml:space="preserve">the </w:t>
      </w:r>
      <w:r>
        <w:rPr>
          <w:i/>
          <w:iCs/>
        </w:rPr>
        <w:t>Occupational Health and Safety Act 2004</w:t>
      </w:r>
      <w:r>
        <w:t xml:space="preserve"> (Victoria);</w:t>
      </w:r>
    </w:p>
    <w:p>
      <w:pPr>
        <w:pStyle w:val="zIndenta"/>
      </w:pPr>
      <w:r>
        <w:tab/>
        <w:t>(b)</w:t>
      </w:r>
      <w:r>
        <w:tab/>
        <w:t xml:space="preserve">the </w:t>
      </w:r>
      <w:r>
        <w:rPr>
          <w:i/>
          <w:iCs/>
        </w:rPr>
        <w:t>Work Health and Safety Act 2011</w:t>
      </w:r>
      <w:r>
        <w:t xml:space="preserve"> (Australian Capital Territory);</w:t>
      </w:r>
    </w:p>
    <w:p>
      <w:pPr>
        <w:pStyle w:val="zIndenta"/>
      </w:pPr>
      <w:r>
        <w:tab/>
        <w:t>(c)</w:t>
      </w:r>
      <w:r>
        <w:tab/>
        <w:t xml:space="preserve">the </w:t>
      </w:r>
      <w:r>
        <w:rPr>
          <w:i/>
          <w:iCs/>
        </w:rPr>
        <w:t>Work Health and Safety Act 2011</w:t>
      </w:r>
      <w:r>
        <w:t xml:space="preserve"> (Commonwealth);</w:t>
      </w:r>
    </w:p>
    <w:p>
      <w:pPr>
        <w:pStyle w:val="zIndenta"/>
      </w:pPr>
      <w:r>
        <w:lastRenderedPageBreak/>
        <w:tab/>
        <w:t>(d)</w:t>
      </w:r>
      <w:r>
        <w:tab/>
        <w:t xml:space="preserve">the </w:t>
      </w:r>
      <w:r>
        <w:rPr>
          <w:i/>
          <w:iCs/>
        </w:rPr>
        <w:t>Work Health and Safety Act 2011</w:t>
      </w:r>
      <w:r>
        <w:t xml:space="preserve"> (New South Wales);</w:t>
      </w:r>
    </w:p>
    <w:p>
      <w:pPr>
        <w:pStyle w:val="zIndenta"/>
      </w:pPr>
      <w:r>
        <w:tab/>
        <w:t>(e)</w:t>
      </w:r>
      <w:r>
        <w:tab/>
        <w:t xml:space="preserve">the </w:t>
      </w:r>
      <w:r>
        <w:rPr>
          <w:i/>
          <w:iCs/>
        </w:rPr>
        <w:t>Work Health and Safety Act 2011</w:t>
      </w:r>
      <w:r>
        <w:t xml:space="preserve"> (Queensland);</w:t>
      </w:r>
    </w:p>
    <w:p>
      <w:pPr>
        <w:pStyle w:val="zIndenta"/>
      </w:pPr>
      <w:r>
        <w:tab/>
        <w:t>(f)</w:t>
      </w:r>
      <w:r>
        <w:tab/>
        <w:t xml:space="preserve">the </w:t>
      </w:r>
      <w:r>
        <w:rPr>
          <w:i/>
          <w:iCs/>
        </w:rPr>
        <w:t>Work Health and Safety Act 2012</w:t>
      </w:r>
      <w:r>
        <w:t xml:space="preserve"> (South Australia);</w:t>
      </w:r>
    </w:p>
    <w:p>
      <w:pPr>
        <w:pStyle w:val="zIndenta"/>
      </w:pPr>
      <w:r>
        <w:tab/>
        <w:t>(g)</w:t>
      </w:r>
      <w:r>
        <w:tab/>
        <w:t xml:space="preserve">the </w:t>
      </w:r>
      <w:r>
        <w:rPr>
          <w:i/>
          <w:iCs/>
        </w:rPr>
        <w:t>Work Health and Safety Act 2012</w:t>
      </w:r>
      <w:r>
        <w:t xml:space="preserve"> (Tasmania);</w:t>
      </w:r>
    </w:p>
    <w:p>
      <w:pPr>
        <w:pStyle w:val="zIndenta"/>
      </w:pPr>
      <w:r>
        <w:tab/>
        <w:t>(h)</w:t>
      </w:r>
      <w:r>
        <w:tab/>
        <w:t xml:space="preserve">the </w:t>
      </w:r>
      <w:r>
        <w:rPr>
          <w:i/>
          <w:iCs/>
        </w:rPr>
        <w:t>Work Health and Safety (National Uniform Legislation) Act 2011</w:t>
      </w:r>
      <w:r>
        <w:t xml:space="preserve"> (Northern Territory).</w:t>
      </w:r>
    </w:p>
    <w:p>
      <w:pPr>
        <w:pStyle w:val="BlankClose"/>
      </w:pPr>
    </w:p>
    <w:p>
      <w:pPr>
        <w:pStyle w:val="Heading5"/>
      </w:pPr>
      <w:bookmarkStart w:id="45" w:name="_Toc187927597"/>
      <w:bookmarkStart w:id="46" w:name="_Toc187927898"/>
      <w:r>
        <w:rPr>
          <w:rStyle w:val="CharSectno"/>
        </w:rPr>
        <w:t>13</w:t>
      </w:r>
      <w:r>
        <w:t>.</w:t>
      </w:r>
      <w:r>
        <w:tab/>
        <w:t>Schedule 1 amended</w:t>
      </w:r>
      <w:bookmarkEnd w:id="45"/>
      <w:bookmarkEnd w:id="46"/>
    </w:p>
    <w:p>
      <w:pPr>
        <w:pStyle w:val="Subsection"/>
      </w:pPr>
      <w:r>
        <w:tab/>
      </w:r>
      <w:r>
        <w:tab/>
        <w:t>In Schedule 1 item 1 in the 2</w:t>
      </w:r>
      <w:r>
        <w:rPr>
          <w:vertAlign w:val="superscript"/>
        </w:rPr>
        <w:t>nd</w:t>
      </w:r>
      <w:r>
        <w:t xml:space="preserve"> column delete “</w:t>
      </w:r>
      <w:r>
        <w:rPr>
          <w:sz w:val="22"/>
          <w:szCs w:val="22"/>
        </w:rPr>
        <w:t>section 29(1)(c), (d) or (e)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section 29(1)(c), (d), (e), (f), (g), (h), (i), (j) or (k)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 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F6712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68CEF01" w14:textId="5E5F17B6" w:rsidR="00362554" w:rsidRDefault="0036255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F2F03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7B9B588" w14:textId="77777777" w:rsidR="00362554" w:rsidRDefault="0036255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A75F6C6" w14:textId="6519829F" w:rsidR="00362554" w:rsidRDefault="0036255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F2F03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A88F800" w14:textId="77777777" w:rsidR="00362554" w:rsidRDefault="00362554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Industrial Relations Regulations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Industrial Relations Regulations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Industrial Relations Regulations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Industrial Relations Regulations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47" w:name="Coversheet"/>
    <w:bookmarkEnd w:id="4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18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11613444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2201143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220114346_GUID" w:val="2597e382-842b-4fbf-a2f6-740c39051808"/>
    <w:docVar w:name="WAFER_202501080825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108082504_GUID" w:val="fdc41612-dca0-4964-b7b2-693bc00513a0"/>
    <w:docVar w:name="WAFER_202501161344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116134440_GUID" w:val="3b4c172d-4c97-402a-8144-44f986021c2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5:docId w15:val="{E4703A20-3974-4C43-A08F-236BA1B61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1276</Words>
  <Characters>6574</Characters>
  <Application>Microsoft Office Word</Application>
  <DocSecurity>0</DocSecurity>
  <Lines>298</Lines>
  <Paragraphs>196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7654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Relations Regulations Amendment Regulations (No. 2)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2025-07-04T07:09:00Z</dcterms:created>
  <dcterms:modified xsi:type="dcterms:W3CDTF">2025-07-04T07:09:00Z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55247</vt:lpwstr>
  </property>
  <property fmtid="{D5CDD505-2E9C-101B-9397-08002B2CF9AE}" pid="3" name="DocumentType">
    <vt:lpwstr>Reg</vt:lpwstr>
  </property>
  <property fmtid="{D5CDD505-2E9C-101B-9397-08002B2CF9AE}" pid="4" name="AsAtDate">
    <vt:lpwstr>22 Jan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2025/12</vt:lpwstr>
  </property>
  <property fmtid="{D5CDD505-2E9C-101B-9397-08002B2CF9AE}" pid="8" name="PublishDate">
    <vt:lpwstr>22 Jan 2025</vt:lpwstr>
  </property>
  <property fmtid="{D5CDD505-2E9C-101B-9397-08002B2CF9AE}" pid="9" name="CommencementDate">
    <vt:lpwstr>20250122</vt:lpwstr>
  </property>
  <property fmtid="{D5CDD505-2E9C-101B-9397-08002B2CF9AE}" pid="10" name="CommencementAsAt">
    <vt:filetime>2025-01-21T16:00:00Z</vt:filetime>
  </property>
  <property fmtid="{D5CDD505-2E9C-101B-9397-08002B2CF9AE}" pid="11" name="CommencementYear">
    <vt:lpwstr>2025</vt:lpwstr>
  </property>
</Properties>
</file>