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Shipping and Pilotage Act 1967</w:t>
      </w:r>
      <w:r>
        <w:rPr>
          <w:noProof/>
        </w:rPr>
        <w:br/>
        <w:t>Western Australian Marine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Mooring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Mooring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_Toc187924732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_Toc187924733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_Toc187924734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 amended</w:t>
      </w:r>
      <w:r>
        <w:tab/>
      </w:r>
      <w:r>
        <w:fldChar w:fldCharType="begin"/>
      </w:r>
      <w:r>
        <w:instrText xml:space="preserve"> PAGEREF _Toc187924735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6A inserted</w:t>
      </w:r>
      <w:r>
        <w:tab/>
      </w:r>
      <w:r>
        <w:fldChar w:fldCharType="begin"/>
      </w:r>
      <w:r>
        <w:instrText xml:space="preserve"> PAGEREF _Toc187924736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6A.</w:t>
      </w:r>
      <w:r>
        <w:rPr>
          <w:noProof/>
        </w:rPr>
        <w:tab/>
        <w:t>Moving vessels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_Toc187924737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_Toc187924738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7B amended</w:t>
      </w:r>
      <w:r>
        <w:tab/>
      </w:r>
      <w:r>
        <w:fldChar w:fldCharType="begin"/>
      </w:r>
      <w:r>
        <w:instrText xml:space="preserve"> PAGEREF _Toc187924739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_Toc187924740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31 amended</w:t>
      </w:r>
      <w:r>
        <w:tab/>
      </w:r>
      <w:r>
        <w:fldChar w:fldCharType="begin"/>
      </w:r>
      <w:r>
        <w:instrText xml:space="preserve"> PAGEREF _Toc187924741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_Toc187924742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Shipping and Pilotage Act 1967</w:t>
      </w:r>
      <w:r>
        <w:br/>
      </w:r>
      <w:r>
        <w:rPr>
          <w:iCs/>
        </w:rPr>
        <w:t>Western Australian Marine Act 1982</w:t>
      </w:r>
    </w:p>
    <w:p>
      <w:pPr>
        <w:pStyle w:val="NameofActReg"/>
      </w:pPr>
      <w:r>
        <w:t>Mooring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4499"/>
      <w:bookmarkStart w:id="3" w:name="_Toc1879247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Mooring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4500"/>
      <w:bookmarkStart w:id="6" w:name="_Toc1879247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4501"/>
      <w:bookmarkStart w:id="8" w:name="_Toc1879247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Mooring Regulations 1998</w:t>
      </w:r>
      <w:r>
        <w:t>.</w:t>
      </w:r>
    </w:p>
    <w:p>
      <w:pPr>
        <w:pStyle w:val="Heading5"/>
      </w:pPr>
      <w:bookmarkStart w:id="9" w:name="_Toc187924502"/>
      <w:bookmarkStart w:id="10" w:name="_Toc187924735"/>
      <w:r>
        <w:rPr>
          <w:rStyle w:val="CharSectno"/>
        </w:rPr>
        <w:t>4</w:t>
      </w:r>
      <w:r>
        <w:t>.</w:t>
      </w:r>
      <w:r>
        <w:tab/>
        <w:t>Regulation 2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2 delete the definitions of:</w:t>
      </w:r>
    </w:p>
    <w:p>
      <w:pPr>
        <w:pStyle w:val="DeleteListSub"/>
      </w:pPr>
      <w:r>
        <w:rPr>
          <w:b/>
          <w:i/>
        </w:rPr>
        <w:t>mooring site</w:t>
      </w:r>
    </w:p>
    <w:p>
      <w:pPr>
        <w:pStyle w:val="DeleteListSub"/>
        <w:rPr>
          <w:b/>
          <w:i/>
        </w:rPr>
      </w:pPr>
      <w:r>
        <w:rPr>
          <w:b/>
          <w:i/>
        </w:rPr>
        <w:t>pleasure vessel</w:t>
      </w:r>
    </w:p>
    <w:p>
      <w:pPr>
        <w:pStyle w:val="Subsection"/>
        <w:keepNext/>
      </w:pPr>
      <w:r>
        <w:tab/>
        <w:t>(2)</w:t>
      </w:r>
      <w:r>
        <w:tab/>
        <w:t>In regulation 2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mooring site</w:t>
      </w:r>
      <w:r>
        <w:t xml:space="preserve"> means waters in a mooring control area in respect of which a designation has been made under regulation 7B(1);</w:t>
      </w:r>
    </w:p>
    <w:p>
      <w:pPr>
        <w:pStyle w:val="BlankClose"/>
      </w:pPr>
    </w:p>
    <w:p>
      <w:pPr>
        <w:pStyle w:val="Heading5"/>
      </w:pPr>
      <w:bookmarkStart w:id="11" w:name="_Toc187924503"/>
      <w:bookmarkStart w:id="12" w:name="_Toc187924736"/>
      <w:r>
        <w:rPr>
          <w:rStyle w:val="CharSectno"/>
        </w:rPr>
        <w:lastRenderedPageBreak/>
        <w:t>5</w:t>
      </w:r>
      <w:r>
        <w:t>.</w:t>
      </w:r>
      <w:r>
        <w:tab/>
        <w:t>Regulation 6A inserted</w:t>
      </w:r>
      <w:bookmarkEnd w:id="11"/>
      <w:bookmarkEnd w:id="12"/>
    </w:p>
    <w:p>
      <w:pPr>
        <w:pStyle w:val="Subsection"/>
      </w:pPr>
      <w:r>
        <w:tab/>
      </w:r>
      <w:r>
        <w:tab/>
        <w:t>After regulation 6 insert:</w:t>
      </w:r>
    </w:p>
    <w:p>
      <w:pPr>
        <w:pStyle w:val="BlankOpen"/>
      </w:pPr>
    </w:p>
    <w:p>
      <w:pPr>
        <w:pStyle w:val="zHeading5"/>
      </w:pPr>
      <w:bookmarkStart w:id="13" w:name="_Toc187924504"/>
      <w:bookmarkStart w:id="14" w:name="_Toc187924737"/>
      <w:r>
        <w:t>6A.</w:t>
      </w:r>
      <w:r>
        <w:tab/>
        <w:t>Moving vessels</w:t>
      </w:r>
      <w:bookmarkEnd w:id="13"/>
      <w:bookmarkEnd w:id="1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person responsible</w:t>
      </w:r>
      <w:r>
        <w:t xml:space="preserve">, in relation to a vessel, means — </w:t>
      </w:r>
    </w:p>
    <w:p>
      <w:pPr>
        <w:pStyle w:val="zDefpara"/>
      </w:pPr>
      <w:r>
        <w:tab/>
        <w:t>(a)</w:t>
      </w:r>
      <w:r>
        <w:tab/>
        <w:t>the master or owner of the vessel; or</w:t>
      </w:r>
    </w:p>
    <w:p>
      <w:pPr>
        <w:pStyle w:val="zDefpara"/>
      </w:pPr>
      <w:r>
        <w:tab/>
        <w:t>(b)</w:t>
      </w:r>
      <w:r>
        <w:tab/>
        <w:t>another person who is in possession or control of the vessel.</w:t>
      </w:r>
    </w:p>
    <w:p>
      <w:pPr>
        <w:pStyle w:val="zSubsection"/>
      </w:pPr>
      <w:r>
        <w:tab/>
        <w:t>(2)</w:t>
      </w:r>
      <w:r>
        <w:tab/>
        <w:t xml:space="preserve">The CEO may direct a person responsible for a vessel within a mooring control area to move the vessel if the CEO is of the opinion that — </w:t>
      </w:r>
    </w:p>
    <w:p>
      <w:pPr>
        <w:pStyle w:val="zIndenta"/>
      </w:pPr>
      <w:r>
        <w:tab/>
        <w:t>(a)</w:t>
      </w:r>
      <w:r>
        <w:tab/>
        <w:t>the vessel is a risk to safe and unimpeded navigation within the mooring control area; or</w:t>
      </w:r>
    </w:p>
    <w:p>
      <w:pPr>
        <w:pStyle w:val="zIndenta"/>
      </w:pPr>
      <w:r>
        <w:tab/>
        <w:t>(b)</w:t>
      </w:r>
      <w:r>
        <w:tab/>
        <w:t>the vessel is impeding the use of a mooring site within the mooring control area.</w:t>
      </w:r>
    </w:p>
    <w:p>
      <w:pPr>
        <w:pStyle w:val="zSubsection"/>
      </w:pPr>
      <w:r>
        <w:tab/>
        <w:t>(3)</w:t>
      </w:r>
      <w:r>
        <w:tab/>
        <w:t xml:space="preserve">A direction under subregulation (2) — </w:t>
      </w:r>
    </w:p>
    <w:p>
      <w:pPr>
        <w:pStyle w:val="zIndenta"/>
      </w:pPr>
      <w:r>
        <w:tab/>
        <w:t>(a)</w:t>
      </w:r>
      <w:r>
        <w:tab/>
        <w:t>may be given orally or in writing; and</w:t>
      </w:r>
    </w:p>
    <w:p>
      <w:pPr>
        <w:pStyle w:val="zIndenta"/>
      </w:pPr>
      <w:r>
        <w:tab/>
        <w:t>(b)</w:t>
      </w:r>
      <w:r>
        <w:tab/>
        <w:t xml:space="preserve">must specify — </w:t>
      </w:r>
    </w:p>
    <w:p>
      <w:pPr>
        <w:pStyle w:val="zIndenti"/>
      </w:pPr>
      <w:r>
        <w:tab/>
        <w:t>(i)</w:t>
      </w:r>
      <w:r>
        <w:tab/>
        <w:t>the place to which the vessel is to be moved; and</w:t>
      </w:r>
    </w:p>
    <w:p>
      <w:pPr>
        <w:pStyle w:val="zIndenti"/>
      </w:pPr>
      <w:r>
        <w:tab/>
        <w:t>(ii)</w:t>
      </w:r>
      <w:r>
        <w:tab/>
        <w:t>the time by which the vessel is to be moved.</w:t>
      </w:r>
    </w:p>
    <w:p>
      <w:pPr>
        <w:pStyle w:val="zSubsection"/>
      </w:pPr>
      <w:r>
        <w:tab/>
        <w:t>(4)</w:t>
      </w:r>
      <w:r>
        <w:tab/>
        <w:t>A person given a direction under subregulation (2) must comply with the direction.</w:t>
      </w:r>
    </w:p>
    <w:p>
      <w:pPr>
        <w:pStyle w:val="zPenstart"/>
      </w:pPr>
      <w:r>
        <w:tab/>
        <w:t>Penalty for this subregulation:</w:t>
      </w:r>
    </w:p>
    <w:p>
      <w:pPr>
        <w:pStyle w:val="zPenpara"/>
      </w:pPr>
      <w:r>
        <w:tab/>
        <w:t>(a)</w:t>
      </w:r>
      <w:r>
        <w:tab/>
        <w:t>for an individual, a fine of $2 000;</w:t>
      </w:r>
    </w:p>
    <w:p>
      <w:pPr>
        <w:pStyle w:val="zPenpara"/>
      </w:pPr>
      <w:r>
        <w:tab/>
        <w:t>(b)</w:t>
      </w:r>
      <w:r>
        <w:tab/>
        <w:t>for a body corporate, a fine of $10 000.</w:t>
      </w:r>
    </w:p>
    <w:p>
      <w:pPr>
        <w:pStyle w:val="zSubsection"/>
      </w:pPr>
      <w:r>
        <w:lastRenderedPageBreak/>
        <w:tab/>
        <w:t>(5)</w:t>
      </w:r>
      <w:r>
        <w:tab/>
        <w:t>The CEO may cause a vessel to be moved if a person given a direction under subregulation (2) does not move the vessel as directed.</w:t>
      </w:r>
    </w:p>
    <w:p>
      <w:pPr>
        <w:pStyle w:val="zSubsection"/>
      </w:pPr>
      <w:r>
        <w:tab/>
        <w:t>(6)</w:t>
      </w:r>
      <w:r>
        <w:tab/>
        <w:t>The CEO may recover the cost incurred in causing the vessel to be moved as a debt due to the State in a court of competent jurisdiction from a person responsible for the vessel.</w:t>
      </w:r>
    </w:p>
    <w:p>
      <w:pPr>
        <w:pStyle w:val="BlankClose"/>
      </w:pPr>
    </w:p>
    <w:p>
      <w:pPr>
        <w:pStyle w:val="Heading5"/>
      </w:pPr>
      <w:bookmarkStart w:id="15" w:name="_Toc187924505"/>
      <w:bookmarkStart w:id="16" w:name="_Toc187924738"/>
      <w:r>
        <w:rPr>
          <w:rStyle w:val="CharSectno"/>
        </w:rPr>
        <w:t>6</w:t>
      </w:r>
      <w:r>
        <w:t>.</w:t>
      </w:r>
      <w:r>
        <w:tab/>
        <w:t>Regulation 7 amended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In regulation 7(1) delete the definition of </w:t>
      </w:r>
      <w:r>
        <w:rPr>
          <w:b/>
          <w:i/>
        </w:rPr>
        <w:t>mooring site</w:t>
      </w:r>
      <w:r>
        <w:t>.</w:t>
      </w:r>
    </w:p>
    <w:p>
      <w:pPr>
        <w:pStyle w:val="Subsection"/>
        <w:rPr>
          <w:bCs/>
          <w:iCs/>
          <w:snapToGrid w:val="0"/>
        </w:rPr>
      </w:pPr>
      <w:r>
        <w:tab/>
        <w:t>(2)</w:t>
      </w:r>
      <w:r>
        <w:tab/>
        <w:t xml:space="preserve">In regulation 7(1) in the definition of </w:t>
      </w:r>
      <w:r>
        <w:rPr>
          <w:b/>
          <w:i/>
          <w:snapToGrid w:val="0"/>
        </w:rPr>
        <w:t>Division 2 mooring control area</w:t>
      </w:r>
      <w:r>
        <w:rPr>
          <w:bCs/>
          <w:iCs/>
          <w:snapToGrid w:val="0"/>
        </w:rPr>
        <w:t xml:space="preserve"> delete “Division 2;” and insert:</w:t>
      </w:r>
    </w:p>
    <w:p>
      <w:pPr>
        <w:pStyle w:val="BlankOpen"/>
        <w:rPr>
          <w:snapToGrid w:val="0"/>
        </w:rPr>
      </w:pPr>
    </w:p>
    <w:p>
      <w:pPr>
        <w:pStyle w:val="Subsection"/>
        <w:rPr>
          <w:bCs/>
          <w:iCs/>
          <w:snapToGrid w:val="0"/>
        </w:rPr>
      </w:pPr>
      <w:r>
        <w:rPr>
          <w:bCs/>
          <w:iCs/>
          <w:snapToGrid w:val="0"/>
        </w:rPr>
        <w:tab/>
      </w:r>
      <w:r>
        <w:rPr>
          <w:bCs/>
          <w:iCs/>
          <w:snapToGrid w:val="0"/>
        </w:rPr>
        <w:tab/>
        <w:t>Division 2.</w:t>
      </w:r>
    </w:p>
    <w:p>
      <w:pPr>
        <w:pStyle w:val="BlankClose"/>
      </w:pPr>
    </w:p>
    <w:p>
      <w:pPr>
        <w:pStyle w:val="Heading5"/>
      </w:pPr>
      <w:bookmarkStart w:id="17" w:name="_Toc187924506"/>
      <w:bookmarkStart w:id="18" w:name="_Toc187924739"/>
      <w:r>
        <w:rPr>
          <w:rStyle w:val="CharSectno"/>
        </w:rPr>
        <w:t>7</w:t>
      </w:r>
      <w:r>
        <w:t>.</w:t>
      </w:r>
      <w:r>
        <w:tab/>
        <w:t>Regulation 7B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7B(1) delete “a mooring site”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waters in a mooring control area</w:t>
      </w:r>
    </w:p>
    <w:p>
      <w:pPr>
        <w:pStyle w:val="BlankClose"/>
      </w:pPr>
    </w:p>
    <w:p>
      <w:pPr>
        <w:pStyle w:val="Heading5"/>
      </w:pPr>
      <w:bookmarkStart w:id="19" w:name="_Toc187924507"/>
      <w:bookmarkStart w:id="20" w:name="_Toc187924740"/>
      <w:r>
        <w:rPr>
          <w:rStyle w:val="CharSectno"/>
        </w:rPr>
        <w:t>8</w:t>
      </w:r>
      <w:r>
        <w:t>.</w:t>
      </w:r>
      <w:r>
        <w:tab/>
        <w:t>Regulation 21 amended</w:t>
      </w:r>
      <w:bookmarkEnd w:id="19"/>
      <w:bookmarkEnd w:id="20"/>
    </w:p>
    <w:p>
      <w:pPr>
        <w:pStyle w:val="Subsection"/>
        <w:keepNext/>
      </w:pPr>
      <w:r>
        <w:tab/>
      </w:r>
      <w:r>
        <w:tab/>
        <w:t>In regulation 21(1)(b) delete “licence.”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licence under regulation 11(1)(a).</w:t>
      </w:r>
    </w:p>
    <w:p>
      <w:pPr>
        <w:pStyle w:val="BlankClose"/>
      </w:pPr>
    </w:p>
    <w:p>
      <w:pPr>
        <w:pStyle w:val="Heading5"/>
      </w:pPr>
      <w:bookmarkStart w:id="21" w:name="_Toc187924508"/>
      <w:bookmarkStart w:id="22" w:name="_Toc187924741"/>
      <w:r>
        <w:rPr>
          <w:rStyle w:val="CharSectno"/>
        </w:rPr>
        <w:lastRenderedPageBreak/>
        <w:t>9</w:t>
      </w:r>
      <w:r>
        <w:t>.</w:t>
      </w:r>
      <w:r>
        <w:tab/>
        <w:t>Regulation 31 amended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In regulation 31(3) delete “certificate of appointment”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identity card</w:t>
      </w:r>
    </w:p>
    <w:p>
      <w:pPr>
        <w:pStyle w:val="BlankClose"/>
      </w:pPr>
    </w:p>
    <w:p>
      <w:pPr>
        <w:pStyle w:val="Heading5"/>
      </w:pPr>
      <w:bookmarkStart w:id="23" w:name="_Toc187924509"/>
      <w:bookmarkStart w:id="24" w:name="_Toc187924742"/>
      <w:r>
        <w:rPr>
          <w:rStyle w:val="CharSectno"/>
        </w:rPr>
        <w:t>10</w:t>
      </w:r>
      <w:r>
        <w:t>.</w:t>
      </w:r>
      <w:r>
        <w:tab/>
        <w:t>Schedule 4 amended</w:t>
      </w:r>
      <w:bookmarkEnd w:id="23"/>
      <w:bookmarkEnd w:id="24"/>
    </w:p>
    <w:p>
      <w:pPr>
        <w:pStyle w:val="Subsection"/>
      </w:pPr>
      <w:r>
        <w:tab/>
      </w:r>
      <w:r>
        <w:tab/>
        <w:t>After Schedule 4 item 3 insert:</w:t>
      </w:r>
    </w:p>
    <w:p>
      <w:pPr>
        <w:pStyle w:val="BlankOpen"/>
      </w:pPr>
    </w:p>
    <w:tbl>
      <w:tblPr>
        <w:tblW w:w="7083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3544"/>
        <w:gridCol w:w="1412"/>
      </w:tblGrid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3A.</w:t>
            </w:r>
          </w:p>
        </w:tc>
        <w:tc>
          <w:tcPr>
            <w:tcW w:w="1418" w:type="dxa"/>
            <w:noWrap/>
          </w:tcPr>
          <w:p>
            <w:pPr>
              <w:pStyle w:val="zyTableNAm"/>
            </w:pPr>
            <w:r>
              <w:t>r. 6A(4)</w:t>
            </w:r>
          </w:p>
        </w:tc>
        <w:tc>
          <w:tcPr>
            <w:tcW w:w="3544" w:type="dxa"/>
            <w:noWrap/>
          </w:tcPr>
          <w:p>
            <w:pPr>
              <w:pStyle w:val="zyTableNAm"/>
            </w:pPr>
            <w:r>
              <w:t xml:space="preserve">Failing to comply with direction of CEO to move vessel </w:t>
            </w:r>
          </w:p>
        </w:tc>
        <w:tc>
          <w:tcPr>
            <w:tcW w:w="1412" w:type="dxa"/>
            <w:noWrap/>
            <w:vAlign w:val="bottom"/>
          </w:tcPr>
          <w:p>
            <w:pPr>
              <w:pStyle w:val="zyTableNAm"/>
              <w:jc w:val="right"/>
            </w:pPr>
            <w:r>
              <w:t>400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C770C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FACCC6" w14:textId="0068E387" w:rsidR="00506490" w:rsidRDefault="005064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51A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8EA630" w14:textId="77777777" w:rsidR="00506490" w:rsidRDefault="005064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8A6C9C" w14:textId="4D86B086" w:rsidR="00506490" w:rsidRDefault="005064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51A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75692C" w14:textId="77777777" w:rsidR="00506490" w:rsidRDefault="0050649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Mooring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Mooring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Mooring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Mooring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254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060928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06092815_GUID" w:val="19a36270-8521-40b6-9033-2fe0015e9f2f"/>
    <w:docVar w:name="WAFER_202412121048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2104828_GUID" w:val="6d67919b-0c71-45e8-a2a3-cefab75332e1"/>
    <w:docVar w:name="WAFER_202501161254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25420_GUID" w:val="56af1752-3500-4055-8f6a-9731a64392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54D0890E-D638-4211-B113-5305D2D7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3398</Characters>
  <Application>Microsoft Office Word</Application>
  <DocSecurity>0</DocSecurity>
  <Lines>147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Mooring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2025-06-23T05:52:00Z</dcterms:created>
  <dcterms:modified xsi:type="dcterms:W3CDTF">2025-06-23T05:52:00Z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54878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