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Planning and Development Act 2005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Planning and Development (Significant Development) Amendment Regulations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Planning and Development (Significant Development) Amendment Regulations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_Toc187928500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_Toc187928501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_Toc187928502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5 replaced</w:t>
      </w:r>
      <w:r>
        <w:tab/>
      </w:r>
      <w:r>
        <w:fldChar w:fldCharType="begin"/>
      </w:r>
      <w:r>
        <w:instrText xml:space="preserve"> PAGEREF _Toc187928503 \h </w:instrText>
      </w:r>
      <w:r>
        <w:fldChar w:fldCharType="separate"/>
      </w:r>
      <w:r>
        <w:t>1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5.</w:t>
      </w:r>
      <w:r>
        <w:rPr>
          <w:noProof/>
        </w:rPr>
        <w:tab/>
        <w:t>Prescribed significant development (s. 171I(1))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_Toc187928504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</w:rP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Planning and Development Act 2005</w:t>
      </w:r>
    </w:p>
    <w:p>
      <w:pPr>
        <w:pStyle w:val="NameofActReg"/>
      </w:pPr>
      <w:r>
        <w:t>Planning and Development (Significant Development) Amendment Regulations 2025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187928342"/>
      <w:bookmarkStart w:id="3" w:name="_Toc187928500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Planning and Development (Significant Development) Amendment Regulations 2025</w:t>
      </w:r>
      <w:r>
        <w:t>.</w:t>
      </w:r>
    </w:p>
    <w:p>
      <w:pPr>
        <w:pStyle w:val="Heading5"/>
        <w:rPr>
          <w:spacing w:val="-2"/>
        </w:rPr>
      </w:pPr>
      <w:bookmarkStart w:id="5" w:name="_Toc187928343"/>
      <w:bookmarkStart w:id="6" w:name="_Toc187928501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  <w:rPr>
          <w:rStyle w:val="DraftersNotes"/>
          <w:b w:val="0"/>
          <w:i w:val="0"/>
          <w:sz w:val="24"/>
        </w:rPr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30 May 2025.</w:t>
      </w:r>
    </w:p>
    <w:p>
      <w:pPr>
        <w:pStyle w:val="Heading5"/>
        <w:rPr>
          <w:snapToGrid w:val="0"/>
        </w:rPr>
      </w:pPr>
      <w:bookmarkStart w:id="7" w:name="_Toc187928344"/>
      <w:bookmarkStart w:id="8" w:name="_Toc187928502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Planning and Development (Significant Development) Regulations 2024</w:t>
      </w:r>
      <w:r>
        <w:t>.</w:t>
      </w:r>
    </w:p>
    <w:p>
      <w:pPr>
        <w:pStyle w:val="Heading5"/>
      </w:pPr>
      <w:bookmarkStart w:id="9" w:name="_Toc187928345"/>
      <w:bookmarkStart w:id="10" w:name="_Toc187928503"/>
      <w:r>
        <w:rPr>
          <w:rStyle w:val="CharSectno"/>
        </w:rPr>
        <w:t>4</w:t>
      </w:r>
      <w:r>
        <w:t>.</w:t>
      </w:r>
      <w:r>
        <w:tab/>
        <w:t>Regulation 5 replaced</w:t>
      </w:r>
      <w:bookmarkEnd w:id="9"/>
      <w:bookmarkEnd w:id="10"/>
    </w:p>
    <w:p>
      <w:pPr>
        <w:pStyle w:val="Subsection"/>
        <w:keepNext/>
      </w:pPr>
      <w:r>
        <w:tab/>
      </w:r>
      <w:r>
        <w:tab/>
        <w:t>Delete regulation 5 and insert:</w:t>
      </w:r>
    </w:p>
    <w:p>
      <w:pPr>
        <w:pStyle w:val="BlankOpen"/>
      </w:pPr>
    </w:p>
    <w:p>
      <w:pPr>
        <w:pStyle w:val="zHeading5"/>
      </w:pPr>
      <w:bookmarkStart w:id="11" w:name="_Toc187928346"/>
      <w:bookmarkStart w:id="12" w:name="_Toc187928504"/>
      <w:r>
        <w:t>5.</w:t>
      </w:r>
      <w:r>
        <w:tab/>
        <w:t>Prescribed significant development (s. 171I(1))</w:t>
      </w:r>
      <w:bookmarkEnd w:id="11"/>
      <w:bookmarkEnd w:id="12"/>
    </w:p>
    <w:p>
      <w:pPr>
        <w:pStyle w:val="zSubsection"/>
      </w:pPr>
      <w:r>
        <w:tab/>
        <w:t>(1)</w:t>
      </w:r>
      <w:r>
        <w:tab/>
        <w:t xml:space="preserve">In this regulation — </w:t>
      </w:r>
    </w:p>
    <w:p>
      <w:pPr>
        <w:pStyle w:val="zDefstart"/>
        <w:rPr>
          <w:rStyle w:val="DraftersNotes"/>
          <w:b w:val="0"/>
          <w:i w:val="0"/>
          <w:sz w:val="24"/>
        </w:rPr>
      </w:pPr>
      <w:r>
        <w:tab/>
      </w:r>
      <w:r>
        <w:rPr>
          <w:rStyle w:val="CharDefText"/>
        </w:rPr>
        <w:t>commercial, centre or mixed use zone</w:t>
      </w:r>
      <w:r>
        <w:t xml:space="preserve"> has the meaning given in the </w:t>
      </w:r>
      <w:r>
        <w:rPr>
          <w:i/>
        </w:rPr>
        <w:t>Planning and Development (Local Planning Schemes) Regulations 2015</w:t>
      </w:r>
      <w:r>
        <w:t xml:space="preserve"> Schedule 2 clause 1;</w:t>
      </w:r>
    </w:p>
    <w:p>
      <w:pPr>
        <w:pStyle w:val="zDefstart"/>
      </w:pPr>
      <w:r>
        <w:lastRenderedPageBreak/>
        <w:tab/>
      </w:r>
      <w:r>
        <w:rPr>
          <w:rStyle w:val="CharDefText"/>
        </w:rPr>
        <w:t>community housing</w:t>
      </w:r>
      <w:r>
        <w:t xml:space="preserve"> has the meaning given in the </w:t>
      </w:r>
      <w:r>
        <w:rPr>
          <w:i/>
        </w:rPr>
        <w:t>Planning and Development (Development Assessment Panels) Regulations 2011</w:t>
      </w:r>
      <w:r>
        <w:t xml:space="preserve"> regulation 3(1);</w:t>
      </w:r>
    </w:p>
    <w:p>
      <w:pPr>
        <w:pStyle w:val="zDefstart"/>
        <w:rPr>
          <w:rStyle w:val="DraftersNotes"/>
          <w:b w:val="0"/>
          <w:i w:val="0"/>
          <w:sz w:val="24"/>
        </w:rPr>
      </w:pPr>
      <w:r>
        <w:tab/>
      </w:r>
      <w:r>
        <w:rPr>
          <w:rStyle w:val="CharDefText"/>
        </w:rPr>
        <w:t>multiple dwelling</w:t>
      </w:r>
      <w:r>
        <w:t xml:space="preserve"> has the meaning given in the R</w:t>
      </w:r>
      <w:r>
        <w:noBreakHyphen/>
        <w:t>Codes;</w:t>
      </w:r>
    </w:p>
    <w:p>
      <w:pPr>
        <w:pStyle w:val="zDefstart"/>
      </w:pPr>
      <w:r>
        <w:tab/>
      </w:r>
      <w:r>
        <w:rPr>
          <w:rStyle w:val="CharDefText"/>
        </w:rPr>
        <w:t>R</w:t>
      </w:r>
      <w:r>
        <w:rPr>
          <w:rStyle w:val="CharDefText"/>
        </w:rPr>
        <w:noBreakHyphen/>
        <w:t>Codes</w:t>
      </w:r>
      <w:r>
        <w:t xml:space="preserve"> has the meaning given in the </w:t>
      </w:r>
      <w:r>
        <w:rPr>
          <w:i/>
        </w:rPr>
        <w:t>Planning and Development (Local Planning Schemes) Regulations 2015</w:t>
      </w:r>
      <w:r>
        <w:t xml:space="preserve"> Schedule 2 clause 1;</w:t>
      </w:r>
    </w:p>
    <w:p>
      <w:pPr>
        <w:pStyle w:val="zDefstart"/>
      </w:pPr>
      <w:r>
        <w:tab/>
      </w:r>
      <w:r>
        <w:rPr>
          <w:rStyle w:val="CharDefText"/>
        </w:rPr>
        <w:t>registered community housing provider</w:t>
      </w:r>
      <w:r>
        <w:t xml:space="preserve"> has the meaning given in the </w:t>
      </w:r>
      <w:r>
        <w:rPr>
          <w:i/>
        </w:rPr>
        <w:t>Planning and Development (Development Assessment Panels) Regulations 2011</w:t>
      </w:r>
      <w:r>
        <w:t xml:space="preserve"> regulation 3(1);</w:t>
      </w:r>
    </w:p>
    <w:p>
      <w:pPr>
        <w:pStyle w:val="zDefstart"/>
        <w:rPr>
          <w:rStyle w:val="DraftersNotes"/>
          <w:b w:val="0"/>
          <w:i w:val="0"/>
          <w:sz w:val="24"/>
        </w:rPr>
      </w:pPr>
      <w:r>
        <w:tab/>
      </w:r>
      <w:r>
        <w:rPr>
          <w:rStyle w:val="CharDefText"/>
        </w:rPr>
        <w:t>relevant activity centre</w:t>
      </w:r>
      <w:r>
        <w:t xml:space="preserve"> means an area of land identified as an activity centre in the State Planning Policy 4.2 Appendix 1 under the headings Capital City, Strategic Centres, Secondary Centres or District Centres.</w:t>
      </w:r>
    </w:p>
    <w:p>
      <w:pPr>
        <w:pStyle w:val="zSubsection"/>
        <w:keepNext/>
        <w:rPr>
          <w:rStyle w:val="DraftersNotes"/>
          <w:b w:val="0"/>
          <w:i w:val="0"/>
          <w:sz w:val="24"/>
        </w:rPr>
      </w:pPr>
      <w:r>
        <w:tab/>
        <w:t>(2)</w:t>
      </w:r>
      <w:r>
        <w:tab/>
        <w:t xml:space="preserve">For the purposes of section 171I(1) of the Act, development is </w:t>
      </w:r>
      <w:r>
        <w:rPr>
          <w:rStyle w:val="CharDefText"/>
        </w:rPr>
        <w:t>prescribed significant development</w:t>
      </w:r>
      <w:r>
        <w:t xml:space="preserve"> if — </w:t>
      </w:r>
    </w:p>
    <w:p>
      <w:pPr>
        <w:pStyle w:val="zIndenta"/>
      </w:pPr>
      <w:r>
        <w:tab/>
        <w:t>(a)</w:t>
      </w:r>
      <w:r>
        <w:tab/>
        <w:t>for development in an area to which the Swan Valley Planning Scheme applies — the estimated cost of the development is $20 million or more; or</w:t>
      </w:r>
    </w:p>
    <w:p>
      <w:pPr>
        <w:pStyle w:val="zIndenta"/>
      </w:pPr>
      <w:r>
        <w:tab/>
        <w:t>(b)</w:t>
      </w:r>
      <w:r>
        <w:tab/>
        <w:t xml:space="preserve">for development in an area to which the Metropolitan Region Scheme or the Peel Region Scheme applies — </w:t>
      </w:r>
    </w:p>
    <w:p>
      <w:pPr>
        <w:pStyle w:val="zIndenti"/>
      </w:pPr>
      <w:r>
        <w:tab/>
        <w:t>(i)</w:t>
      </w:r>
      <w:r>
        <w:tab/>
        <w:t>the estimated cost of the development is $20 million or more; or</w:t>
      </w:r>
    </w:p>
    <w:p>
      <w:pPr>
        <w:pStyle w:val="zIndenti"/>
      </w:pPr>
      <w:r>
        <w:tab/>
        <w:t>(ii)</w:t>
      </w:r>
      <w:r>
        <w:tab/>
        <w:t>the development meets the requirements of subregulation (3);</w:t>
      </w:r>
    </w:p>
    <w:p>
      <w:pPr>
        <w:pStyle w:val="zIndenta"/>
      </w:pPr>
      <w:r>
        <w:tab/>
      </w:r>
      <w:r>
        <w:tab/>
        <w:t>or</w:t>
      </w:r>
    </w:p>
    <w:p>
      <w:pPr>
        <w:pStyle w:val="zIndenta"/>
        <w:keepNext/>
      </w:pPr>
      <w:r>
        <w:lastRenderedPageBreak/>
        <w:tab/>
        <w:t>(c)</w:t>
      </w:r>
      <w:r>
        <w:tab/>
        <w:t xml:space="preserve">otherwise — </w:t>
      </w:r>
    </w:p>
    <w:p>
      <w:pPr>
        <w:pStyle w:val="zIndenti"/>
      </w:pPr>
      <w:r>
        <w:tab/>
        <w:t>(i)</w:t>
      </w:r>
      <w:r>
        <w:tab/>
        <w:t>the estimated cost of the development is $5 million or more; or</w:t>
      </w:r>
    </w:p>
    <w:p>
      <w:pPr>
        <w:pStyle w:val="zIndenti"/>
      </w:pPr>
      <w:r>
        <w:tab/>
        <w:t>(ii)</w:t>
      </w:r>
      <w:r>
        <w:tab/>
        <w:t>the development meets the requirements of subregulation (4).</w:t>
      </w:r>
    </w:p>
    <w:p>
      <w:pPr>
        <w:pStyle w:val="zSubsection"/>
        <w:rPr>
          <w:rStyle w:val="DraftersNotes"/>
          <w:b w:val="0"/>
          <w:i w:val="0"/>
          <w:sz w:val="24"/>
        </w:rPr>
      </w:pPr>
      <w:r>
        <w:tab/>
        <w:t>(3)</w:t>
      </w:r>
      <w:r>
        <w:tab/>
        <w:t xml:space="preserve">For subregulation (2)(b)(ii), the requirements are that — </w:t>
      </w:r>
    </w:p>
    <w:p>
      <w:pPr>
        <w:pStyle w:val="zIndenta"/>
      </w:pPr>
      <w:r>
        <w:tab/>
        <w:t>(a)</w:t>
      </w:r>
      <w:r>
        <w:tab/>
        <w:t>the development includes multiple dwellings and at least 5% of the total number of multiple dwellings is community housing that is to be provided by a registered community housing provider on the development’s completion; and</w:t>
      </w:r>
    </w:p>
    <w:p>
      <w:pPr>
        <w:pStyle w:val="zIndenta"/>
      </w:pPr>
      <w:r>
        <w:tab/>
        <w:t>(b)</w:t>
      </w:r>
      <w:r>
        <w:tab/>
        <w:t>the applicable planning instrument for the development application does not prohibit development consisting of multiple dwellings; and</w:t>
      </w:r>
    </w:p>
    <w:p>
      <w:pPr>
        <w:pStyle w:val="zIndenta"/>
        <w:ind w:left="2297"/>
      </w:pPr>
      <w:r>
        <w:tab/>
        <w:t>(c)</w:t>
      </w:r>
      <w:r>
        <w:tab/>
        <w:t xml:space="preserve">either — </w:t>
      </w:r>
    </w:p>
    <w:p>
      <w:pPr>
        <w:pStyle w:val="zIndenti"/>
      </w:pPr>
      <w:r>
        <w:tab/>
        <w:t>(i)</w:t>
      </w:r>
      <w:r>
        <w:tab/>
        <w:t>the development is in an area designated under a planning scheme as residential density code R30, R35, R40, R50, R60, R80, R100, R160, R</w:t>
      </w:r>
      <w:r>
        <w:noBreakHyphen/>
        <w:t>AC0, R</w:t>
      </w:r>
      <w:r>
        <w:noBreakHyphen/>
        <w:t>AC1, R</w:t>
      </w:r>
      <w:r>
        <w:noBreakHyphen/>
        <w:t>AC2, R</w:t>
      </w:r>
      <w:r>
        <w:noBreakHyphen/>
        <w:t>AC3 or R</w:t>
      </w:r>
      <w:r>
        <w:noBreakHyphen/>
        <w:t>AC4; or</w:t>
      </w:r>
    </w:p>
    <w:p>
      <w:pPr>
        <w:pStyle w:val="zIndenti"/>
        <w:rPr>
          <w:rStyle w:val="DraftersNotes"/>
          <w:b w:val="0"/>
          <w:i w:val="0"/>
          <w:sz w:val="24"/>
        </w:rPr>
      </w:pPr>
      <w:r>
        <w:tab/>
        <w:t>(ii)</w:t>
      </w:r>
      <w:r>
        <w:tab/>
        <w:t>the development is in an area that is not designated under a planning scheme as a residential density code;</w:t>
      </w:r>
    </w:p>
    <w:p>
      <w:pPr>
        <w:pStyle w:val="zIndenta"/>
      </w:pPr>
      <w:r>
        <w:tab/>
      </w:r>
      <w:r>
        <w:tab/>
        <w:t>and</w:t>
      </w:r>
    </w:p>
    <w:p>
      <w:pPr>
        <w:pStyle w:val="zIndenta"/>
      </w:pPr>
      <w:r>
        <w:tab/>
        <w:t>(d)</w:t>
      </w:r>
      <w:r>
        <w:tab/>
        <w:t xml:space="preserve">either or both of the following apply — </w:t>
      </w:r>
    </w:p>
    <w:p>
      <w:pPr>
        <w:pStyle w:val="zIndenti"/>
      </w:pPr>
      <w:r>
        <w:tab/>
        <w:t>(i)</w:t>
      </w:r>
      <w:r>
        <w:tab/>
        <w:t>the development is within 800 metres of a railway station;</w:t>
      </w:r>
    </w:p>
    <w:p>
      <w:pPr>
        <w:pStyle w:val="zIndenti"/>
      </w:pPr>
      <w:r>
        <w:tab/>
        <w:t>(ii)</w:t>
      </w:r>
      <w:r>
        <w:tab/>
        <w:t>the development is in a relevant activity centre.</w:t>
      </w:r>
    </w:p>
    <w:p>
      <w:pPr>
        <w:pStyle w:val="zSubsection"/>
        <w:rPr>
          <w:rStyle w:val="DraftersNotes"/>
          <w:b w:val="0"/>
          <w:i w:val="0"/>
          <w:sz w:val="24"/>
        </w:rPr>
      </w:pPr>
      <w:r>
        <w:lastRenderedPageBreak/>
        <w:tab/>
        <w:t>(4)</w:t>
      </w:r>
      <w:r>
        <w:tab/>
        <w:t xml:space="preserve">For subregulation (2)(c)(ii), the requirements are that — </w:t>
      </w:r>
    </w:p>
    <w:p>
      <w:pPr>
        <w:pStyle w:val="zIndenta"/>
      </w:pPr>
      <w:r>
        <w:tab/>
        <w:t>(a)</w:t>
      </w:r>
      <w:r>
        <w:tab/>
        <w:t>the development includes multiple dwellings and at least 5% of the total number of multiple dwellings is community housing that is to be provided by a registered community housing provider on the development’s completion; and</w:t>
      </w:r>
    </w:p>
    <w:p>
      <w:pPr>
        <w:pStyle w:val="zIndenta"/>
      </w:pPr>
      <w:r>
        <w:tab/>
        <w:t>(b)</w:t>
      </w:r>
      <w:r>
        <w:tab/>
        <w:t>the applicable planning instrument for the development application does not prohibit development consisting of multiple dwellings; and</w:t>
      </w:r>
    </w:p>
    <w:p>
      <w:pPr>
        <w:pStyle w:val="zIndenta"/>
      </w:pPr>
      <w:r>
        <w:tab/>
        <w:t>(c)</w:t>
      </w:r>
      <w:r>
        <w:tab/>
        <w:t>the development is in, or within 800 metres of, an area that is identified under a local planning scheme as a commercial, centre or mixed use zone.</w:t>
      </w:r>
    </w:p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N. HAGLEY,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80A9F7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7EA31B39" w14:textId="6EA49E1F" w:rsidR="004040FC" w:rsidRDefault="004040F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AA7EB7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25866CC" w14:textId="77777777" w:rsidR="004040FC" w:rsidRDefault="004040F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46C7B26" w14:textId="43C5B743" w:rsidR="004040FC" w:rsidRDefault="004040FC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AA7EB7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0BD2EE1" w14:textId="77777777" w:rsidR="004040FC" w:rsidRDefault="004040FC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22 Jan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22 Jan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22 Jan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22 Jan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22 Jan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22 Jan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Planning and Development (Significant Development)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Planning and Development (Significant Development)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Planning and Development (Significant Development)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Planning and Development (Significant Development)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3" w:name="Coversheet"/>
    <w:bookmarkEnd w:id="1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300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0116135821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123014542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1230145429_GUID" w:val="8a8d3d5d-8123-434a-891a-c6879ff85644"/>
    <w:docVar w:name="WAFER_2025010911225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109112259_GUID" w:val="e78df8d5-0a05-444b-92f8-9fc2741776b7"/>
    <w:docVar w:name="WAFER_2025011613582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0116135821_GUID" w:val="39f056fb-cf56-4727-9116-b8c9064a1c00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09"/>
    <o:shapelayout v:ext="edit">
      <o:idmap v:ext="edit" data="1"/>
    </o:shapelayout>
  </w:shapeDefaults>
  <w:decimalSymbol w:val="."/>
  <w:listSeparator w:val=","/>
  <w15:docId w15:val="{94395B3E-4F31-4423-B3B9-764728EE5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720</Words>
  <Characters>4052</Characters>
  <Application>Microsoft Office Word</Application>
  <DocSecurity>0</DocSecurity>
  <Lines>144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4697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Planning and Development (Significant Development) Amendment Regulations 2025 - 00-00-00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2025-06-20T05:30:00Z</dcterms:created>
  <dcterms:modified xsi:type="dcterms:W3CDTF">2025-06-20T05:30:00Z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55199</vt:lpwstr>
  </property>
  <property fmtid="{D5CDD505-2E9C-101B-9397-08002B2CF9AE}" pid="3" name="DocumentType">
    <vt:lpwstr>Reg</vt:lpwstr>
  </property>
  <property fmtid="{D5CDD505-2E9C-101B-9397-08002B2CF9AE}" pid="4" name="AsAtDate">
    <vt:lpwstr>22 Jan 2025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2025/14</vt:lpwstr>
  </property>
  <property fmtid="{D5CDD505-2E9C-101B-9397-08002B2CF9AE}" pid="8" name="PublishDate">
    <vt:lpwstr>22 Jan 2025</vt:lpwstr>
  </property>
  <property fmtid="{D5CDD505-2E9C-101B-9397-08002B2CF9AE}" pid="9" name="CommencementDate">
    <vt:lpwstr>20250122</vt:lpwstr>
  </property>
  <property fmtid="{D5CDD505-2E9C-101B-9397-08002B2CF9AE}" pid="10" name="CommencementAsAt">
    <vt:filetime>2025-01-21T16:00:00Z</vt:filetime>
  </property>
  <property fmtid="{D5CDD505-2E9C-101B-9397-08002B2CF9AE}" pid="11" name="CommencementYear">
    <vt:lpwstr>2025</vt:lpwstr>
  </property>
</Properties>
</file>