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(Administration) Act 2008</w:t>
      </w:r>
      <w:r>
        <w:rPr>
          <w:noProof/>
        </w:rPr>
        <w:br/>
        <w:t>Road Traffic (Vehicles)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(Heavy Vehicle)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(Heavy Vehicle)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_Toc187923803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_Toc187923804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Road Traffic (Administration)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_Toc187923806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22 amended</w:t>
      </w:r>
      <w:r>
        <w:tab/>
      </w:r>
      <w:r>
        <w:fldChar w:fldCharType="begin"/>
      </w:r>
      <w:r>
        <w:instrText xml:space="preserve"> PAGEREF _Toc187923807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30 amended</w:t>
      </w:r>
      <w:r>
        <w:tab/>
      </w:r>
      <w:r>
        <w:fldChar w:fldCharType="begin"/>
      </w:r>
      <w:r>
        <w:instrText xml:space="preserve"> PAGEREF _Toc187923808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Road Traffic (Vehicles)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_Toc187923810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164 amended</w:t>
      </w:r>
      <w:r>
        <w:tab/>
      </w:r>
      <w:r>
        <w:fldChar w:fldCharType="begin"/>
      </w:r>
      <w:r>
        <w:instrText xml:space="preserve"> PAGEREF _Toc187923811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164A inserted</w:t>
      </w:r>
      <w:r>
        <w:tab/>
      </w:r>
      <w:r>
        <w:fldChar w:fldCharType="begin"/>
      </w:r>
      <w:r>
        <w:instrText xml:space="preserve"> PAGEREF _Toc187923812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164A.</w:t>
      </w:r>
      <w:r>
        <w:rPr>
          <w:noProof/>
        </w:rPr>
        <w:tab/>
        <w:t>Mass limit for heavy vehicle with non</w:t>
      </w:r>
      <w:r>
        <w:rPr>
          <w:noProof/>
        </w:rPr>
        <w:noBreakHyphen/>
        <w:t>compliant axle configuration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_Toc187923813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195 amended</w:t>
      </w:r>
      <w:r>
        <w:tab/>
      </w:r>
      <w:r>
        <w:fldChar w:fldCharType="begin"/>
      </w:r>
      <w:r>
        <w:instrText xml:space="preserve"> PAGEREF _Toc187923814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197 amended</w:t>
      </w:r>
      <w:r>
        <w:tab/>
      </w:r>
      <w:r>
        <w:fldChar w:fldCharType="begin"/>
      </w:r>
      <w:r>
        <w:instrText xml:space="preserve"> PAGEREF _Toc187923815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198 amended</w:t>
      </w:r>
      <w:r>
        <w:tab/>
      </w:r>
      <w:r>
        <w:fldChar w:fldCharType="begin"/>
      </w:r>
      <w:r>
        <w:instrText xml:space="preserve"> PAGEREF _Toc187923816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206 amended</w:t>
      </w:r>
      <w:r>
        <w:tab/>
      </w:r>
      <w:r>
        <w:fldChar w:fldCharType="begin"/>
      </w:r>
      <w:r>
        <w:instrText xml:space="preserve"> PAGEREF _Toc187923817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(Administration) Act 2008</w:t>
      </w:r>
      <w:r>
        <w:br/>
        <w:t>Road Traffic (Vehicles) Act 2012</w:t>
      </w:r>
    </w:p>
    <w:p>
      <w:pPr>
        <w:pStyle w:val="NameofActReg"/>
      </w:pPr>
      <w:r>
        <w:t>Transport Regulations Amendment (Heavy Vehicle)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Ref183096920"/>
      <w:bookmarkStart w:id="3" w:name="_Toc187923415"/>
      <w:bookmarkStart w:id="4" w:name="_Toc187923530"/>
      <w:bookmarkStart w:id="5" w:name="_Toc18792380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7923416"/>
      <w:bookmarkStart w:id="7" w:name="_Toc18792380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(Heavy Vehicle) Regulations 2025</w:t>
      </w:r>
      <w:r>
        <w:t>.</w:t>
      </w:r>
    </w:p>
    <w:p>
      <w:pPr>
        <w:pStyle w:val="Heading5"/>
        <w:rPr>
          <w:spacing w:val="-2"/>
        </w:rPr>
      </w:pPr>
      <w:bookmarkStart w:id="9" w:name="_Toc187923417"/>
      <w:bookmarkStart w:id="10" w:name="_Toc1879238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87923418"/>
      <w:bookmarkStart w:id="12" w:name="_Toc187923533"/>
      <w:bookmarkStart w:id="13" w:name="_Toc18792380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(Administration) Regulations 2014</w:t>
      </w:r>
      <w:r>
        <w:rPr>
          <w:rStyle w:val="CharPartText"/>
        </w:rPr>
        <w:t xml:space="preserve"> amended</w:t>
      </w:r>
      <w:bookmarkEnd w:id="11"/>
      <w:bookmarkEnd w:id="12"/>
      <w:bookmarkEnd w:id="13"/>
    </w:p>
    <w:p>
      <w:pPr>
        <w:pStyle w:val="Heading5"/>
        <w:rPr>
          <w:snapToGrid w:val="0"/>
        </w:rPr>
      </w:pPr>
      <w:bookmarkStart w:id="14" w:name="_Toc187923419"/>
      <w:bookmarkStart w:id="15" w:name="_Toc1879238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Road Traffic (Administration) Regulations 2014</w:t>
      </w:r>
      <w:r>
        <w:t>.</w:t>
      </w:r>
    </w:p>
    <w:p>
      <w:pPr>
        <w:pStyle w:val="Heading5"/>
      </w:pPr>
      <w:bookmarkStart w:id="16" w:name="_Toc187923420"/>
      <w:bookmarkStart w:id="17" w:name="_Toc187923807"/>
      <w:r>
        <w:rPr>
          <w:rStyle w:val="CharSectno"/>
        </w:rPr>
        <w:t>4</w:t>
      </w:r>
      <w:r>
        <w:t>.</w:t>
      </w:r>
      <w:r>
        <w:tab/>
        <w:t>Regulation 22 amended</w:t>
      </w:r>
      <w:bookmarkEnd w:id="16"/>
      <w:bookmarkEnd w:id="17"/>
    </w:p>
    <w:p>
      <w:pPr>
        <w:pStyle w:val="Subsection"/>
      </w:pPr>
      <w:r>
        <w:tab/>
      </w:r>
      <w:r>
        <w:tab/>
        <w:t>In regulation 22 in the Table:</w:t>
      </w:r>
    </w:p>
    <w:p>
      <w:pPr>
        <w:pStyle w:val="Indenta"/>
      </w:pPr>
      <w:r>
        <w:tab/>
        <w:t>(a)</w:t>
      </w:r>
      <w:r>
        <w:tab/>
        <w:t>in the item for section 36(1) delete “mass or dimension modification”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modification of mass or dimension requirement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the item for section 36(1) insert:</w:t>
      </w:r>
    </w:p>
    <w:p>
      <w:pPr>
        <w:pStyle w:val="BlankOpen"/>
      </w:pPr>
    </w:p>
    <w:tbl>
      <w:tblPr>
        <w:tblW w:w="5954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31"/>
        <w:gridCol w:w="2010"/>
        <w:gridCol w:w="2413"/>
      </w:tblGrid>
      <w:tr>
        <w:tc>
          <w:tcPr>
            <w:tcW w:w="1531" w:type="dxa"/>
            <w:tcBorders>
              <w:bottom w:val="nil"/>
            </w:tcBorders>
          </w:tcPr>
          <w:p>
            <w:pPr>
              <w:pStyle w:val="zTableNAm"/>
            </w:pPr>
            <w:r>
              <w:t>s. 36(1)</w:t>
            </w:r>
          </w:p>
        </w:tc>
        <w:tc>
          <w:tcPr>
            <w:tcW w:w="2010" w:type="dxa"/>
            <w:tcBorders>
              <w:bottom w:val="nil"/>
            </w:tcBorders>
          </w:tcPr>
          <w:p>
            <w:pPr>
              <w:pStyle w:val="zTableNAm"/>
              <w:rPr>
                <w:rStyle w:val="DraftersNotes"/>
                <w:b w:val="0"/>
                <w:i w:val="0"/>
                <w:sz w:val="24"/>
              </w:rPr>
            </w:pPr>
            <w:r>
              <w:t>Failure to comply with provision of order or permit for modification of mass or dimension requirement about a road on which the vehicle can or cannot be driven, in circumstances where the vehicle is a heavy vehicle</w:t>
            </w:r>
          </w:p>
        </w:tc>
        <w:tc>
          <w:tcPr>
            <w:tcW w:w="2413" w:type="dxa"/>
            <w:tcBorders>
              <w:bottom w:val="nil"/>
            </w:tcBorders>
          </w:tcPr>
          <w:p>
            <w:pPr>
              <w:pStyle w:val="zTableNAm"/>
            </w:pPr>
            <w:r>
              <w:t xml:space="preserve">The greater of the following — </w:t>
            </w:r>
          </w:p>
          <w:p>
            <w:pPr>
              <w:pStyle w:val="zTableNAm"/>
              <w:tabs>
                <w:tab w:val="clear" w:pos="567"/>
              </w:tabs>
              <w:ind w:left="323" w:hanging="323"/>
              <w:rPr>
                <w:rStyle w:val="DraftersNotes"/>
                <w:b w:val="0"/>
                <w:i w:val="0"/>
                <w:sz w:val="24"/>
              </w:rPr>
            </w:pPr>
            <w:r>
              <w:t>(a)</w:t>
            </w:r>
            <w:r>
              <w:tab/>
              <w:t xml:space="preserve">the same number of PU as are set out in the Table to the </w:t>
            </w:r>
            <w:r>
              <w:rPr>
                <w:i/>
              </w:rPr>
              <w:t xml:space="preserve">Road Traffic (Vehicles) Act 2012 </w:t>
            </w:r>
            <w:r>
              <w:t>s. 30(1) for the minimum penalty for the offence that would have applied if the mass requirement (if any) had not been modified;</w:t>
            </w:r>
          </w:p>
        </w:tc>
      </w:tr>
      <w:tr>
        <w:trPr>
          <w:cantSplit/>
        </w:trPr>
        <w:tc>
          <w:tcPr>
            <w:tcW w:w="1531" w:type="dxa"/>
            <w:tcBorders>
              <w:top w:val="nil"/>
            </w:tcBorders>
          </w:tcPr>
          <w:p>
            <w:pPr>
              <w:pStyle w:val="zTableNAm"/>
              <w:spacing w:before="0"/>
            </w:pPr>
          </w:p>
        </w:tc>
        <w:tc>
          <w:tcPr>
            <w:tcW w:w="2010" w:type="dxa"/>
            <w:tcBorders>
              <w:top w:val="nil"/>
            </w:tcBorders>
          </w:tcPr>
          <w:p>
            <w:pPr>
              <w:pStyle w:val="zTableNAm"/>
              <w:spacing w:before="0"/>
            </w:pPr>
          </w:p>
        </w:tc>
        <w:tc>
          <w:tcPr>
            <w:tcW w:w="2413" w:type="dxa"/>
            <w:tcBorders>
              <w:top w:val="nil"/>
            </w:tcBorders>
          </w:tcPr>
          <w:p>
            <w:pPr>
              <w:pStyle w:val="zTableNAm"/>
              <w:spacing w:before="0"/>
              <w:ind w:left="464" w:hanging="464"/>
              <w:rPr>
                <w:rStyle w:val="DraftersNotes"/>
              </w:rPr>
            </w:pPr>
            <w:r>
              <w:t>(b)</w:t>
            </w:r>
            <w:r>
              <w:tab/>
              <w:t xml:space="preserve">the same number of PU as are set out in the </w:t>
            </w:r>
            <w:r>
              <w:rPr>
                <w:i/>
              </w:rPr>
              <w:t xml:space="preserve">Road Traffic (Vehicles) Act 2012 </w:t>
            </w:r>
            <w:r>
              <w:t>s. 30(3)(b) to (d) for the minimum penalty for the offence that would have applied if the dimension requirement (if any) had not been modified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8" w:name="_Toc187923421"/>
      <w:bookmarkStart w:id="19" w:name="_Toc187923808"/>
      <w:r>
        <w:rPr>
          <w:rStyle w:val="CharSectno"/>
        </w:rPr>
        <w:t>5</w:t>
      </w:r>
      <w:r>
        <w:t>.</w:t>
      </w:r>
      <w:r>
        <w:tab/>
        <w:t>Regulation 30 amended</w:t>
      </w:r>
      <w:bookmarkEnd w:id="18"/>
      <w:bookmarkEnd w:id="19"/>
    </w:p>
    <w:p>
      <w:pPr>
        <w:pStyle w:val="Subsection"/>
      </w:pPr>
      <w:r>
        <w:tab/>
      </w:r>
      <w:r>
        <w:tab/>
        <w:t>Delete regulation 30(b)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the Commissioner of Main Roads.</w:t>
      </w:r>
    </w:p>
    <w:p>
      <w:pPr>
        <w:pStyle w:val="BlankClose"/>
      </w:pPr>
    </w:p>
    <w:p>
      <w:pPr>
        <w:pStyle w:val="Heading2"/>
      </w:pPr>
      <w:bookmarkStart w:id="20" w:name="_Toc187923422"/>
      <w:bookmarkStart w:id="21" w:name="_Toc187923537"/>
      <w:bookmarkStart w:id="22" w:name="_Toc18792380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(Vehicles) Regulations 2014</w:t>
      </w:r>
      <w:r>
        <w:rPr>
          <w:rStyle w:val="CharPartText"/>
        </w:rPr>
        <w:t xml:space="preserve"> amended</w:t>
      </w:r>
      <w:bookmarkEnd w:id="20"/>
      <w:bookmarkEnd w:id="21"/>
      <w:bookmarkEnd w:id="22"/>
    </w:p>
    <w:p>
      <w:pPr>
        <w:pStyle w:val="Heading5"/>
      </w:pPr>
      <w:bookmarkStart w:id="23" w:name="_Toc187923423"/>
      <w:bookmarkStart w:id="24" w:name="_Toc187923810"/>
      <w:r>
        <w:rPr>
          <w:rStyle w:val="CharSectno"/>
        </w:rPr>
        <w:t>6</w:t>
      </w:r>
      <w:r>
        <w:t>.</w:t>
      </w:r>
      <w:r>
        <w:tab/>
        <w:t>Regulations amended</w:t>
      </w:r>
      <w:bookmarkEnd w:id="23"/>
      <w:bookmarkEnd w:id="24"/>
    </w:p>
    <w:p>
      <w:pPr>
        <w:pStyle w:val="Subsection"/>
        <w:rPr>
          <w:iCs/>
        </w:rPr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Road Traffic (Vehicles) Regulations 2014</w:t>
      </w:r>
      <w:r>
        <w:rPr>
          <w:iCs/>
        </w:rPr>
        <w:t>.</w:t>
      </w:r>
    </w:p>
    <w:p>
      <w:pPr>
        <w:pStyle w:val="Heading5"/>
      </w:pPr>
      <w:bookmarkStart w:id="25" w:name="_Toc187923424"/>
      <w:bookmarkStart w:id="26" w:name="_Toc187923811"/>
      <w:r>
        <w:rPr>
          <w:rStyle w:val="CharSectno"/>
        </w:rPr>
        <w:t>7</w:t>
      </w:r>
      <w:r>
        <w:t>.</w:t>
      </w:r>
      <w:r>
        <w:tab/>
        <w:t>Regulation 164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In regulation 164(7) delete “axles 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axles of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164 before the Table insert:</w:t>
      </w:r>
    </w:p>
    <w:p>
      <w:pPr>
        <w:pStyle w:val="BlankOpen"/>
      </w:pPr>
    </w:p>
    <w:p>
      <w:pPr>
        <w:pStyle w:val="zSubsection"/>
      </w:pPr>
      <w:r>
        <w:tab/>
        <w:t>(8)</w:t>
      </w:r>
      <w:r>
        <w:tab/>
        <w:t>Subregulation (7) does not apply to a heavy vehicle to which regulation 164A applies.</w:t>
      </w:r>
    </w:p>
    <w:p>
      <w:pPr>
        <w:pStyle w:val="BlankClose"/>
      </w:pPr>
    </w:p>
    <w:p>
      <w:pPr>
        <w:pStyle w:val="Heading5"/>
      </w:pPr>
      <w:bookmarkStart w:id="27" w:name="_Toc187923425"/>
      <w:bookmarkStart w:id="28" w:name="_Toc187923812"/>
      <w:r>
        <w:rPr>
          <w:rStyle w:val="CharSectno"/>
        </w:rPr>
        <w:t>8</w:t>
      </w:r>
      <w:r>
        <w:t>.</w:t>
      </w:r>
      <w:r>
        <w:tab/>
        <w:t>Regulation 164A inserted</w:t>
      </w:r>
      <w:bookmarkEnd w:id="27"/>
      <w:bookmarkEnd w:id="28"/>
    </w:p>
    <w:p>
      <w:pPr>
        <w:pStyle w:val="Subsection"/>
      </w:pPr>
      <w:r>
        <w:tab/>
      </w:r>
      <w:r>
        <w:tab/>
        <w:t>After regulation 164 insert:</w:t>
      </w:r>
    </w:p>
    <w:p>
      <w:pPr>
        <w:pStyle w:val="BlankOpen"/>
      </w:pPr>
    </w:p>
    <w:p>
      <w:pPr>
        <w:pStyle w:val="zHeading5"/>
      </w:pPr>
      <w:bookmarkStart w:id="29" w:name="_Toc187923426"/>
      <w:bookmarkStart w:id="30" w:name="_Toc187923813"/>
      <w:r>
        <w:t>164A.</w:t>
      </w:r>
      <w:r>
        <w:tab/>
        <w:t>Mass limit for heavy vehicle with non</w:t>
      </w:r>
      <w:r>
        <w:noBreakHyphen/>
        <w:t>compliant axle configuration</w:t>
      </w:r>
      <w:bookmarkEnd w:id="29"/>
      <w:bookmarkEnd w:id="30"/>
    </w:p>
    <w:p>
      <w:pPr>
        <w:pStyle w:val="zSubsection"/>
      </w:pPr>
      <w:r>
        <w:tab/>
        <w:t>(1)</w:t>
      </w:r>
      <w:r>
        <w:tab/>
        <w:t>This regulation applies to a heavy vehicle that does not comply with regulation 280.</w:t>
      </w:r>
    </w:p>
    <w:p>
      <w:pPr>
        <w:pStyle w:val="zSubsection"/>
      </w:pPr>
      <w:r>
        <w:tab/>
        <w:t>(2)</w:t>
      </w:r>
      <w:r>
        <w:tab/>
        <w:t>The sum of the mass on the axle groups and single axles of a heavy vehicle to which this regulation applies must not exceed 32.0 t.</w:t>
      </w:r>
    </w:p>
    <w:p>
      <w:pPr>
        <w:pStyle w:val="BlankClose"/>
      </w:pPr>
    </w:p>
    <w:p>
      <w:pPr>
        <w:pStyle w:val="Heading5"/>
      </w:pPr>
      <w:bookmarkStart w:id="31" w:name="_Toc187923427"/>
      <w:bookmarkStart w:id="32" w:name="_Toc187923814"/>
      <w:r>
        <w:rPr>
          <w:rStyle w:val="CharSectno"/>
        </w:rPr>
        <w:lastRenderedPageBreak/>
        <w:t>9</w:t>
      </w:r>
      <w:r>
        <w:t>.</w:t>
      </w:r>
      <w:r>
        <w:tab/>
        <w:t>Regulation 195 amended</w:t>
      </w:r>
      <w:bookmarkEnd w:id="31"/>
      <w:bookmarkEnd w:id="32"/>
    </w:p>
    <w:p>
      <w:pPr>
        <w:pStyle w:val="Subsection"/>
        <w:keepNext/>
      </w:pPr>
      <w:r>
        <w:tab/>
        <w:t>(1)</w:t>
      </w:r>
      <w:r>
        <w:tab/>
        <w:t>Delete regulation 195(2)(b)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if the permit is not issued in respect of a specified class — the vehicle licence number of each vehicle to which it applies;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195(2)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If a permit is issued under section 35(1) in respect of a vehicle that is a motor vehicle made up of a combination of 2 or more vehicles, subregulation (2)(b) is taken to be satisfied if the vehicle licence number of any of the vehicles that make up the combination is specified in the permit.</w:t>
      </w:r>
    </w:p>
    <w:p>
      <w:pPr>
        <w:pStyle w:val="zSubsection"/>
      </w:pPr>
      <w:r>
        <w:tab/>
        <w:t>(4)</w:t>
      </w:r>
      <w:r>
        <w:tab/>
        <w:t>Subregulation (3) does not apply in relation to the specification in a permit of the vehicle licence number of a converter dolly.</w:t>
      </w:r>
    </w:p>
    <w:p>
      <w:pPr>
        <w:pStyle w:val="BlankClose"/>
      </w:pPr>
    </w:p>
    <w:p>
      <w:pPr>
        <w:pStyle w:val="Heading5"/>
      </w:pPr>
      <w:bookmarkStart w:id="33" w:name="_Toc187923428"/>
      <w:bookmarkStart w:id="34" w:name="_Toc187923815"/>
      <w:r>
        <w:rPr>
          <w:rStyle w:val="CharSectno"/>
        </w:rPr>
        <w:t>10</w:t>
      </w:r>
      <w:r>
        <w:t>.</w:t>
      </w:r>
      <w:r>
        <w:tab/>
        <w:t>Regulation 197 amended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In regulation 197(1): </w:t>
      </w:r>
    </w:p>
    <w:p>
      <w:pPr>
        <w:pStyle w:val="Indenta"/>
      </w:pPr>
      <w:r>
        <w:tab/>
        <w:t>(a)</w:t>
      </w:r>
      <w:r>
        <w:tab/>
        <w:t>delete the passage that begins with “permit or” and ends with “greater”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permit, or for the variation of a permit, for the modification of a mass or dimension requirement for a class 1 vehicle in the case of more than 1 journey is the total 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(b) delete “requirement,”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 xml:space="preserve">requirement — </w:t>
      </w:r>
    </w:p>
    <w:p>
      <w:pPr>
        <w:pStyle w:val="BlankClose"/>
        <w:keepNext/>
      </w:pPr>
    </w:p>
    <w:p>
      <w:pPr>
        <w:pStyle w:val="Subsection"/>
      </w:pPr>
      <w:r>
        <w:tab/>
        <w:t>(2)</w:t>
      </w:r>
      <w:r>
        <w:tab/>
        <w:t>In regulation 197(2) delete the passage that begins with “permit” and ends with “greater”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permit, or for the variation of a permit, for a class 1 vehicle in the case of a single journey is the total 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197(3) delete the passage that begins with “permit” (1</w:t>
      </w:r>
      <w:r>
        <w:rPr>
          <w:vertAlign w:val="superscript"/>
        </w:rPr>
        <w:t>st</w:t>
      </w:r>
      <w:r>
        <w:t xml:space="preserve"> occurrence) and ends with “journey,”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permit, or for the variation of a permit, for a class 3 vehicle in the case of more than 1 journey 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After regulation 197(3)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The Commissioner of Main Roads may, on application by the permit holder, cancel a permit issued under section 34(1)(b) and refund, in whole or in part, any fee paid in respect of the permit if the Commissioner is satisfied that — </w:t>
      </w:r>
    </w:p>
    <w:p>
      <w:pPr>
        <w:pStyle w:val="zIndenta"/>
      </w:pPr>
      <w:r>
        <w:tab/>
        <w:t>(a)</w:t>
      </w:r>
      <w:r>
        <w:tab/>
        <w:t>in the case of a permit issued for a single journey — the permit has not been used; or</w:t>
      </w:r>
    </w:p>
    <w:p>
      <w:pPr>
        <w:pStyle w:val="zIndenta"/>
      </w:pPr>
      <w:r>
        <w:tab/>
        <w:t>(b)</w:t>
      </w:r>
      <w:r>
        <w:tab/>
        <w:t>in the case of a permit issued for more than 1 journey — there are journeys remaining for which the permit may be used.</w:t>
      </w:r>
    </w:p>
    <w:p>
      <w:pPr>
        <w:pStyle w:val="zSubsection"/>
      </w:pPr>
      <w:r>
        <w:tab/>
        <w:t>(5)</w:t>
      </w:r>
      <w:r>
        <w:tab/>
        <w:t>An application for a cancellation and refund under subregulation (4) must be in a form approved by the Commissioner of Main Roads.</w:t>
      </w:r>
    </w:p>
    <w:p>
      <w:pPr>
        <w:pStyle w:val="BlankClose"/>
      </w:pPr>
    </w:p>
    <w:p>
      <w:pPr>
        <w:pStyle w:val="Heading5"/>
      </w:pPr>
      <w:bookmarkStart w:id="35" w:name="_Toc187923429"/>
      <w:bookmarkStart w:id="36" w:name="_Toc187923816"/>
      <w:r>
        <w:rPr>
          <w:rStyle w:val="CharSectno"/>
        </w:rPr>
        <w:lastRenderedPageBreak/>
        <w:t>11</w:t>
      </w:r>
      <w:r>
        <w:t>.</w:t>
      </w:r>
      <w:r>
        <w:tab/>
        <w:t>Regulation 198 amended</w:t>
      </w:r>
      <w:bookmarkEnd w:id="35"/>
      <w:bookmarkEnd w:id="36"/>
    </w:p>
    <w:p>
      <w:pPr>
        <w:pStyle w:val="Subsection"/>
        <w:keepNext/>
      </w:pPr>
      <w:r>
        <w:tab/>
        <w:t>(1)</w:t>
      </w:r>
      <w:r>
        <w:tab/>
        <w:t>In regulation 198(1):</w:t>
      </w:r>
    </w:p>
    <w:p>
      <w:pPr>
        <w:pStyle w:val="Indenta"/>
        <w:keepNext/>
      </w:pPr>
      <w:r>
        <w:tab/>
        <w:t>(a)</w:t>
      </w:r>
      <w:r>
        <w:tab/>
        <w:t>delete “vary a”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vary an order for the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“made by order”;</w:t>
      </w:r>
    </w:p>
    <w:p>
      <w:pPr>
        <w:pStyle w:val="Indenta"/>
      </w:pPr>
      <w:r>
        <w:tab/>
        <w:t>(c)</w:t>
      </w:r>
      <w:r>
        <w:tab/>
        <w:t>after “made or”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previously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198(2): </w:t>
      </w:r>
    </w:p>
    <w:p>
      <w:pPr>
        <w:pStyle w:val="Indenta"/>
      </w:pPr>
      <w:r>
        <w:tab/>
        <w:t>(a)</w:t>
      </w:r>
      <w:r>
        <w:tab/>
        <w:t>delete “a permit”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the permit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“vary a”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permit for the </w:t>
      </w:r>
    </w:p>
    <w:p>
      <w:pPr>
        <w:pStyle w:val="BlankClose"/>
      </w:pPr>
    </w:p>
    <w:p>
      <w:pPr>
        <w:pStyle w:val="BlankClose"/>
        <w:rPr>
          <w:rStyle w:val="DraftersNotes"/>
          <w:highlight w:val="yellow"/>
        </w:rPr>
      </w:pPr>
    </w:p>
    <w:p>
      <w:pPr>
        <w:pStyle w:val="Indenta"/>
      </w:pPr>
      <w:r>
        <w:tab/>
        <w:t>(c)</w:t>
      </w:r>
      <w:r>
        <w:tab/>
        <w:t>delete “made by the permit”;</w:t>
      </w:r>
    </w:p>
    <w:p>
      <w:pPr>
        <w:pStyle w:val="Indenta"/>
      </w:pPr>
      <w:r>
        <w:tab/>
        <w:t>(d)</w:t>
      </w:r>
      <w:r>
        <w:tab/>
        <w:t>before “varied.”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previously 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198 is to read:</w:t>
      </w:r>
    </w:p>
    <w:p>
      <w:pPr>
        <w:pStyle w:val="SectAltHeading"/>
      </w:pPr>
      <w:r>
        <w:tab/>
      </w:r>
      <w:r>
        <w:tab/>
        <w:t>Variation of order or permit for modification of mass or dimension requirement by Commissioner</w:t>
      </w:r>
    </w:p>
    <w:p>
      <w:pPr>
        <w:pStyle w:val="Heading5"/>
      </w:pPr>
      <w:bookmarkStart w:id="37" w:name="_Toc187923430"/>
      <w:bookmarkStart w:id="38" w:name="_Toc187923817"/>
      <w:r>
        <w:rPr>
          <w:rStyle w:val="CharSectno"/>
        </w:rPr>
        <w:lastRenderedPageBreak/>
        <w:t>12</w:t>
      </w:r>
      <w:r>
        <w:t>.</w:t>
      </w:r>
      <w:r>
        <w:tab/>
        <w:t>Regulation 206 amended</w:t>
      </w:r>
      <w:bookmarkEnd w:id="37"/>
      <w:bookmarkEnd w:id="38"/>
    </w:p>
    <w:p>
      <w:pPr>
        <w:pStyle w:val="Subsection"/>
        <w:keepNext/>
      </w:pPr>
      <w:r>
        <w:tab/>
      </w:r>
      <w:r>
        <w:tab/>
        <w:t>After regulation 206(2)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If a permit is issued under section 42(1) in respect of a specified complying restricted access vehicle that is a motor vehicle made up of a combination of 2 or more vehicles, subregulation (2)(b) is taken to be satisfied if the vehicle licence number of any of the vehicles that make up the combination is specified in the permit.</w:t>
      </w:r>
    </w:p>
    <w:p>
      <w:pPr>
        <w:pStyle w:val="zSubsection"/>
      </w:pPr>
      <w:r>
        <w:tab/>
        <w:t>(4)</w:t>
      </w:r>
      <w:r>
        <w:tab/>
        <w:t>Subregulation (3) does not apply in relation to the specification in a permit of the vehicle licence number of a converter dolly.</w:t>
      </w:r>
    </w:p>
    <w:p>
      <w:pPr>
        <w:pStyle w:val="BlankClose"/>
      </w:pPr>
    </w:p>
    <w:p>
      <w:pPr>
        <w:pStyle w:val="SectAltNote"/>
      </w:pPr>
      <w:r>
        <w:tab/>
        <w:t>Note: The heading to regulation 199 is to read:</w:t>
      </w:r>
    </w:p>
    <w:p>
      <w:pPr>
        <w:pStyle w:val="SectAltHeading"/>
      </w:pPr>
      <w:r>
        <w:tab/>
      </w:r>
      <w:r>
        <w:tab/>
        <w:t>Suspension, cancellation of modification of mass or dimension requirement</w:t>
      </w:r>
    </w:p>
    <w:p>
      <w:pPr>
        <w:pStyle w:val="ByCommand"/>
      </w:pPr>
      <w:r>
        <w:t>N. HAGLEY, Clerk of the Executive Council</w:t>
      </w:r>
    </w:p>
    <w:p>
      <w:pPr>
        <w:pStyle w:val="Subsection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1F36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2E49E59" w14:textId="7BAF6F37" w:rsidR="00E27A0B" w:rsidRDefault="00E27A0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31CE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79BA873" w14:textId="77777777" w:rsidR="00E27A0B" w:rsidRDefault="00E27A0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9A481A" w14:textId="0388D605" w:rsidR="00E27A0B" w:rsidRDefault="00E27A0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31CE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CCDEE5" w14:textId="77777777" w:rsidR="00E27A0B" w:rsidRDefault="00E27A0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(Heavy Vehicle)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(Heavy Vehicle)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(Heavy Vehicle)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(Heavy Vehicle)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501161235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250928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25092837_GUID" w:val="95c459fd-5e59-4ad5-91e9-b8ddf69ffab7"/>
    <w:docVar w:name="WAFER_202501161235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23557_GUID" w:val="e1908d2f-f2a8-40f1-943f-764c2fee6d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FFCC0828-A89A-410D-911A-AAFE5CE2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1250</Words>
  <Characters>6228</Characters>
  <Application>Microsoft Office Word</Application>
  <DocSecurity>0</DocSecurity>
  <Lines>296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(Heavy Vehicle)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2025-06-13T05:23:00Z</dcterms:created>
  <dcterms:modified xsi:type="dcterms:W3CDTF">2025-06-13T05:23:00Z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54264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2025/20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