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_Toc188005399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_Toc188005400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_Toc188005401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Public notices</w:t>
      </w:r>
    </w:p>
    <w:p>
      <w:pPr>
        <w:pStyle w:val="TOC8"/>
        <w:rPr>
          <w:rFonts w:asciiTheme="minorHAnsi" w:eastAsiaTheme="minorEastAsia" w:hAnsiTheme="minorHAnsi" w:cstheme="minorBidi"/>
          <w:szCs w:val="22"/>
        </w:rPr>
      </w:pPr>
      <w:r>
        <w:t>3A.</w:t>
      </w:r>
      <w:r>
        <w:tab/>
        <w:t>Requirements for local public notice (Act s. 1.7)</w:t>
      </w:r>
      <w:r>
        <w:tab/>
      </w:r>
      <w:r>
        <w:fldChar w:fldCharType="begin"/>
      </w:r>
      <w:r>
        <w:instrText xml:space="preserve"> PAGEREF _Toc188005403 \h </w:instrText>
      </w:r>
      <w:r>
        <w:fldChar w:fldCharType="separate"/>
      </w:r>
      <w:r>
        <w:t>3</w:t>
      </w:r>
      <w:r>
        <w:fldChar w:fldCharType="end"/>
      </w:r>
    </w:p>
    <w:p>
      <w:pPr>
        <w:pStyle w:val="TOC8"/>
        <w:rPr>
          <w:rFonts w:asciiTheme="minorHAnsi" w:eastAsiaTheme="minorEastAsia" w:hAnsiTheme="minorHAnsi" w:cstheme="minorBidi"/>
          <w:szCs w:val="22"/>
        </w:rPr>
      </w:pPr>
      <w:r>
        <w:t>3B.</w:t>
      </w:r>
      <w:r>
        <w:tab/>
        <w:t>Requirements for Statewide public notice (Act s. 1.8)</w:t>
      </w:r>
      <w:r>
        <w:tab/>
      </w:r>
      <w:r>
        <w:fldChar w:fldCharType="begin"/>
      </w:r>
      <w:r>
        <w:instrText xml:space="preserve"> PAGEREF _Toc188005404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_Toc188005406 \h </w:instrText>
      </w:r>
      <w:r>
        <w:fldChar w:fldCharType="separate"/>
      </w:r>
      <w:r>
        <w:t>5</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_Toc188005407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_Toc188005408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_Toc188005409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_Toc188005410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_Toc188005411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_Toc188005412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_Toc188005413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_Toc188005414 \h </w:instrText>
      </w:r>
      <w:r>
        <w:fldChar w:fldCharType="separate"/>
      </w:r>
      <w:r>
        <w:t>9</w:t>
      </w:r>
      <w:r>
        <w:fldChar w:fldCharType="end"/>
      </w:r>
    </w:p>
    <w:p>
      <w:pPr>
        <w:pStyle w:val="TOC8"/>
        <w:rPr>
          <w:rFonts w:asciiTheme="minorHAnsi" w:eastAsiaTheme="minorEastAsia" w:hAnsiTheme="minorHAnsi" w:cstheme="minorBidi"/>
          <w:szCs w:val="22"/>
        </w:rPr>
      </w:pPr>
      <w:r>
        <w:t>12.</w:t>
      </w:r>
      <w:r>
        <w:tab/>
        <w:t>Publication of meeting details (Act s. 5.25(1)(g))</w:t>
      </w:r>
      <w:r>
        <w:tab/>
      </w:r>
      <w:r>
        <w:fldChar w:fldCharType="begin"/>
      </w:r>
      <w:r>
        <w:instrText xml:space="preserve"> PAGEREF _Toc188005415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tab/>
        <w:t>Publication of unconfirmed minutes of meetings (Act s. 5.25(1)(i))</w:t>
      </w:r>
      <w:r>
        <w:tab/>
      </w:r>
      <w:r>
        <w:fldChar w:fldCharType="begin"/>
      </w:r>
      <w:r>
        <w:instrText xml:space="preserve"> PAGEREF _Toc188005416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_Toc188005417 \h </w:instrText>
      </w:r>
      <w:r>
        <w:fldChar w:fldCharType="separate"/>
      </w:r>
      <w:r>
        <w:t>11</w:t>
      </w:r>
      <w:r>
        <w:fldChar w:fldCharType="end"/>
      </w:r>
    </w:p>
    <w:p>
      <w:pPr>
        <w:pStyle w:val="TOC8"/>
        <w:rPr>
          <w:rFonts w:asciiTheme="minorHAnsi" w:eastAsiaTheme="minorEastAsia" w:hAnsiTheme="minorHAnsi" w:cstheme="minorBidi"/>
          <w:szCs w:val="22"/>
        </w:rPr>
      </w:pPr>
      <w:r>
        <w:t>14C.</w:t>
      </w:r>
      <w:r>
        <w:tab/>
        <w:t>Attendance at meetings by electronic means may be authorised (Act s. 5.25(1)(ba))</w:t>
      </w:r>
      <w:r>
        <w:tab/>
      </w:r>
      <w:r>
        <w:fldChar w:fldCharType="begin"/>
      </w:r>
      <w:r>
        <w:instrText xml:space="preserve"> PAGEREF _Toc188005418 \h </w:instrText>
      </w:r>
      <w:r>
        <w:fldChar w:fldCharType="separate"/>
      </w:r>
      <w:r>
        <w:t>12</w:t>
      </w:r>
      <w:r>
        <w:fldChar w:fldCharType="end"/>
      </w:r>
    </w:p>
    <w:p>
      <w:pPr>
        <w:pStyle w:val="TOC8"/>
        <w:rPr>
          <w:rFonts w:asciiTheme="minorHAnsi" w:eastAsiaTheme="minorEastAsia" w:hAnsiTheme="minorHAnsi" w:cstheme="minorBidi"/>
          <w:szCs w:val="22"/>
        </w:rPr>
      </w:pPr>
      <w:r>
        <w:t>14CA.</w:t>
      </w:r>
      <w:r>
        <w:tab/>
        <w:t>Provisions relating to attendance at meetings by electronic means (Act s. 5.25(1)(ba))</w:t>
      </w:r>
      <w:r>
        <w:tab/>
      </w:r>
      <w:r>
        <w:fldChar w:fldCharType="begin"/>
      </w:r>
      <w:r>
        <w:instrText xml:space="preserve"> PAGEREF _Toc188005419 \h </w:instrText>
      </w:r>
      <w:r>
        <w:fldChar w:fldCharType="separate"/>
      </w:r>
      <w:r>
        <w:t>13</w:t>
      </w:r>
      <w:r>
        <w:fldChar w:fldCharType="end"/>
      </w:r>
    </w:p>
    <w:p>
      <w:pPr>
        <w:pStyle w:val="TOC8"/>
        <w:rPr>
          <w:rFonts w:asciiTheme="minorHAnsi" w:eastAsiaTheme="minorEastAsia" w:hAnsiTheme="minorHAnsi" w:cstheme="minorBidi"/>
          <w:szCs w:val="22"/>
        </w:rPr>
      </w:pPr>
      <w:r>
        <w:t>14D.</w:t>
      </w:r>
      <w:r>
        <w:tab/>
        <w:t>Meetings held by electronic means (Act s. 5.25(1)(ba))</w:t>
      </w:r>
      <w:r>
        <w:tab/>
      </w:r>
      <w:r>
        <w:fldChar w:fldCharType="begin"/>
      </w:r>
      <w:r>
        <w:instrText xml:space="preserve"> PAGEREF _Toc188005420 \h </w:instrText>
      </w:r>
      <w:r>
        <w:fldChar w:fldCharType="separate"/>
      </w:r>
      <w:r>
        <w:t>14</w:t>
      </w:r>
      <w:r>
        <w:fldChar w:fldCharType="end"/>
      </w:r>
    </w:p>
    <w:p>
      <w:pPr>
        <w:pStyle w:val="TOC8"/>
        <w:rPr>
          <w:rFonts w:asciiTheme="minorHAnsi" w:eastAsiaTheme="minorEastAsia" w:hAnsiTheme="minorHAnsi" w:cstheme="minorBidi"/>
          <w:szCs w:val="22"/>
        </w:rPr>
      </w:pPr>
      <w:r>
        <w:t>14E.</w:t>
      </w:r>
      <w:r>
        <w:tab/>
        <w:t>Modification of Act if meeting held by electronic means (Act s. 5.25(2))</w:t>
      </w:r>
      <w:r>
        <w:tab/>
      </w:r>
      <w:r>
        <w:fldChar w:fldCharType="begin"/>
      </w:r>
      <w:r>
        <w:instrText xml:space="preserve"> PAGEREF _Toc188005421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2A — Electronic broadcasting and video or audio recording of council meetings (Act s. 5.23A)</w:t>
      </w:r>
    </w:p>
    <w:p>
      <w:pPr>
        <w:pStyle w:val="TOC8"/>
        <w:rPr>
          <w:rFonts w:asciiTheme="minorHAnsi" w:eastAsiaTheme="minorEastAsia" w:hAnsiTheme="minorHAnsi" w:cstheme="minorBidi"/>
          <w:szCs w:val="22"/>
        </w:rPr>
      </w:pPr>
      <w:r>
        <w:t>14F.</w:t>
      </w:r>
      <w:r>
        <w:tab/>
        <w:t>Application of Part</w:t>
      </w:r>
      <w:r>
        <w:tab/>
      </w:r>
      <w:r>
        <w:fldChar w:fldCharType="begin"/>
      </w:r>
      <w:r>
        <w:instrText xml:space="preserve"> PAGEREF _Toc188005423 \h </w:instrText>
      </w:r>
      <w:r>
        <w:fldChar w:fldCharType="separate"/>
      </w:r>
      <w:r>
        <w:t>20</w:t>
      </w:r>
      <w:r>
        <w:fldChar w:fldCharType="end"/>
      </w:r>
    </w:p>
    <w:p>
      <w:pPr>
        <w:pStyle w:val="TOC8"/>
        <w:rPr>
          <w:rFonts w:asciiTheme="minorHAnsi" w:eastAsiaTheme="minorEastAsia" w:hAnsiTheme="minorHAnsi" w:cstheme="minorBidi"/>
          <w:szCs w:val="22"/>
        </w:rPr>
      </w:pPr>
      <w:r>
        <w:t>14G.</w:t>
      </w:r>
      <w:r>
        <w:tab/>
        <w:t>Terms used</w:t>
      </w:r>
      <w:r>
        <w:tab/>
      </w:r>
      <w:r>
        <w:fldChar w:fldCharType="begin"/>
      </w:r>
      <w:r>
        <w:instrText xml:space="preserve"> PAGEREF _Toc188005424 \h </w:instrText>
      </w:r>
      <w:r>
        <w:fldChar w:fldCharType="separate"/>
      </w:r>
      <w:r>
        <w:t>20</w:t>
      </w:r>
      <w:r>
        <w:fldChar w:fldCharType="end"/>
      </w:r>
    </w:p>
    <w:p>
      <w:pPr>
        <w:pStyle w:val="TOC8"/>
        <w:rPr>
          <w:rFonts w:asciiTheme="minorHAnsi" w:eastAsiaTheme="minorEastAsia" w:hAnsiTheme="minorHAnsi" w:cstheme="minorBidi"/>
          <w:szCs w:val="22"/>
        </w:rPr>
      </w:pPr>
      <w:r>
        <w:t>14H.</w:t>
      </w:r>
      <w:r>
        <w:tab/>
        <w:t>Class 1 local governments and class 2 local governments to broadcast council meetings publicly</w:t>
      </w:r>
      <w:r>
        <w:tab/>
      </w:r>
      <w:r>
        <w:fldChar w:fldCharType="begin"/>
      </w:r>
      <w:r>
        <w:instrText xml:space="preserve"> PAGEREF _Toc188005425 \h </w:instrText>
      </w:r>
      <w:r>
        <w:fldChar w:fldCharType="separate"/>
      </w:r>
      <w:r>
        <w:t>22</w:t>
      </w:r>
      <w:r>
        <w:fldChar w:fldCharType="end"/>
      </w:r>
    </w:p>
    <w:p>
      <w:pPr>
        <w:pStyle w:val="TOC8"/>
        <w:rPr>
          <w:rFonts w:asciiTheme="minorHAnsi" w:eastAsiaTheme="minorEastAsia" w:hAnsiTheme="minorHAnsi" w:cstheme="minorBidi"/>
          <w:szCs w:val="22"/>
        </w:rPr>
      </w:pPr>
      <w:r>
        <w:t>14I.</w:t>
      </w:r>
      <w:r>
        <w:tab/>
        <w:t>Local governments to make recordings of council meetings</w:t>
      </w:r>
      <w:r>
        <w:tab/>
      </w:r>
      <w:r>
        <w:fldChar w:fldCharType="begin"/>
      </w:r>
      <w:r>
        <w:instrText xml:space="preserve"> PAGEREF _Toc188005426 \h </w:instrText>
      </w:r>
      <w:r>
        <w:fldChar w:fldCharType="separate"/>
      </w:r>
      <w:r>
        <w:t>23</w:t>
      </w:r>
      <w:r>
        <w:fldChar w:fldCharType="end"/>
      </w:r>
    </w:p>
    <w:p>
      <w:pPr>
        <w:pStyle w:val="TOC8"/>
        <w:rPr>
          <w:rFonts w:asciiTheme="minorHAnsi" w:eastAsiaTheme="minorEastAsia" w:hAnsiTheme="minorHAnsi" w:cstheme="minorBidi"/>
          <w:szCs w:val="22"/>
        </w:rPr>
      </w:pPr>
      <w:r>
        <w:t>14J.</w:t>
      </w:r>
      <w:r>
        <w:tab/>
        <w:t>Informing members of public of broadcasting or recording</w:t>
      </w:r>
      <w:r>
        <w:tab/>
      </w:r>
      <w:r>
        <w:fldChar w:fldCharType="begin"/>
      </w:r>
      <w:r>
        <w:instrText xml:space="preserve"> PAGEREF _Toc188005427 \h </w:instrText>
      </w:r>
      <w:r>
        <w:fldChar w:fldCharType="separate"/>
      </w:r>
      <w:r>
        <w:t>27</w:t>
      </w:r>
      <w:r>
        <w:fldChar w:fldCharType="end"/>
      </w:r>
    </w:p>
    <w:p>
      <w:pPr>
        <w:pStyle w:val="TOC8"/>
        <w:rPr>
          <w:rFonts w:asciiTheme="minorHAnsi" w:eastAsiaTheme="minorEastAsia" w:hAnsiTheme="minorHAnsi" w:cstheme="minorBidi"/>
          <w:szCs w:val="22"/>
        </w:rPr>
      </w:pPr>
      <w:r>
        <w:t>14K.</w:t>
      </w:r>
      <w:r>
        <w:tab/>
        <w:t>Defamation</w:t>
      </w:r>
      <w:r>
        <w:tab/>
      </w:r>
      <w:r>
        <w:fldChar w:fldCharType="begin"/>
      </w:r>
      <w:r>
        <w:instrText xml:space="preserve"> PAGEREF _Toc188005428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_Toc188005430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_Toc188005431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_Toc188005432 \h </w:instrText>
      </w:r>
      <w:r>
        <w:fldChar w:fldCharType="separate"/>
      </w:r>
      <w:r>
        <w:t>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_Toc188005433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_Toc188005435 \h </w:instrText>
      </w:r>
      <w:r>
        <w:fldChar w:fldCharType="separate"/>
      </w:r>
      <w:r>
        <w:t>29</w:t>
      </w:r>
      <w:r>
        <w:fldChar w:fldCharType="end"/>
      </w:r>
    </w:p>
    <w:p>
      <w:pPr>
        <w:pStyle w:val="TOC8"/>
        <w:rPr>
          <w:rFonts w:asciiTheme="minorHAnsi" w:eastAsiaTheme="minorEastAsia" w:hAnsiTheme="minorHAnsi" w:cstheme="minorBidi"/>
          <w:szCs w:val="22"/>
        </w:rPr>
      </w:pPr>
      <w:r>
        <w:lastRenderedPageBreak/>
        <w:t>18B.</w:t>
      </w:r>
      <w:r>
        <w:tab/>
        <w:t>Contracts of CEOs and senior employees, content of (Act s. 5.39(3)(c))</w:t>
      </w:r>
      <w:r>
        <w:tab/>
      </w:r>
      <w:r>
        <w:fldChar w:fldCharType="begin"/>
      </w:r>
      <w:r>
        <w:instrText xml:space="preserve"> PAGEREF _Toc188005436 \h </w:instrText>
      </w:r>
      <w:r>
        <w:fldChar w:fldCharType="separate"/>
      </w:r>
      <w:r>
        <w:t>30</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_Toc188005437 \h </w:instrText>
      </w:r>
      <w:r>
        <w:fldChar w:fldCharType="separate"/>
      </w:r>
      <w:r>
        <w:t>30</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_Toc188005438 \h </w:instrText>
      </w:r>
      <w:r>
        <w:fldChar w:fldCharType="separate"/>
      </w:r>
      <w:r>
        <w:t>31</w:t>
      </w:r>
      <w:r>
        <w:fldChar w:fldCharType="end"/>
      </w:r>
    </w:p>
    <w:p>
      <w:pPr>
        <w:pStyle w:val="TOC8"/>
        <w:rPr>
          <w:rFonts w:asciiTheme="minorHAnsi" w:eastAsiaTheme="minorEastAsia" w:hAnsiTheme="minorHAnsi" w:cstheme="minorBidi"/>
          <w:szCs w:val="22"/>
        </w:rPr>
      </w:pPr>
      <w:r>
        <w:t>18FA.</w:t>
      </w:r>
      <w:r>
        <w:tab/>
        <w:t>Model standards for CEO recruitment, performance and termination (Act s. 5.39A(1))</w:t>
      </w:r>
      <w:r>
        <w:tab/>
      </w:r>
      <w:r>
        <w:fldChar w:fldCharType="begin"/>
      </w:r>
      <w:r>
        <w:instrText xml:space="preserve"> PAGEREF _Toc188005439 \h </w:instrText>
      </w:r>
      <w:r>
        <w:fldChar w:fldCharType="separate"/>
      </w:r>
      <w:r>
        <w:t>31</w:t>
      </w:r>
      <w:r>
        <w:fldChar w:fldCharType="end"/>
      </w:r>
    </w:p>
    <w:p>
      <w:pPr>
        <w:pStyle w:val="TOC8"/>
        <w:rPr>
          <w:rFonts w:asciiTheme="minorHAnsi" w:eastAsiaTheme="minorEastAsia" w:hAnsiTheme="minorHAnsi" w:cstheme="minorBidi"/>
          <w:szCs w:val="22"/>
        </w:rPr>
      </w:pPr>
      <w:r>
        <w:t>18FB.</w:t>
      </w:r>
      <w:r>
        <w:tab/>
        <w:t>Certification of compliance with adopted standards for CEO recruitment (Act s. 5.39B(7))</w:t>
      </w:r>
      <w:r>
        <w:tab/>
      </w:r>
      <w:r>
        <w:fldChar w:fldCharType="begin"/>
      </w:r>
      <w:r>
        <w:instrText xml:space="preserve"> PAGEREF _Toc188005440 \h </w:instrText>
      </w:r>
      <w:r>
        <w:fldChar w:fldCharType="separate"/>
      </w:r>
      <w:r>
        <w:t>31</w:t>
      </w:r>
      <w:r>
        <w:fldChar w:fldCharType="end"/>
      </w:r>
    </w:p>
    <w:p>
      <w:pPr>
        <w:pStyle w:val="TOC8"/>
        <w:rPr>
          <w:rFonts w:asciiTheme="minorHAnsi" w:eastAsiaTheme="minorEastAsia" w:hAnsiTheme="minorHAnsi" w:cstheme="minorBidi"/>
          <w:szCs w:val="22"/>
        </w:rPr>
      </w:pPr>
      <w:r>
        <w:t>18FC.</w:t>
      </w:r>
      <w:r>
        <w:tab/>
        <w:t>Certification of compliance with adopted standards for CEO termination (Act s. 5.39B(7))</w:t>
      </w:r>
      <w:r>
        <w:tab/>
      </w:r>
      <w:r>
        <w:fldChar w:fldCharType="begin"/>
      </w:r>
      <w:r>
        <w:instrText xml:space="preserve"> PAGEREF _Toc188005441 \h </w:instrText>
      </w:r>
      <w:r>
        <w:fldChar w:fldCharType="separate"/>
      </w:r>
      <w:r>
        <w:t>32</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_Toc188005442 \h </w:instrText>
      </w:r>
      <w:r>
        <w:fldChar w:fldCharType="separate"/>
      </w:r>
      <w:r>
        <w:t>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_Toc188005443 \h </w:instrText>
      </w:r>
      <w:r>
        <w:fldChar w:fldCharType="separate"/>
      </w:r>
      <w:r>
        <w:t>33</w:t>
      </w:r>
      <w:r>
        <w:fldChar w:fldCharType="end"/>
      </w:r>
    </w:p>
    <w:p>
      <w:pPr>
        <w:pStyle w:val="TOC8"/>
        <w:rPr>
          <w:rFonts w:asciiTheme="minorHAnsi" w:eastAsiaTheme="minorEastAsia" w:hAnsiTheme="minorHAnsi" w:cstheme="minorBidi"/>
          <w:szCs w:val="22"/>
        </w:rPr>
      </w:pPr>
      <w:r>
        <w:t>19A.</w:t>
      </w:r>
      <w:r>
        <w:tab/>
        <w:t>Payments in addition to contract or award, limits of (Act s. 5.50(3))</w:t>
      </w:r>
      <w:r>
        <w:tab/>
      </w:r>
      <w:r>
        <w:fldChar w:fldCharType="begin"/>
      </w:r>
      <w:r>
        <w:instrText xml:space="preserve"> PAGEREF _Toc188005444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Codes of conduct for local government employees (Act s. 5.51A(4))</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19AA.</w:t>
      </w:r>
      <w:r>
        <w:tab/>
        <w:t>Terms used</w:t>
      </w:r>
      <w:r>
        <w:tab/>
      </w:r>
      <w:r>
        <w:fldChar w:fldCharType="begin"/>
      </w:r>
      <w:r>
        <w:instrText xml:space="preserve"> PAGEREF _Toc188005447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Content of codes of conduct</w:t>
      </w:r>
    </w:p>
    <w:p>
      <w:pPr>
        <w:pStyle w:val="TOC8"/>
        <w:rPr>
          <w:rFonts w:asciiTheme="minorHAnsi" w:eastAsiaTheme="minorEastAsia" w:hAnsiTheme="minorHAnsi" w:cstheme="minorBidi"/>
          <w:szCs w:val="22"/>
        </w:rPr>
      </w:pPr>
      <w:r>
        <w:t>19AB.</w:t>
      </w:r>
      <w:r>
        <w:tab/>
        <w:t>Prohibited gifts</w:t>
      </w:r>
      <w:r>
        <w:tab/>
      </w:r>
      <w:r>
        <w:fldChar w:fldCharType="begin"/>
      </w:r>
      <w:r>
        <w:instrText xml:space="preserve"> PAGEREF _Toc188005449 \h </w:instrText>
      </w:r>
      <w:r>
        <w:fldChar w:fldCharType="separate"/>
      </w:r>
      <w:r>
        <w:t>37</w:t>
      </w:r>
      <w:r>
        <w:fldChar w:fldCharType="end"/>
      </w:r>
    </w:p>
    <w:p>
      <w:pPr>
        <w:pStyle w:val="TOC8"/>
        <w:rPr>
          <w:rFonts w:asciiTheme="minorHAnsi" w:eastAsiaTheme="minorEastAsia" w:hAnsiTheme="minorHAnsi" w:cstheme="minorBidi"/>
          <w:szCs w:val="22"/>
        </w:rPr>
      </w:pPr>
      <w:r>
        <w:t>19AC.</w:t>
      </w:r>
      <w:r>
        <w:tab/>
        <w:t>Recording, storing, disclosure and use of information relating to gifts</w:t>
      </w:r>
      <w:r>
        <w:tab/>
      </w:r>
      <w:r>
        <w:fldChar w:fldCharType="begin"/>
      </w:r>
      <w:r>
        <w:instrText xml:space="preserve"> PAGEREF _Toc188005450 \h </w:instrText>
      </w:r>
      <w:r>
        <w:fldChar w:fldCharType="separate"/>
      </w:r>
      <w:r>
        <w:t>37</w:t>
      </w:r>
      <w:r>
        <w:fldChar w:fldCharType="end"/>
      </w:r>
    </w:p>
    <w:p>
      <w:pPr>
        <w:pStyle w:val="TOC8"/>
        <w:rPr>
          <w:rFonts w:asciiTheme="minorHAnsi" w:eastAsiaTheme="minorEastAsia" w:hAnsiTheme="minorHAnsi" w:cstheme="minorBidi"/>
          <w:szCs w:val="22"/>
        </w:rPr>
      </w:pPr>
      <w:r>
        <w:t>19AD.</w:t>
      </w:r>
      <w:r>
        <w:tab/>
        <w:t>Conflicts of interest</w:t>
      </w:r>
      <w:r>
        <w:tab/>
      </w:r>
      <w:r>
        <w:fldChar w:fldCharType="begin"/>
      </w:r>
      <w:r>
        <w:instrText xml:space="preserve"> PAGEREF _Toc188005451 \h </w:instrText>
      </w:r>
      <w:r>
        <w:fldChar w:fldCharType="separate"/>
      </w:r>
      <w:r>
        <w:t>37</w:t>
      </w:r>
      <w:r>
        <w:fldChar w:fldCharType="end"/>
      </w:r>
    </w:p>
    <w:p>
      <w:pPr>
        <w:pStyle w:val="TOC8"/>
        <w:rPr>
          <w:rFonts w:asciiTheme="minorHAnsi" w:eastAsiaTheme="minorEastAsia" w:hAnsiTheme="minorHAnsi" w:cstheme="minorBidi"/>
          <w:szCs w:val="22"/>
        </w:rPr>
      </w:pPr>
      <w:r>
        <w:t>19AE.</w:t>
      </w:r>
      <w:r>
        <w:tab/>
        <w:t>Other matters codes of conduct must deal with</w:t>
      </w:r>
      <w:r>
        <w:tab/>
      </w:r>
      <w:r>
        <w:fldChar w:fldCharType="begin"/>
      </w:r>
      <w:r>
        <w:instrText xml:space="preserve"> PAGEREF _Toc188005452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Other matter in relation to codes of conduct</w:t>
      </w:r>
    </w:p>
    <w:p>
      <w:pPr>
        <w:pStyle w:val="TOC8"/>
        <w:rPr>
          <w:rFonts w:asciiTheme="minorHAnsi" w:eastAsiaTheme="minorEastAsia" w:hAnsiTheme="minorHAnsi" w:cstheme="minorBidi"/>
          <w:szCs w:val="22"/>
        </w:rPr>
      </w:pPr>
      <w:r>
        <w:t>19AF.</w:t>
      </w:r>
      <w:r>
        <w:tab/>
        <w:t>Determination of threshold amount</w:t>
      </w:r>
      <w:r>
        <w:tab/>
      </w:r>
      <w:r>
        <w:fldChar w:fldCharType="begin"/>
      </w:r>
      <w:r>
        <w:instrText xml:space="preserve"> PAGEREF _Toc188005454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Annual reports and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_Toc188005457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Annual reports</w:t>
      </w:r>
    </w:p>
    <w:p>
      <w:pPr>
        <w:pStyle w:val="TOC8"/>
        <w:rPr>
          <w:rFonts w:asciiTheme="minorHAnsi" w:eastAsiaTheme="minorEastAsia" w:hAnsiTheme="minorHAnsi" w:cstheme="minorBidi"/>
          <w:szCs w:val="22"/>
        </w:rPr>
      </w:pPr>
      <w:r>
        <w:t>19B.</w:t>
      </w:r>
      <w:r>
        <w:tab/>
        <w:t>Information to be included in annual report (Act s. 5.53(2)(g) and (i))</w:t>
      </w:r>
      <w:r>
        <w:tab/>
      </w:r>
      <w:r>
        <w:fldChar w:fldCharType="begin"/>
      </w:r>
      <w:r>
        <w:instrText xml:space="preserve"> PAGEREF _Toc188005459 \h </w:instrText>
      </w:r>
      <w:r>
        <w:fldChar w:fldCharType="separate"/>
      </w:r>
      <w:r>
        <w:t>41</w:t>
      </w:r>
      <w:r>
        <w:fldChar w:fldCharType="end"/>
      </w:r>
    </w:p>
    <w:p>
      <w:pPr>
        <w:pStyle w:val="TOC8"/>
        <w:rPr>
          <w:rFonts w:asciiTheme="minorHAnsi" w:eastAsiaTheme="minorEastAsia" w:hAnsiTheme="minorHAnsi" w:cstheme="minorBidi"/>
          <w:szCs w:val="22"/>
        </w:rPr>
      </w:pPr>
      <w:r>
        <w:t>19BB.</w:t>
      </w:r>
      <w:r>
        <w:tab/>
        <w:t>Information about trading undertakings to be included in annual report (Act s. 5.53(2)(i))</w:t>
      </w:r>
      <w:r>
        <w:tab/>
      </w:r>
      <w:r>
        <w:fldChar w:fldCharType="begin"/>
      </w:r>
      <w:r>
        <w:instrText xml:space="preserve"> PAGEREF _Toc188005460 \h </w:instrText>
      </w:r>
      <w:r>
        <w:fldChar w:fldCharType="separate"/>
      </w:r>
      <w:r>
        <w:t>43</w:t>
      </w:r>
      <w:r>
        <w:fldChar w:fldCharType="end"/>
      </w:r>
    </w:p>
    <w:p>
      <w:pPr>
        <w:pStyle w:val="TOC8"/>
        <w:rPr>
          <w:rFonts w:asciiTheme="minorHAnsi" w:eastAsiaTheme="minorEastAsia" w:hAnsiTheme="minorHAnsi" w:cstheme="minorBidi"/>
          <w:szCs w:val="22"/>
        </w:rPr>
      </w:pPr>
      <w:r>
        <w:t>19BC.</w:t>
      </w:r>
      <w:r>
        <w:tab/>
        <w:t>Information about land transactions to be included in annual report (Act s. 5.53(2)(i))</w:t>
      </w:r>
      <w:r>
        <w:tab/>
      </w:r>
      <w:r>
        <w:fldChar w:fldCharType="begin"/>
      </w:r>
      <w:r>
        <w:instrText xml:space="preserve"> PAGEREF _Toc188005461 \h </w:instrText>
      </w:r>
      <w:r>
        <w:fldChar w:fldCharType="separate"/>
      </w:r>
      <w:r>
        <w:t>44</w:t>
      </w:r>
      <w:r>
        <w:fldChar w:fldCharType="end"/>
      </w:r>
    </w:p>
    <w:p>
      <w:pPr>
        <w:pStyle w:val="TOC8"/>
        <w:rPr>
          <w:rFonts w:asciiTheme="minorHAnsi" w:eastAsiaTheme="minorEastAsia" w:hAnsiTheme="minorHAnsi" w:cstheme="minorBidi"/>
          <w:szCs w:val="22"/>
        </w:rPr>
      </w:pPr>
      <w:r>
        <w:t>19BD.</w:t>
      </w:r>
      <w:r>
        <w:tab/>
        <w:t>Information about fees, expenses and allowances to be included in annual report (Act s. 5.53(2)(i))</w:t>
      </w:r>
      <w:r>
        <w:tab/>
      </w:r>
      <w:r>
        <w:fldChar w:fldCharType="begin"/>
      </w:r>
      <w:r>
        <w:instrText xml:space="preserve"> PAGEREF _Toc188005462 \h </w:instrText>
      </w:r>
      <w:r>
        <w:fldChar w:fldCharType="separate"/>
      </w:r>
      <w:r>
        <w:t>45</w:t>
      </w:r>
      <w:r>
        <w:fldChar w:fldCharType="end"/>
      </w:r>
    </w:p>
    <w:p>
      <w:pPr>
        <w:pStyle w:val="TOC8"/>
        <w:rPr>
          <w:rFonts w:asciiTheme="minorHAnsi" w:eastAsiaTheme="minorEastAsia" w:hAnsiTheme="minorHAnsi" w:cstheme="minorBidi"/>
          <w:szCs w:val="22"/>
        </w:rPr>
      </w:pPr>
      <w:r>
        <w:t>19BE.</w:t>
      </w:r>
      <w:r>
        <w:tab/>
        <w:t>Information about capital grants, subsidies and contributions to be included in annual report (Act s. 5.53(2)(i))</w:t>
      </w:r>
      <w:r>
        <w:tab/>
      </w:r>
      <w:r>
        <w:fldChar w:fldCharType="begin"/>
      </w:r>
      <w:r>
        <w:instrText xml:space="preserve"> PAGEREF _Toc188005463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_Toc188005465 \h </w:instrText>
      </w:r>
      <w:r>
        <w:fldChar w:fldCharType="separate"/>
      </w:r>
      <w:r>
        <w:t>46</w:t>
      </w:r>
      <w:r>
        <w:fldChar w:fldCharType="end"/>
      </w:r>
    </w:p>
    <w:p>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_Toc188005466 \h </w:instrText>
      </w:r>
      <w:r>
        <w:fldChar w:fldCharType="separate"/>
      </w:r>
      <w:r>
        <w:t>48</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_Toc188005467 \h </w:instrText>
      </w:r>
      <w:r>
        <w:fldChar w:fldCharType="separate"/>
      </w:r>
      <w:r>
        <w:t>49</w:t>
      </w:r>
      <w:r>
        <w:fldChar w:fldCharType="end"/>
      </w:r>
    </w:p>
    <w:p>
      <w:pPr>
        <w:pStyle w:val="TOC8"/>
        <w:rPr>
          <w:rFonts w:asciiTheme="minorHAnsi" w:eastAsiaTheme="minorEastAsia" w:hAnsiTheme="minorHAnsi" w:cstheme="minorBidi"/>
          <w:szCs w:val="22"/>
        </w:rPr>
      </w:pPr>
      <w:r>
        <w:t>19D.</w:t>
      </w:r>
      <w:r>
        <w:tab/>
        <w:t>Public notice of adoption of strategic community plan</w:t>
      </w:r>
      <w:r>
        <w:tab/>
      </w:r>
      <w:r>
        <w:fldChar w:fldCharType="begin"/>
      </w:r>
      <w:r>
        <w:instrText xml:space="preserve"> PAGEREF _Toc188005468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financial interests and gifts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_Toc188005470 \h </w:instrText>
      </w:r>
      <w:r>
        <w:fldChar w:fldCharType="separate"/>
      </w:r>
      <w:r>
        <w:t>51</w:t>
      </w:r>
      <w:r>
        <w:fldChar w:fldCharType="end"/>
      </w:r>
    </w:p>
    <w:p>
      <w:pPr>
        <w:pStyle w:val="TOC8"/>
        <w:rPr>
          <w:rFonts w:asciiTheme="minorHAnsi" w:eastAsiaTheme="minorEastAsia" w:hAnsiTheme="minorHAnsi" w:cstheme="minorBidi"/>
          <w:szCs w:val="22"/>
        </w:rPr>
      </w:pPr>
      <w:r>
        <w:t>20A.</w:t>
      </w:r>
      <w:r>
        <w:tab/>
        <w:t>Amounts relating to gifts prescribed (Act s. 5.62(1A), 5.68(1C), 5.71B(2) and (4), 5.87A(3) and 5.87B(3))</w:t>
      </w:r>
      <w:r>
        <w:tab/>
      </w:r>
      <w:r>
        <w:fldChar w:fldCharType="begin"/>
      </w:r>
      <w:r>
        <w:instrText xml:space="preserve"> PAGEREF _Toc188005471 \h </w:instrText>
      </w:r>
      <w:r>
        <w:fldChar w:fldCharType="separate"/>
      </w:r>
      <w:r>
        <w:t>51</w:t>
      </w:r>
      <w:r>
        <w:fldChar w:fldCharType="end"/>
      </w:r>
    </w:p>
    <w:p>
      <w:pPr>
        <w:pStyle w:val="TOC8"/>
        <w:rPr>
          <w:rFonts w:asciiTheme="minorHAnsi" w:eastAsiaTheme="minorEastAsia" w:hAnsiTheme="minorHAnsi" w:cstheme="minorBidi"/>
          <w:szCs w:val="22"/>
        </w:rPr>
      </w:pPr>
      <w:r>
        <w:t>20B.</w:t>
      </w:r>
      <w:r>
        <w:tab/>
        <w:t>Excluded gifts prescribed (Act s. 5.62(1B)(b))</w:t>
      </w:r>
      <w:r>
        <w:tab/>
      </w:r>
      <w:r>
        <w:fldChar w:fldCharType="begin"/>
      </w:r>
      <w:r>
        <w:instrText xml:space="preserve"> PAGEREF _Toc188005472 \h </w:instrText>
      </w:r>
      <w:r>
        <w:fldChar w:fldCharType="separate"/>
      </w:r>
      <w:r>
        <w:t>52</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_Toc188005473 \h </w:instrText>
      </w:r>
      <w:r>
        <w:fldChar w:fldCharType="separate"/>
      </w:r>
      <w:r>
        <w:t>52</w:t>
      </w:r>
      <w:r>
        <w:fldChar w:fldCharType="end"/>
      </w:r>
    </w:p>
    <w:p>
      <w:pPr>
        <w:pStyle w:val="TOC8"/>
        <w:rPr>
          <w:rFonts w:asciiTheme="minorHAnsi" w:eastAsiaTheme="minorEastAsia" w:hAnsiTheme="minorHAnsi" w:cstheme="minorBidi"/>
          <w:szCs w:val="22"/>
        </w:rPr>
      </w:pPr>
      <w:r>
        <w:t>21A.</w:t>
      </w:r>
      <w:r>
        <w:tab/>
        <w:t>Information to be recorded in minutes of meeting (Act s. 5.68(2)(b))</w:t>
      </w:r>
      <w:r>
        <w:tab/>
      </w:r>
      <w:r>
        <w:fldChar w:fldCharType="begin"/>
      </w:r>
      <w:r>
        <w:instrText xml:space="preserve"> PAGEREF _Toc188005474 \h </w:instrText>
      </w:r>
      <w:r>
        <w:fldChar w:fldCharType="separate"/>
      </w:r>
      <w:r>
        <w:t>54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_Toc188005475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_Toc188005476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_Toc188005477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_Toc188005478 \h </w:instrText>
      </w:r>
      <w:r>
        <w:fldChar w:fldCharType="separate"/>
      </w:r>
      <w:r>
        <w:t>54</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_Toc188005479 \h </w:instrText>
      </w:r>
      <w:r>
        <w:fldChar w:fldCharType="separate"/>
      </w:r>
      <w:r>
        <w:t>55</w:t>
      </w:r>
      <w:r>
        <w:fldChar w:fldCharType="end"/>
      </w:r>
    </w:p>
    <w:p>
      <w:pPr>
        <w:pStyle w:val="TOC8"/>
        <w:rPr>
          <w:rFonts w:asciiTheme="minorHAnsi" w:eastAsiaTheme="minorEastAsia" w:hAnsiTheme="minorHAnsi" w:cstheme="minorBidi"/>
          <w:szCs w:val="22"/>
        </w:rPr>
      </w:pPr>
      <w:r>
        <w:t>28A.</w:t>
      </w:r>
      <w:r>
        <w:tab/>
        <w:t>Register of gifts (Act s. 5.89A(3))</w:t>
      </w:r>
      <w:r>
        <w:tab/>
      </w:r>
      <w:r>
        <w:fldChar w:fldCharType="begin"/>
      </w:r>
      <w:r>
        <w:instrText xml:space="preserve"> PAGEREF _Toc188005480 \h </w:instrText>
      </w:r>
      <w:r>
        <w:fldChar w:fldCharType="separate"/>
      </w:r>
      <w:r>
        <w:t>55</w:t>
      </w:r>
      <w:r>
        <w:fldChar w:fldCharType="end"/>
      </w:r>
    </w:p>
    <w:p>
      <w:pPr>
        <w:pStyle w:val="TOC8"/>
        <w:rPr>
          <w:rFonts w:asciiTheme="minorHAnsi" w:eastAsiaTheme="minorEastAsia" w:hAnsiTheme="minorHAnsi" w:cstheme="minorBidi"/>
          <w:szCs w:val="22"/>
        </w:rPr>
      </w:pPr>
      <w:r>
        <w:t>28B.</w:t>
      </w:r>
      <w:r>
        <w:tab/>
        <w:t>Transitional provision for register of gifts</w:t>
      </w:r>
      <w:r>
        <w:tab/>
      </w:r>
      <w:r>
        <w:fldChar w:fldCharType="begin"/>
      </w:r>
      <w:r>
        <w:instrText xml:space="preserve"> PAGEREF _Toc188005481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_Toc188005483 \h </w:instrText>
      </w:r>
      <w:r>
        <w:fldChar w:fldCharType="separate"/>
      </w:r>
      <w:r>
        <w:t>57</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_Toc188005484 \h </w:instrText>
      </w:r>
      <w:r>
        <w:fldChar w:fldCharType="separate"/>
      </w:r>
      <w:r>
        <w:t>58</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_Toc188005485 \h </w:instrText>
      </w:r>
      <w:r>
        <w:fldChar w:fldCharType="separate"/>
      </w:r>
      <w:r>
        <w:t>58</w:t>
      </w:r>
      <w:r>
        <w:fldChar w:fldCharType="end"/>
      </w:r>
    </w:p>
    <w:p>
      <w:pPr>
        <w:pStyle w:val="TOC8"/>
        <w:rPr>
          <w:rFonts w:asciiTheme="minorHAnsi" w:eastAsiaTheme="minorEastAsia" w:hAnsiTheme="minorHAnsi" w:cstheme="minorBidi"/>
          <w:szCs w:val="22"/>
        </w:rPr>
      </w:pPr>
      <w:r>
        <w:t>29C.</w:t>
      </w:r>
      <w:r>
        <w:tab/>
        <w:t>Information to be published on official website (Act s. 5.96A(1)(i))</w:t>
      </w:r>
      <w:r>
        <w:tab/>
      </w:r>
      <w:r>
        <w:fldChar w:fldCharType="begin"/>
      </w:r>
      <w:r>
        <w:instrText xml:space="preserve"> PAGEREF _Toc188005486 \h </w:instrText>
      </w:r>
      <w:r>
        <w:fldChar w:fldCharType="separate"/>
      </w:r>
      <w:r>
        <w:t>59</w:t>
      </w:r>
      <w:r>
        <w:fldChar w:fldCharType="end"/>
      </w:r>
    </w:p>
    <w:p>
      <w:pPr>
        <w:pStyle w:val="TOC8"/>
        <w:rPr>
          <w:rFonts w:asciiTheme="minorHAnsi" w:eastAsiaTheme="minorEastAsia" w:hAnsiTheme="minorHAnsi" w:cstheme="minorBidi"/>
          <w:szCs w:val="22"/>
        </w:rPr>
      </w:pPr>
      <w:r>
        <w:t>29D.</w:t>
      </w:r>
      <w:r>
        <w:tab/>
        <w:t>Period for which information to be kept on official website (Act s. 5.96A(5))</w:t>
      </w:r>
      <w:r>
        <w:tab/>
      </w:r>
      <w:r>
        <w:fldChar w:fldCharType="begin"/>
      </w:r>
      <w:r>
        <w:instrText xml:space="preserve"> PAGEREF _Toc188005487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_Toc188005489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t>Expenses to be reimbursed (Act s. 5.98(2)(a))</w:t>
      </w:r>
      <w:r>
        <w:tab/>
      </w:r>
      <w:r>
        <w:fldChar w:fldCharType="begin"/>
      </w:r>
      <w:r>
        <w:instrText xml:space="preserve"> PAGEREF _Toc188005490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Expenses that may be approved for reimbursement </w:t>
      </w:r>
      <w:r>
        <w:t>(Act </w:t>
      </w:r>
      <w:r>
        <w:rPr>
          <w:snapToGrid w:val="0"/>
        </w:rPr>
        <w:t>s. </w:t>
      </w:r>
      <w:r>
        <w:t>5</w:t>
      </w:r>
      <w:r>
        <w:rPr>
          <w:snapToGrid w:val="0"/>
        </w:rPr>
        <w:t>.98(2)(b))</w:t>
      </w:r>
      <w:r>
        <w:tab/>
      </w:r>
      <w:r>
        <w:fldChar w:fldCharType="begin"/>
      </w:r>
      <w:r>
        <w:instrText xml:space="preserve"> PAGEREF _Toc188005491 \h </w:instrText>
      </w:r>
      <w:r>
        <w:fldChar w:fldCharType="separate"/>
      </w:r>
      <w:r>
        <w:t>64</w:t>
      </w:r>
      <w:r>
        <w:fldChar w:fldCharType="end"/>
      </w:r>
    </w:p>
    <w:p>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_Toc188005492 \h </w:instrText>
      </w:r>
      <w:r>
        <w:fldChar w:fldCharType="separate"/>
      </w:r>
      <w:r>
        <w:t>64</w:t>
      </w:r>
      <w:r>
        <w:fldChar w:fldCharType="end"/>
      </w:r>
    </w:p>
    <w:p>
      <w:pPr>
        <w:pStyle w:val="TOC8"/>
        <w:rPr>
          <w:rFonts w:asciiTheme="minorHAnsi" w:eastAsiaTheme="minorEastAsia" w:hAnsiTheme="minorHAnsi" w:cstheme="minorBidi"/>
          <w:szCs w:val="22"/>
        </w:rPr>
      </w:pPr>
      <w:r>
        <w:t>34ACA.</w:t>
      </w:r>
      <w:r>
        <w:tab/>
        <w:t>Fees paid and expenses reimbursed to committee members (Act s. 5.100)</w:t>
      </w:r>
      <w:r>
        <w:tab/>
      </w:r>
      <w:r>
        <w:fldChar w:fldCharType="begin"/>
      </w:r>
      <w:r>
        <w:instrText xml:space="preserve"> PAGEREF _Toc188005493 \h </w:instrText>
      </w:r>
      <w:r>
        <w:fldChar w:fldCharType="separate"/>
      </w:r>
      <w:r>
        <w:t>65</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_Toc188005494 \h </w:instrText>
      </w:r>
      <w:r>
        <w:fldChar w:fldCharType="separate"/>
      </w:r>
      <w:r>
        <w:t>66</w:t>
      </w:r>
      <w:r>
        <w:fldChar w:fldCharType="end"/>
      </w:r>
    </w:p>
    <w:p>
      <w:pPr>
        <w:pStyle w:val="TOC8"/>
        <w:rPr>
          <w:rFonts w:asciiTheme="minorHAnsi" w:eastAsiaTheme="minorEastAsia" w:hAnsiTheme="minorHAnsi" w:cstheme="minorBidi"/>
          <w:szCs w:val="22"/>
        </w:rPr>
      </w:pPr>
      <w:r>
        <w:t>34AE.</w:t>
      </w:r>
      <w:r>
        <w:tab/>
        <w:t>Repayment and recovery of advance payments of fees and allowances (Act s. 5.102AB)</w:t>
      </w:r>
      <w:r>
        <w:tab/>
      </w:r>
      <w:r>
        <w:fldChar w:fldCharType="begin"/>
      </w:r>
      <w:r>
        <w:instrText xml:space="preserve"> PAGEREF _Toc188005495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9A — Minor breaches by council members</w:t>
      </w:r>
    </w:p>
    <w:p>
      <w:pPr>
        <w:pStyle w:val="TOC8"/>
        <w:rPr>
          <w:rFonts w:asciiTheme="minorHAnsi" w:eastAsiaTheme="minorEastAsia" w:hAnsiTheme="minorHAnsi" w:cstheme="minorBidi"/>
          <w:szCs w:val="22"/>
        </w:rPr>
      </w:pPr>
      <w:r>
        <w:t>34D.</w:t>
      </w:r>
      <w:r>
        <w:tab/>
        <w:t>Contravention of local law as to conduct (Act s. 5.105(1)(b))</w:t>
      </w:r>
      <w:r>
        <w:tab/>
      </w:r>
      <w:r>
        <w:fldChar w:fldCharType="begin"/>
      </w:r>
      <w:r>
        <w:instrText xml:space="preserve"> PAGEREF _Toc188005497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10 — Training</w:t>
      </w:r>
    </w:p>
    <w:p>
      <w:pPr>
        <w:pStyle w:val="TOC8"/>
        <w:rPr>
          <w:rFonts w:asciiTheme="minorHAnsi" w:eastAsiaTheme="minorEastAsia" w:hAnsiTheme="minorHAnsi" w:cstheme="minorBidi"/>
          <w:szCs w:val="22"/>
        </w:rPr>
      </w:pPr>
      <w:r>
        <w:t>35.</w:t>
      </w:r>
      <w:r>
        <w:tab/>
        <w:t>Training for council members (Act s. 5.126(1))</w:t>
      </w:r>
      <w:r>
        <w:tab/>
      </w:r>
      <w:r>
        <w:fldChar w:fldCharType="begin"/>
      </w:r>
      <w:r>
        <w:instrText xml:space="preserve"> PAGEREF _Toc188005499 \h </w:instrText>
      </w:r>
      <w:r>
        <w:fldChar w:fldCharType="separate"/>
      </w:r>
      <w:r>
        <w:t>70</w:t>
      </w:r>
      <w:r>
        <w:fldChar w:fldCharType="end"/>
      </w:r>
    </w:p>
    <w:p>
      <w:pPr>
        <w:pStyle w:val="TOC8"/>
        <w:rPr>
          <w:rFonts w:asciiTheme="minorHAnsi" w:eastAsiaTheme="minorEastAsia" w:hAnsiTheme="minorHAnsi" w:cstheme="minorBidi"/>
          <w:szCs w:val="22"/>
        </w:rPr>
      </w:pPr>
      <w:r>
        <w:lastRenderedPageBreak/>
        <w:t>36.</w:t>
      </w:r>
      <w:r>
        <w:tab/>
        <w:t>Exemption from Act s. 5.126(1) requirement</w:t>
      </w:r>
      <w:r>
        <w:tab/>
      </w:r>
      <w:r>
        <w:fldChar w:fldCharType="begin"/>
      </w:r>
      <w:r>
        <w:instrText xml:space="preserve"> PAGEREF _Toc188005500 \h </w:instrText>
      </w:r>
      <w:r>
        <w:fldChar w:fldCharType="separate"/>
      </w:r>
      <w:r>
        <w:t>71</w:t>
      </w:r>
      <w:r>
        <w:fldChar w:fldCharType="end"/>
      </w:r>
    </w:p>
    <w:p>
      <w:pPr>
        <w:pStyle w:val="TOC8"/>
        <w:rPr>
          <w:rFonts w:asciiTheme="minorHAnsi" w:eastAsiaTheme="minorEastAsia" w:hAnsiTheme="minorHAnsi" w:cstheme="minorBidi"/>
          <w:szCs w:val="22"/>
        </w:rPr>
      </w:pPr>
      <w:r>
        <w:t>37.</w:t>
      </w:r>
      <w:r>
        <w:tab/>
        <w:t>Fees and expenses (Act s. 5.129(4))</w:t>
      </w:r>
      <w:r>
        <w:tab/>
      </w:r>
      <w:r>
        <w:fldChar w:fldCharType="begin"/>
      </w:r>
      <w:r>
        <w:instrText xml:space="preserve"> PAGEREF _Toc188005501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Model standards for CEO recruitment, performance and termination</w:t>
      </w:r>
    </w:p>
    <w:p>
      <w:pPr>
        <w:pStyle w:val="TOC4"/>
        <w:tabs>
          <w:tab w:val="right" w:leader="dot" w:pos="7077"/>
        </w:tabs>
        <w:rPr>
          <w:rFonts w:asciiTheme="minorHAnsi" w:eastAsiaTheme="minorEastAsia" w:hAnsiTheme="minorHAnsi" w:cstheme="minorBidi"/>
          <w:b w:val="0"/>
          <w:szCs w:val="22"/>
        </w:rPr>
      </w:pPr>
      <w:r>
        <w:t>Division 1 — Preliminary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_Toc188005505 \h </w:instrText>
      </w:r>
      <w:r>
        <w:fldChar w:fldCharType="separate"/>
      </w:r>
      <w:r>
        <w:t>84</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_Toc188005506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Standards for recruitment of CEOs</w:t>
      </w:r>
    </w:p>
    <w:p>
      <w:pPr>
        <w:pStyle w:val="TOC8"/>
        <w:rPr>
          <w:rFonts w:asciiTheme="minorHAnsi" w:eastAsiaTheme="minorEastAsia" w:hAnsiTheme="minorHAnsi" w:cstheme="minorBidi"/>
          <w:szCs w:val="22"/>
        </w:rPr>
      </w:pPr>
      <w:r>
        <w:t>3.</w:t>
      </w:r>
      <w:r>
        <w:tab/>
        <w:t>Overview of Division</w:t>
      </w:r>
      <w:r>
        <w:tab/>
      </w:r>
      <w:r>
        <w:fldChar w:fldCharType="begin"/>
      </w:r>
      <w:r>
        <w:instrText xml:space="preserve"> PAGEREF _Toc188005508 \h </w:instrText>
      </w:r>
      <w:r>
        <w:fldChar w:fldCharType="separate"/>
      </w:r>
      <w:r>
        <w:t>85</w:t>
      </w:r>
      <w:r>
        <w:fldChar w:fldCharType="end"/>
      </w:r>
    </w:p>
    <w:p>
      <w:pPr>
        <w:pStyle w:val="TOC8"/>
        <w:rPr>
          <w:rFonts w:asciiTheme="minorHAnsi" w:eastAsiaTheme="minorEastAsia" w:hAnsiTheme="minorHAnsi" w:cstheme="minorBidi"/>
          <w:szCs w:val="22"/>
        </w:rPr>
      </w:pPr>
      <w:r>
        <w:t>4.</w:t>
      </w:r>
      <w:r>
        <w:tab/>
        <w:t>Application of Division</w:t>
      </w:r>
      <w:r>
        <w:tab/>
      </w:r>
      <w:r>
        <w:fldChar w:fldCharType="begin"/>
      </w:r>
      <w:r>
        <w:instrText xml:space="preserve"> PAGEREF _Toc188005509 \h </w:instrText>
      </w:r>
      <w:r>
        <w:fldChar w:fldCharType="separate"/>
      </w:r>
      <w:r>
        <w:t>85</w:t>
      </w:r>
      <w:r>
        <w:fldChar w:fldCharType="end"/>
      </w:r>
    </w:p>
    <w:p>
      <w:pPr>
        <w:pStyle w:val="TOC8"/>
        <w:rPr>
          <w:rFonts w:asciiTheme="minorHAnsi" w:eastAsiaTheme="minorEastAsia" w:hAnsiTheme="minorHAnsi" w:cstheme="minorBidi"/>
          <w:szCs w:val="22"/>
        </w:rPr>
      </w:pPr>
      <w:r>
        <w:t>5.</w:t>
      </w:r>
      <w:r>
        <w:tab/>
        <w:t>Determination of selection criteria and approval of job description form</w:t>
      </w:r>
      <w:r>
        <w:tab/>
      </w:r>
      <w:r>
        <w:fldChar w:fldCharType="begin"/>
      </w:r>
      <w:r>
        <w:instrText xml:space="preserve"> PAGEREF _Toc188005510 \h </w:instrText>
      </w:r>
      <w:r>
        <w:fldChar w:fldCharType="separate"/>
      </w:r>
      <w:r>
        <w:t>85</w:t>
      </w:r>
      <w:r>
        <w:fldChar w:fldCharType="end"/>
      </w:r>
    </w:p>
    <w:p>
      <w:pPr>
        <w:pStyle w:val="TOC8"/>
        <w:rPr>
          <w:rFonts w:asciiTheme="minorHAnsi" w:eastAsiaTheme="minorEastAsia" w:hAnsiTheme="minorHAnsi" w:cstheme="minorBidi"/>
          <w:szCs w:val="22"/>
        </w:rPr>
      </w:pPr>
      <w:r>
        <w:t>6.</w:t>
      </w:r>
      <w:r>
        <w:tab/>
        <w:t>Advertising requirements</w:t>
      </w:r>
      <w:r>
        <w:tab/>
      </w:r>
      <w:r>
        <w:fldChar w:fldCharType="begin"/>
      </w:r>
      <w:r>
        <w:instrText xml:space="preserve"> PAGEREF _Toc188005511 \h </w:instrText>
      </w:r>
      <w:r>
        <w:fldChar w:fldCharType="separate"/>
      </w:r>
      <w:r>
        <w:t>86</w:t>
      </w:r>
      <w:r>
        <w:fldChar w:fldCharType="end"/>
      </w:r>
    </w:p>
    <w:p>
      <w:pPr>
        <w:pStyle w:val="TOC8"/>
        <w:rPr>
          <w:rFonts w:asciiTheme="minorHAnsi" w:eastAsiaTheme="minorEastAsia" w:hAnsiTheme="minorHAnsi" w:cstheme="minorBidi"/>
          <w:szCs w:val="22"/>
        </w:rPr>
      </w:pPr>
      <w:r>
        <w:t>7.</w:t>
      </w:r>
      <w:r>
        <w:tab/>
        <w:t>Job description form to be made available by local government</w:t>
      </w:r>
      <w:r>
        <w:tab/>
      </w:r>
      <w:r>
        <w:fldChar w:fldCharType="begin"/>
      </w:r>
      <w:r>
        <w:instrText xml:space="preserve"> PAGEREF _Toc188005512 \h </w:instrText>
      </w:r>
      <w:r>
        <w:fldChar w:fldCharType="separate"/>
      </w:r>
      <w:r>
        <w:t>86</w:t>
      </w:r>
      <w:r>
        <w:fldChar w:fldCharType="end"/>
      </w:r>
    </w:p>
    <w:p>
      <w:pPr>
        <w:pStyle w:val="TOC8"/>
        <w:rPr>
          <w:rFonts w:asciiTheme="minorHAnsi" w:eastAsiaTheme="minorEastAsia" w:hAnsiTheme="minorHAnsi" w:cstheme="minorBidi"/>
          <w:szCs w:val="22"/>
        </w:rPr>
      </w:pPr>
      <w:r>
        <w:t>8.</w:t>
      </w:r>
      <w:r>
        <w:tab/>
        <w:t>Establishment of selection panel for employment of CEO</w:t>
      </w:r>
      <w:r>
        <w:tab/>
      </w:r>
      <w:r>
        <w:fldChar w:fldCharType="begin"/>
      </w:r>
      <w:r>
        <w:instrText xml:space="preserve"> PAGEREF _Toc188005513 \h </w:instrText>
      </w:r>
      <w:r>
        <w:fldChar w:fldCharType="separate"/>
      </w:r>
      <w:r>
        <w:t>87</w:t>
      </w:r>
      <w:r>
        <w:fldChar w:fldCharType="end"/>
      </w:r>
    </w:p>
    <w:p>
      <w:pPr>
        <w:pStyle w:val="TOC8"/>
        <w:rPr>
          <w:rFonts w:asciiTheme="minorHAnsi" w:eastAsiaTheme="minorEastAsia" w:hAnsiTheme="minorHAnsi" w:cstheme="minorBidi"/>
          <w:szCs w:val="22"/>
        </w:rPr>
      </w:pPr>
      <w:r>
        <w:t>9.</w:t>
      </w:r>
      <w:r>
        <w:tab/>
        <w:t>Recommendation by selection panel</w:t>
      </w:r>
      <w:r>
        <w:tab/>
      </w:r>
      <w:r>
        <w:fldChar w:fldCharType="begin"/>
      </w:r>
      <w:r>
        <w:instrText xml:space="preserve"> PAGEREF _Toc188005514 \h </w:instrText>
      </w:r>
      <w:r>
        <w:fldChar w:fldCharType="separate"/>
      </w:r>
      <w:r>
        <w:t>87</w:t>
      </w:r>
      <w:r>
        <w:fldChar w:fldCharType="end"/>
      </w:r>
    </w:p>
    <w:p>
      <w:pPr>
        <w:pStyle w:val="TOC8"/>
        <w:rPr>
          <w:rFonts w:asciiTheme="minorHAnsi" w:eastAsiaTheme="minorEastAsia" w:hAnsiTheme="minorHAnsi" w:cstheme="minorBidi"/>
          <w:szCs w:val="22"/>
        </w:rPr>
      </w:pPr>
      <w:r>
        <w:t>10.</w:t>
      </w:r>
      <w:r>
        <w:tab/>
        <w:t>Application of cl. 5 where new process carried out</w:t>
      </w:r>
      <w:r>
        <w:tab/>
      </w:r>
      <w:r>
        <w:fldChar w:fldCharType="begin"/>
      </w:r>
      <w:r>
        <w:instrText xml:space="preserve"> PAGEREF _Toc188005515 \h </w:instrText>
      </w:r>
      <w:r>
        <w:fldChar w:fldCharType="separate"/>
      </w:r>
      <w:r>
        <w:t>88</w:t>
      </w:r>
      <w:r>
        <w:fldChar w:fldCharType="end"/>
      </w:r>
    </w:p>
    <w:p>
      <w:pPr>
        <w:pStyle w:val="TOC8"/>
        <w:rPr>
          <w:rFonts w:asciiTheme="minorHAnsi" w:eastAsiaTheme="minorEastAsia" w:hAnsiTheme="minorHAnsi" w:cstheme="minorBidi"/>
          <w:szCs w:val="22"/>
        </w:rPr>
      </w:pPr>
      <w:r>
        <w:t>11.</w:t>
      </w:r>
      <w:r>
        <w:tab/>
        <w:t>Offer of employment in position of CEO</w:t>
      </w:r>
      <w:r>
        <w:tab/>
      </w:r>
      <w:r>
        <w:fldChar w:fldCharType="begin"/>
      </w:r>
      <w:r>
        <w:instrText xml:space="preserve"> PAGEREF _Toc188005516 \h </w:instrText>
      </w:r>
      <w:r>
        <w:fldChar w:fldCharType="separate"/>
      </w:r>
      <w:r>
        <w:t>89</w:t>
      </w:r>
      <w:r>
        <w:fldChar w:fldCharType="end"/>
      </w:r>
    </w:p>
    <w:p>
      <w:pPr>
        <w:pStyle w:val="TOC8"/>
        <w:rPr>
          <w:rFonts w:asciiTheme="minorHAnsi" w:eastAsiaTheme="minorEastAsia" w:hAnsiTheme="minorHAnsi" w:cstheme="minorBidi"/>
          <w:szCs w:val="22"/>
        </w:rPr>
      </w:pPr>
      <w:r>
        <w:t>12.</w:t>
      </w:r>
      <w:r>
        <w:tab/>
        <w:t>Variations to proposed terms of contract of employment</w:t>
      </w:r>
      <w:r>
        <w:tab/>
      </w:r>
      <w:r>
        <w:fldChar w:fldCharType="begin"/>
      </w:r>
      <w:r>
        <w:instrText xml:space="preserve"> PAGEREF _Toc188005517 \h </w:instrText>
      </w:r>
      <w:r>
        <w:fldChar w:fldCharType="separate"/>
      </w:r>
      <w:r>
        <w:t>89</w:t>
      </w:r>
      <w:r>
        <w:fldChar w:fldCharType="end"/>
      </w:r>
    </w:p>
    <w:p>
      <w:pPr>
        <w:pStyle w:val="TOC8"/>
        <w:rPr>
          <w:rFonts w:asciiTheme="minorHAnsi" w:eastAsiaTheme="minorEastAsia" w:hAnsiTheme="minorHAnsi" w:cstheme="minorBidi"/>
          <w:szCs w:val="22"/>
        </w:rPr>
      </w:pPr>
      <w:r>
        <w:t>13.</w:t>
      </w:r>
      <w:r>
        <w:tab/>
        <w:t>Recruitment to be undertaken on expiry of certain CEO contracts</w:t>
      </w:r>
      <w:r>
        <w:tab/>
      </w:r>
      <w:r>
        <w:fldChar w:fldCharType="begin"/>
      </w:r>
      <w:r>
        <w:instrText xml:space="preserve"> PAGEREF _Toc188005518 \h </w:instrText>
      </w:r>
      <w:r>
        <w:fldChar w:fldCharType="separate"/>
      </w:r>
      <w:r>
        <w:t>89</w:t>
      </w:r>
      <w:r>
        <w:fldChar w:fldCharType="end"/>
      </w:r>
    </w:p>
    <w:p>
      <w:pPr>
        <w:pStyle w:val="TOC8"/>
        <w:rPr>
          <w:rFonts w:asciiTheme="minorHAnsi" w:eastAsiaTheme="minorEastAsia" w:hAnsiTheme="minorHAnsi" w:cstheme="minorBidi"/>
          <w:szCs w:val="22"/>
        </w:rPr>
      </w:pPr>
      <w:r>
        <w:t>14.</w:t>
      </w:r>
      <w:r>
        <w:tab/>
        <w:t>Confidentiality of information</w:t>
      </w:r>
      <w:r>
        <w:tab/>
      </w:r>
      <w:r>
        <w:fldChar w:fldCharType="begin"/>
      </w:r>
      <w:r>
        <w:instrText xml:space="preserve"> PAGEREF _Toc188005519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Standards for review of performance of CEOs</w:t>
      </w:r>
    </w:p>
    <w:p>
      <w:pPr>
        <w:pStyle w:val="TOC8"/>
        <w:rPr>
          <w:rFonts w:asciiTheme="minorHAnsi" w:eastAsiaTheme="minorEastAsia" w:hAnsiTheme="minorHAnsi" w:cstheme="minorBidi"/>
          <w:szCs w:val="22"/>
        </w:rPr>
      </w:pPr>
      <w:r>
        <w:t>15.</w:t>
      </w:r>
      <w:r>
        <w:tab/>
        <w:t>Overview of Division</w:t>
      </w:r>
      <w:r>
        <w:tab/>
      </w:r>
      <w:r>
        <w:fldChar w:fldCharType="begin"/>
      </w:r>
      <w:r>
        <w:instrText xml:space="preserve"> PAGEREF _Toc188005521 \h </w:instrText>
      </w:r>
      <w:r>
        <w:fldChar w:fldCharType="separate"/>
      </w:r>
      <w:r>
        <w:t>91</w:t>
      </w:r>
      <w:r>
        <w:fldChar w:fldCharType="end"/>
      </w:r>
    </w:p>
    <w:p>
      <w:pPr>
        <w:pStyle w:val="TOC8"/>
        <w:rPr>
          <w:rFonts w:asciiTheme="minorHAnsi" w:eastAsiaTheme="minorEastAsia" w:hAnsiTheme="minorHAnsi" w:cstheme="minorBidi"/>
          <w:szCs w:val="22"/>
        </w:rPr>
      </w:pPr>
      <w:r>
        <w:t>16.</w:t>
      </w:r>
      <w:r>
        <w:tab/>
        <w:t>Performance review process to be agreed between local government and CEO</w:t>
      </w:r>
      <w:r>
        <w:tab/>
      </w:r>
      <w:r>
        <w:fldChar w:fldCharType="begin"/>
      </w:r>
      <w:r>
        <w:instrText xml:space="preserve"> PAGEREF _Toc188005522 \h </w:instrText>
      </w:r>
      <w:r>
        <w:fldChar w:fldCharType="separate"/>
      </w:r>
      <w:r>
        <w:t>91</w:t>
      </w:r>
      <w:r>
        <w:fldChar w:fldCharType="end"/>
      </w:r>
    </w:p>
    <w:p>
      <w:pPr>
        <w:pStyle w:val="TOC8"/>
        <w:rPr>
          <w:rFonts w:asciiTheme="minorHAnsi" w:eastAsiaTheme="minorEastAsia" w:hAnsiTheme="minorHAnsi" w:cstheme="minorBidi"/>
          <w:szCs w:val="22"/>
        </w:rPr>
      </w:pPr>
      <w:r>
        <w:t>17.</w:t>
      </w:r>
      <w:r>
        <w:tab/>
        <w:t>Carrying out a performance review</w:t>
      </w:r>
      <w:r>
        <w:tab/>
      </w:r>
      <w:r>
        <w:fldChar w:fldCharType="begin"/>
      </w:r>
      <w:r>
        <w:instrText xml:space="preserve"> PAGEREF _Toc188005523 \h </w:instrText>
      </w:r>
      <w:r>
        <w:fldChar w:fldCharType="separate"/>
      </w:r>
      <w:r>
        <w:t>91</w:t>
      </w:r>
      <w:r>
        <w:fldChar w:fldCharType="end"/>
      </w:r>
    </w:p>
    <w:p>
      <w:pPr>
        <w:pStyle w:val="TOC8"/>
        <w:rPr>
          <w:rFonts w:asciiTheme="minorHAnsi" w:eastAsiaTheme="minorEastAsia" w:hAnsiTheme="minorHAnsi" w:cstheme="minorBidi"/>
          <w:szCs w:val="22"/>
        </w:rPr>
      </w:pPr>
      <w:r>
        <w:t>18.</w:t>
      </w:r>
      <w:r>
        <w:tab/>
        <w:t>Endorsement of performance review by local government</w:t>
      </w:r>
      <w:r>
        <w:tab/>
      </w:r>
      <w:r>
        <w:fldChar w:fldCharType="begin"/>
      </w:r>
      <w:r>
        <w:instrText xml:space="preserve"> PAGEREF _Toc188005524 \h </w:instrText>
      </w:r>
      <w:r>
        <w:fldChar w:fldCharType="separate"/>
      </w:r>
      <w:r>
        <w:t>92</w:t>
      </w:r>
      <w:r>
        <w:fldChar w:fldCharType="end"/>
      </w:r>
    </w:p>
    <w:p>
      <w:pPr>
        <w:pStyle w:val="TOC8"/>
        <w:rPr>
          <w:rFonts w:asciiTheme="minorHAnsi" w:eastAsiaTheme="minorEastAsia" w:hAnsiTheme="minorHAnsi" w:cstheme="minorBidi"/>
          <w:szCs w:val="22"/>
        </w:rPr>
      </w:pPr>
      <w:r>
        <w:lastRenderedPageBreak/>
        <w:t>19.</w:t>
      </w:r>
      <w:r>
        <w:tab/>
        <w:t>CEO to be notified of results of performance review</w:t>
      </w:r>
      <w:r>
        <w:tab/>
      </w:r>
      <w:r>
        <w:fldChar w:fldCharType="begin"/>
      </w:r>
      <w:r>
        <w:instrText xml:space="preserve"> PAGEREF _Toc188005525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 — Standards for termination of employment of CEOs</w:t>
      </w:r>
    </w:p>
    <w:p>
      <w:pPr>
        <w:pStyle w:val="TOC8"/>
        <w:rPr>
          <w:rFonts w:asciiTheme="minorHAnsi" w:eastAsiaTheme="minorEastAsia" w:hAnsiTheme="minorHAnsi" w:cstheme="minorBidi"/>
          <w:szCs w:val="22"/>
        </w:rPr>
      </w:pPr>
      <w:r>
        <w:t>20.</w:t>
      </w:r>
      <w:r>
        <w:tab/>
        <w:t>Overview of Division</w:t>
      </w:r>
      <w:r>
        <w:tab/>
      </w:r>
      <w:r>
        <w:fldChar w:fldCharType="begin"/>
      </w:r>
      <w:r>
        <w:instrText xml:space="preserve"> PAGEREF _Toc188005527 \h </w:instrText>
      </w:r>
      <w:r>
        <w:fldChar w:fldCharType="separate"/>
      </w:r>
      <w:r>
        <w:t>92</w:t>
      </w:r>
      <w:r>
        <w:fldChar w:fldCharType="end"/>
      </w:r>
    </w:p>
    <w:p>
      <w:pPr>
        <w:pStyle w:val="TOC8"/>
        <w:rPr>
          <w:rFonts w:asciiTheme="minorHAnsi" w:eastAsiaTheme="minorEastAsia" w:hAnsiTheme="minorHAnsi" w:cstheme="minorBidi"/>
          <w:szCs w:val="22"/>
        </w:rPr>
      </w:pPr>
      <w:r>
        <w:t>21.</w:t>
      </w:r>
      <w:r>
        <w:tab/>
        <w:t>General principles applying to any termination</w:t>
      </w:r>
      <w:r>
        <w:tab/>
      </w:r>
      <w:r>
        <w:fldChar w:fldCharType="begin"/>
      </w:r>
      <w:r>
        <w:instrText xml:space="preserve"> PAGEREF _Toc188005528 \h </w:instrText>
      </w:r>
      <w:r>
        <w:fldChar w:fldCharType="separate"/>
      </w:r>
      <w:r>
        <w:t>92</w:t>
      </w:r>
      <w:r>
        <w:fldChar w:fldCharType="end"/>
      </w:r>
    </w:p>
    <w:p>
      <w:pPr>
        <w:pStyle w:val="TOC8"/>
        <w:rPr>
          <w:rFonts w:asciiTheme="minorHAnsi" w:eastAsiaTheme="minorEastAsia" w:hAnsiTheme="minorHAnsi" w:cstheme="minorBidi"/>
          <w:szCs w:val="22"/>
        </w:rPr>
      </w:pPr>
      <w:r>
        <w:t>22.</w:t>
      </w:r>
      <w:r>
        <w:tab/>
        <w:t>Additional principles applying to termination for performance</w:t>
      </w:r>
      <w:r>
        <w:noBreakHyphen/>
        <w:t>related reasons</w:t>
      </w:r>
      <w:r>
        <w:tab/>
      </w:r>
      <w:r>
        <w:fldChar w:fldCharType="begin"/>
      </w:r>
      <w:r>
        <w:instrText xml:space="preserve"> PAGEREF _Toc188005529 \h </w:instrText>
      </w:r>
      <w:r>
        <w:fldChar w:fldCharType="separate"/>
      </w:r>
      <w:r>
        <w:t>93</w:t>
      </w:r>
      <w:r>
        <w:fldChar w:fldCharType="end"/>
      </w:r>
    </w:p>
    <w:p>
      <w:pPr>
        <w:pStyle w:val="TOC8"/>
        <w:rPr>
          <w:rFonts w:asciiTheme="minorHAnsi" w:eastAsiaTheme="minorEastAsia" w:hAnsiTheme="minorHAnsi" w:cstheme="minorBidi"/>
          <w:szCs w:val="22"/>
        </w:rPr>
      </w:pPr>
      <w:r>
        <w:t>23.</w:t>
      </w:r>
      <w:r>
        <w:tab/>
        <w:t>Decision to terminate</w:t>
      </w:r>
      <w:r>
        <w:tab/>
      </w:r>
      <w:r>
        <w:fldChar w:fldCharType="begin"/>
      </w:r>
      <w:r>
        <w:instrText xml:space="preserve"> PAGEREF _Toc188005530 \h </w:instrText>
      </w:r>
      <w:r>
        <w:fldChar w:fldCharType="separate"/>
      </w:r>
      <w:r>
        <w:t>93</w:t>
      </w:r>
      <w:r>
        <w:fldChar w:fldCharType="end"/>
      </w:r>
    </w:p>
    <w:p>
      <w:pPr>
        <w:pStyle w:val="TOC8"/>
        <w:rPr>
          <w:rFonts w:asciiTheme="minorHAnsi" w:eastAsiaTheme="minorEastAsia" w:hAnsiTheme="minorHAnsi" w:cstheme="minorBidi"/>
          <w:szCs w:val="22"/>
        </w:rPr>
      </w:pPr>
      <w:r>
        <w:t>24.</w:t>
      </w:r>
      <w:r>
        <w:tab/>
        <w:t>Notice of termination of employment</w:t>
      </w:r>
      <w:r>
        <w:tab/>
      </w:r>
      <w:r>
        <w:fldChar w:fldCharType="begin"/>
      </w:r>
      <w:r>
        <w:instrText xml:space="preserve"> PAGEREF _Toc188005531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_Toc188005533 \h </w:instrText>
      </w:r>
      <w:r>
        <w:fldChar w:fldCharType="separate"/>
      </w:r>
      <w:r>
        <w:t>95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_Toc188005534 \h </w:instrText>
      </w:r>
      <w:r>
        <w:fldChar w:fldCharType="separate"/>
      </w:r>
      <w:r>
        <w:t>98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_Toc188005535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2" w:name="_Toc187998463"/>
      <w:bookmarkStart w:id="3" w:name="_Toc188001140"/>
      <w:bookmarkStart w:id="4" w:name="_Toc188005398"/>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Gazette 26 Aug 2011 p. 3482.]</w:t>
      </w:r>
    </w:p>
    <w:p>
      <w:pPr>
        <w:pStyle w:val="Heading5"/>
        <w:rPr>
          <w:snapToGrid w:val="0"/>
        </w:rPr>
      </w:pPr>
      <w:bookmarkStart w:id="5" w:name="_Toc188005399"/>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6" w:name="_Toc188005400"/>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7" w:name="_Toc188005401"/>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Ednotesection"/>
        <w:rPr>
          <w:rStyle w:val="CharSectno"/>
          <w:b/>
        </w:rPr>
      </w:pPr>
      <w:r>
        <w:t>[</w:t>
      </w:r>
      <w:r>
        <w:rPr>
          <w:b/>
        </w:rPr>
        <w:t>3AA.</w:t>
      </w:r>
      <w:r>
        <w:tab/>
        <w:t>Deleted: SL 2022/177 r. 5.]</w:t>
      </w:r>
    </w:p>
    <w:p>
      <w:pPr>
        <w:pStyle w:val="Heading2"/>
      </w:pPr>
      <w:bookmarkStart w:id="8" w:name="_Toc187998467"/>
      <w:bookmarkStart w:id="9" w:name="_Toc188001144"/>
      <w:bookmarkStart w:id="10" w:name="_Toc188005402"/>
      <w:r>
        <w:rPr>
          <w:rStyle w:val="CharPartNo"/>
        </w:rPr>
        <w:lastRenderedPageBreak/>
        <w:t>Part 1A</w:t>
      </w:r>
      <w:r>
        <w:rPr>
          <w:b w:val="0"/>
        </w:rPr>
        <w:t> </w:t>
      </w:r>
      <w:r>
        <w:t>—</w:t>
      </w:r>
      <w:r>
        <w:rPr>
          <w:b w:val="0"/>
        </w:rPr>
        <w:t> </w:t>
      </w:r>
      <w:r>
        <w:rPr>
          <w:rStyle w:val="CharPartText"/>
        </w:rPr>
        <w:t>Public notices</w:t>
      </w:r>
      <w:bookmarkEnd w:id="8"/>
      <w:bookmarkEnd w:id="9"/>
      <w:bookmarkEnd w:id="10"/>
    </w:p>
    <w:p>
      <w:pPr>
        <w:pStyle w:val="Footnoteheading"/>
      </w:pPr>
      <w:r>
        <w:tab/>
        <w:t>[Heading inserted: SL 2020/213 r. 15.]</w:t>
      </w:r>
    </w:p>
    <w:p>
      <w:pPr>
        <w:pStyle w:val="Heading5"/>
      </w:pPr>
      <w:bookmarkStart w:id="11" w:name="_Toc188005403"/>
      <w:r>
        <w:rPr>
          <w:rStyle w:val="CharSectno"/>
        </w:rPr>
        <w:t>3A</w:t>
      </w:r>
      <w:r>
        <w:t>.</w:t>
      </w:r>
      <w:r>
        <w:tab/>
        <w:t>Requirements for local public notice (Act s. 1.7)</w:t>
      </w:r>
      <w:bookmarkEnd w:id="11"/>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lastRenderedPageBreak/>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12" w:name="_Toc188005404"/>
      <w:r>
        <w:rPr>
          <w:rStyle w:val="CharSectno"/>
        </w:rPr>
        <w:t>3B</w:t>
      </w:r>
      <w:r>
        <w:t>.</w:t>
      </w:r>
      <w:r>
        <w:tab/>
        <w:t>Requirements for Statewide public notice (Act s. 1.8)</w:t>
      </w:r>
      <w:bookmarkEnd w:id="12"/>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13" w:name="_Toc187998470"/>
      <w:bookmarkStart w:id="14" w:name="_Toc188001147"/>
      <w:bookmarkStart w:id="15" w:name="_Toc188005405"/>
      <w:r>
        <w:rPr>
          <w:rStyle w:val="CharPartNo"/>
        </w:rPr>
        <w:lastRenderedPageBreak/>
        <w:t>Part 2</w:t>
      </w:r>
      <w:r>
        <w:rPr>
          <w:rStyle w:val="CharDivNo"/>
        </w:rPr>
        <w:t> </w:t>
      </w:r>
      <w:r>
        <w:t>—</w:t>
      </w:r>
      <w:r>
        <w:rPr>
          <w:rStyle w:val="CharDivText"/>
        </w:rPr>
        <w:t> </w:t>
      </w:r>
      <w:r>
        <w:rPr>
          <w:rStyle w:val="CharPartText"/>
        </w:rPr>
        <w:t>Council and committee meetings</w:t>
      </w:r>
      <w:bookmarkEnd w:id="13"/>
      <w:bookmarkEnd w:id="14"/>
      <w:bookmarkEnd w:id="15"/>
    </w:p>
    <w:p>
      <w:pPr>
        <w:pStyle w:val="Footnoteheading"/>
      </w:pPr>
      <w:r>
        <w:tab/>
        <w:t>[Heading inserted: Gazette 26 Aug 2011 p. 3482.]</w:t>
      </w:r>
    </w:p>
    <w:p>
      <w:pPr>
        <w:pStyle w:val="Heading5"/>
        <w:spacing w:before="180"/>
        <w:rPr>
          <w:snapToGrid w:val="0"/>
        </w:rPr>
      </w:pPr>
      <w:bookmarkStart w:id="16" w:name="_Toc188005406"/>
      <w:r>
        <w:rPr>
          <w:rStyle w:val="CharSectno"/>
        </w:rPr>
        <w:t>4</w:t>
      </w:r>
      <w:r>
        <w:rPr>
          <w:snapToGrid w:val="0"/>
        </w:rPr>
        <w:t>.</w:t>
      </w:r>
      <w:r>
        <w:rPr>
          <w:snapToGrid w:val="0"/>
        </w:rPr>
        <w:tab/>
        <w:t>Committee members, resignation of</w:t>
      </w:r>
      <w:bookmarkEnd w:id="16"/>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7" w:name="_Toc188005407"/>
      <w:r>
        <w:rPr>
          <w:rStyle w:val="CharSectno"/>
        </w:rPr>
        <w:t>4A</w:t>
      </w:r>
      <w:r>
        <w:t>.</w:t>
      </w:r>
      <w:r>
        <w:tab/>
        <w:t>Matter prescribed for when meeting may be closed to public (Act s. 5.23(2)(h))</w:t>
      </w:r>
      <w:bookmarkEnd w:id="17"/>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18" w:name="_Toc188005408"/>
      <w:r>
        <w:rPr>
          <w:rStyle w:val="CharSectno"/>
        </w:rPr>
        <w:t>5</w:t>
      </w:r>
      <w:r>
        <w:rPr>
          <w:snapToGrid w:val="0"/>
        </w:rPr>
        <w:t>.</w:t>
      </w:r>
      <w:r>
        <w:rPr>
          <w:snapToGrid w:val="0"/>
        </w:rPr>
        <w:tab/>
        <w:t xml:space="preserve">Question time for public, meetings that require prescribed </w:t>
      </w:r>
      <w:r>
        <w:t>(Act </w:t>
      </w:r>
      <w:r>
        <w:rPr>
          <w:snapToGrid w:val="0"/>
        </w:rPr>
        <w:t>s. 5.24)</w:t>
      </w:r>
      <w:bookmarkEnd w:id="18"/>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19" w:name="_Toc188005409"/>
      <w:r>
        <w:rPr>
          <w:rStyle w:val="CharSectno"/>
        </w:rPr>
        <w:t>6</w:t>
      </w:r>
      <w:r>
        <w:rPr>
          <w:snapToGrid w:val="0"/>
        </w:rPr>
        <w:t>.</w:t>
      </w:r>
      <w:r>
        <w:rPr>
          <w:snapToGrid w:val="0"/>
        </w:rPr>
        <w:tab/>
        <w:t xml:space="preserve">Question time for public, minimum time for </w:t>
      </w:r>
      <w:r>
        <w:t>(Act </w:t>
      </w:r>
      <w:r>
        <w:rPr>
          <w:snapToGrid w:val="0"/>
        </w:rPr>
        <w:t>s. 5.24(2))</w:t>
      </w:r>
      <w:bookmarkEnd w:id="19"/>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 xml:space="preserve">Once all the questions raised by members of the public have been asked and responded to at a meeting referred to in subregulation (1), nothing in these regulations prevents the </w:t>
      </w:r>
      <w:r>
        <w:rPr>
          <w:snapToGrid w:val="0"/>
        </w:rPr>
        <w:lastRenderedPageBreak/>
        <w:t>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20" w:name="_Toc188005410"/>
      <w:r>
        <w:rPr>
          <w:rStyle w:val="CharSectno"/>
        </w:rPr>
        <w:t>7</w:t>
      </w:r>
      <w:r>
        <w:rPr>
          <w:snapToGrid w:val="0"/>
        </w:rPr>
        <w:t>.</w:t>
      </w:r>
      <w:r>
        <w:rPr>
          <w:snapToGrid w:val="0"/>
        </w:rPr>
        <w:tab/>
        <w:t xml:space="preserve">Question time for public, procedure for </w:t>
      </w:r>
      <w:r>
        <w:t>(Act </w:t>
      </w:r>
      <w:r>
        <w:rPr>
          <w:snapToGrid w:val="0"/>
        </w:rPr>
        <w:t>s. 5.24(2))</w:t>
      </w:r>
      <w:bookmarkEnd w:id="20"/>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lastRenderedPageBreak/>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21" w:name="_Toc188005411"/>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21"/>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22" w:name="_Toc188005412"/>
      <w:r>
        <w:rPr>
          <w:rStyle w:val="CharSectno"/>
        </w:rPr>
        <w:lastRenderedPageBreak/>
        <w:t>9</w:t>
      </w:r>
      <w:r>
        <w:rPr>
          <w:snapToGrid w:val="0"/>
        </w:rPr>
        <w:t>.</w:t>
      </w:r>
      <w:r>
        <w:rPr>
          <w:snapToGrid w:val="0"/>
        </w:rPr>
        <w:tab/>
        <w:t xml:space="preserve">Voting to be open </w:t>
      </w:r>
      <w:r>
        <w:t>(Act </w:t>
      </w:r>
      <w:r>
        <w:rPr>
          <w:snapToGrid w:val="0"/>
        </w:rPr>
        <w:t>s. 5.25(1)(d))</w:t>
      </w:r>
      <w:bookmarkEnd w:id="22"/>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23" w:name="_Toc188005413"/>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23"/>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24" w:name="_Toc188005414"/>
      <w:r>
        <w:rPr>
          <w:rStyle w:val="CharSectno"/>
        </w:rPr>
        <w:lastRenderedPageBreak/>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24"/>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25" w:name="_Toc188005415"/>
      <w:r>
        <w:rPr>
          <w:rStyle w:val="CharSectno"/>
        </w:rPr>
        <w:lastRenderedPageBreak/>
        <w:t>12</w:t>
      </w:r>
      <w:r>
        <w:t>.</w:t>
      </w:r>
      <w:r>
        <w:tab/>
        <w:t>Publication of meeting details (Act s. 5.25(1)(g))</w:t>
      </w:r>
      <w:bookmarkEnd w:id="25"/>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26" w:name="_Toc188005416"/>
      <w:r>
        <w:rPr>
          <w:rStyle w:val="CharSectno"/>
        </w:rPr>
        <w:t>13</w:t>
      </w:r>
      <w:r>
        <w:t>.</w:t>
      </w:r>
      <w:r>
        <w:tab/>
        <w:t>Publication of unconfirmed minutes of meetings (Act s. 5.25(1)(i))</w:t>
      </w:r>
      <w:bookmarkEnd w:id="26"/>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lastRenderedPageBreak/>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27" w:name="_Toc188005417"/>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27"/>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Ednotesection"/>
      </w:pPr>
      <w:r>
        <w:t>[</w:t>
      </w:r>
      <w:r>
        <w:rPr>
          <w:b/>
        </w:rPr>
        <w:t>14A</w:t>
      </w:r>
      <w:r>
        <w:t xml:space="preserve">, </w:t>
      </w:r>
      <w:r>
        <w:rPr>
          <w:b/>
        </w:rPr>
        <w:t>14B.</w:t>
      </w:r>
      <w:r>
        <w:tab/>
        <w:t>Deleted: SL 2022/185 r. 4.]</w:t>
      </w:r>
    </w:p>
    <w:p>
      <w:pPr>
        <w:pStyle w:val="Heading5"/>
      </w:pPr>
      <w:bookmarkStart w:id="28" w:name="_Toc188005418"/>
      <w:r>
        <w:rPr>
          <w:rStyle w:val="CharSectno"/>
        </w:rPr>
        <w:lastRenderedPageBreak/>
        <w:t>14C</w:t>
      </w:r>
      <w:r>
        <w:t>.</w:t>
      </w:r>
      <w:r>
        <w:tab/>
        <w:t>Attendance at meetings by electronic means may be authorised (Act s. 5.25(1)(ba))</w:t>
      </w:r>
      <w:bookmarkEnd w:id="28"/>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natural disaster</w:t>
      </w:r>
      <w:r>
        <w:t xml:space="preserve"> includes fire, flood, lightning, movement of land and storm;</w:t>
      </w:r>
    </w:p>
    <w:p>
      <w:pPr>
        <w:pStyle w:val="Defstart"/>
      </w:pPr>
      <w:r>
        <w:tab/>
      </w:r>
      <w:r>
        <w:rPr>
          <w:rStyle w:val="CharDefText"/>
        </w:rPr>
        <w:t>relevant period</w:t>
      </w:r>
      <w:r>
        <w:t>, in relation to the proposed meeting referred to in subregulation (3), means the period of 12 months ending on the day on which the proposed meeting is to be held.</w:t>
      </w:r>
    </w:p>
    <w:p>
      <w:pPr>
        <w:pStyle w:val="Subsection"/>
        <w:keepNext/>
      </w:pPr>
      <w:r>
        <w:tab/>
        <w:t>(2)</w:t>
      </w:r>
      <w:r>
        <w:tab/>
        <w:t xml:space="preserve">A member of a council or committee may attend a meeting by electronic means — </w:t>
      </w:r>
    </w:p>
    <w:p>
      <w:pPr>
        <w:pStyle w:val="Indenta"/>
        <w:keepNext/>
      </w:pPr>
      <w:r>
        <w:tab/>
        <w:t>(a)</w:t>
      </w:r>
      <w:r>
        <w:tab/>
        <w:t xml:space="preserve">if — </w:t>
      </w:r>
    </w:p>
    <w:p>
      <w:pPr>
        <w:pStyle w:val="Indenti"/>
      </w:pPr>
      <w:r>
        <w:tab/>
        <w:t>(i)</w:t>
      </w:r>
      <w:r>
        <w:tab/>
        <w:t>a public health emergency or state of emergency exists or a natural disaster has occurred; and</w:t>
      </w:r>
    </w:p>
    <w:p>
      <w:pPr>
        <w:pStyle w:val="Indenti"/>
      </w:pPr>
      <w:r>
        <w:tab/>
        <w:t>(ii)</w:t>
      </w:r>
      <w:r>
        <w:tab/>
        <w:t>because of the public health emergency, state of emergency or natural disaster, the member is unable, or considers it inappropriate, to be present in person at the meeting; and</w:t>
      </w:r>
    </w:p>
    <w:p>
      <w:pPr>
        <w:pStyle w:val="Indenti"/>
        <w:keepNext/>
      </w:pPr>
      <w:r>
        <w:tab/>
        <w:t>(iii)</w:t>
      </w:r>
      <w:r>
        <w:tab/>
        <w:t>the member is authorised to attend the meeting by electronic means by the mayor, president or council;</w:t>
      </w:r>
    </w:p>
    <w:p>
      <w:pPr>
        <w:pStyle w:val="Indenta"/>
      </w:pPr>
      <w:r>
        <w:tab/>
      </w:r>
      <w:r>
        <w:tab/>
        <w:t>or</w:t>
      </w:r>
    </w:p>
    <w:p>
      <w:pPr>
        <w:pStyle w:val="Indenta"/>
      </w:pPr>
      <w:r>
        <w:tab/>
        <w:t>(b)</w:t>
      </w:r>
      <w:r>
        <w:tab/>
        <w:t>if the member is otherwise authorised to attend the meeting by electronic means by the mayor, president or council.</w:t>
      </w:r>
    </w:p>
    <w:p>
      <w:pPr>
        <w:pStyle w:val="Subsection"/>
      </w:pPr>
      <w:r>
        <w:tab/>
        <w:t>(3)</w:t>
      </w:r>
      <w:r>
        <w:tab/>
        <w:t xml:space="preserve">The mayor, president or council cannot authorise a member to attend a meeting (the </w:t>
      </w:r>
      <w:r>
        <w:rPr>
          <w:rStyle w:val="CharDefText"/>
        </w:rPr>
        <w:t>proposed meeting</w:t>
      </w:r>
      <w:r>
        <w:t xml:space="preserve">) under </w:t>
      </w:r>
      <w:r>
        <w:lastRenderedPageBreak/>
        <w:t>subregulation (2)(b) if the member’s attendance at the proposed meeting under that authorisation would result in the member attending more than half of the meetings (including the proposed meeting) of the council or committee, in the relevant period, under an authorisation under subregulation (2)(b).</w:t>
      </w:r>
    </w:p>
    <w:p>
      <w:pPr>
        <w:pStyle w:val="Subsection"/>
      </w:pPr>
      <w:r>
        <w:tab/>
        <w:t>(4)</w:t>
      </w:r>
      <w:r>
        <w:tab/>
        <w:t xml:space="preserve">Subregulation (3) does not apply to a member who is a person with a disability as defined in the </w:t>
      </w:r>
      <w:r>
        <w:rPr>
          <w:i/>
        </w:rPr>
        <w:t xml:space="preserve">Disability Services Act 1993 </w:t>
      </w:r>
      <w:r>
        <w:t>section 3.</w:t>
      </w:r>
    </w:p>
    <w:p>
      <w:pPr>
        <w:pStyle w:val="Subsection"/>
      </w:pPr>
      <w:r>
        <w:tab/>
        <w:t>(5)</w:t>
      </w:r>
      <w:r>
        <w:tab/>
        <w:t>In deciding whether to authorise a member to attend a meeting by electronic means under subregulation (2), the mayor, president or council must have regard to whether the location from which the member intends to attend the meeting, and the equipment that the member intends to use to attend the meeting, are suitable for the member to be able to effectively engage in deliberations and communications during the meeting.</w:t>
      </w:r>
    </w:p>
    <w:p>
      <w:pPr>
        <w:pStyle w:val="Footnotesection"/>
        <w:spacing w:before="80"/>
        <w:ind w:left="890" w:hanging="890"/>
      </w:pPr>
      <w:r>
        <w:tab/>
        <w:t>[Regulation 14C inserted: SL 2020/20 r. 7; amended: SL 2022/185 r. 5.]</w:t>
      </w:r>
    </w:p>
    <w:p>
      <w:pPr>
        <w:pStyle w:val="Heading5"/>
      </w:pPr>
      <w:bookmarkStart w:id="29" w:name="_Toc188005419"/>
      <w:r>
        <w:rPr>
          <w:rStyle w:val="CharSectno"/>
        </w:rPr>
        <w:t>14CA</w:t>
      </w:r>
      <w:r>
        <w:t>.</w:t>
      </w:r>
      <w:r>
        <w:tab/>
        <w:t>Provisions relating to attendance at meetings by electronic means (Act s. 5.25(1)(ba))</w:t>
      </w:r>
      <w:bookmarkEnd w:id="29"/>
    </w:p>
    <w:p>
      <w:pPr>
        <w:pStyle w:val="Subsection"/>
        <w:keepNext/>
      </w:pPr>
      <w:r>
        <w:tab/>
        <w:t>(1)</w:t>
      </w:r>
      <w:r>
        <w:tab/>
        <w:t xml:space="preserve">In this regulation — </w:t>
      </w:r>
    </w:p>
    <w:p>
      <w:pPr>
        <w:pStyle w:val="Defstart"/>
      </w:pPr>
      <w:r>
        <w:tab/>
      </w:r>
      <w:r>
        <w:rPr>
          <w:rStyle w:val="CharDefText"/>
        </w:rPr>
        <w:t>meeting</w:t>
      </w:r>
      <w:r>
        <w:t xml:space="preserve"> has the meaning given in regulation 14C(1).</w:t>
      </w:r>
    </w:p>
    <w:p>
      <w:pPr>
        <w:pStyle w:val="Subsection"/>
      </w:pPr>
      <w:r>
        <w:tab/>
        <w:t>(2)</w:t>
      </w:r>
      <w:r>
        <w:tab/>
        <w:t>The electronic means by which a member may attend a meeting under an authorisation under regulation 14C(2) include telephone, video conference or other means of instantaneous communication, as determined by the mayor, president or council.</w:t>
      </w:r>
    </w:p>
    <w:p>
      <w:pPr>
        <w:pStyle w:val="Subsection"/>
      </w:pPr>
      <w:r>
        <w:tab/>
        <w:t>(3)</w:t>
      </w:r>
      <w:r>
        <w:tab/>
        <w:t xml:space="preserve">A member who attends a meeting under an authorisation under regulation 14C(2) by electronic means determined under subregulation (2) is, whether or not the member is physically in the State, taken to attend and be present at the meeting for the purposes of the Act and these regulations while the member is </w:t>
      </w:r>
      <w:r>
        <w:lastRenderedPageBreak/>
        <w:t>in contact by those electronic means with each other member present at the meeting.</w:t>
      </w:r>
    </w:p>
    <w:p>
      <w:pPr>
        <w:pStyle w:val="Subsection"/>
        <w:keepNext/>
      </w:pPr>
      <w:r>
        <w:tab/>
        <w:t>(4)</w:t>
      </w:r>
      <w:r>
        <w:tab/>
        <w:t xml:space="preserve">Subregulations (5) to (7) apply if — </w:t>
      </w:r>
    </w:p>
    <w:p>
      <w:pPr>
        <w:pStyle w:val="Indenta"/>
      </w:pPr>
      <w:r>
        <w:tab/>
        <w:t>(a)</w:t>
      </w:r>
      <w:r>
        <w:tab/>
        <w:t>a member has been authorised to attend a meeting by electronic means under regulation 14C(2); and</w:t>
      </w:r>
    </w:p>
    <w:p>
      <w:pPr>
        <w:pStyle w:val="Indenta"/>
      </w:pPr>
      <w:r>
        <w:tab/>
        <w:t>(b)</w:t>
      </w:r>
      <w:r>
        <w:tab/>
        <w:t>the meeting, or part of the meeting, is to be closed to members of the public under section 5.23(2).</w:t>
      </w:r>
    </w:p>
    <w:p>
      <w:pPr>
        <w:pStyle w:val="Subsection"/>
      </w:pPr>
      <w:r>
        <w:tab/>
        <w:t>(5)</w:t>
      </w:r>
      <w:r>
        <w:tab/>
        <w:t>The member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(6)</w:t>
      </w:r>
      <w:r>
        <w:tab/>
        <w:t>If the member makes the declaration under subregulation (5) and subsequently cannot maintain confidentiality, the member must leave the meeting or the closed part of the meeting.</w:t>
      </w:r>
    </w:p>
    <w:p>
      <w:pPr>
        <w:pStyle w:val="Subsection"/>
        <w:keepNext/>
      </w:pPr>
      <w:r>
        <w:tab/>
        <w:t>(7)</w:t>
      </w:r>
      <w:r>
        <w:tab/>
        <w:t>A member’s declaration under subregulation (5) must be recorded in the minutes of the meeting.</w:t>
      </w:r>
    </w:p>
    <w:p>
      <w:pPr>
        <w:pStyle w:val="Footnotesection"/>
        <w:spacing w:before="80"/>
        <w:ind w:left="890" w:hanging="890"/>
      </w:pPr>
      <w:r>
        <w:tab/>
        <w:t>[Regulation 14CA inserted: SL 2022/185 r. 6.]</w:t>
      </w:r>
    </w:p>
    <w:p>
      <w:pPr>
        <w:pStyle w:val="Heading5"/>
      </w:pPr>
      <w:bookmarkStart w:id="30" w:name="_Toc188005420"/>
      <w:r>
        <w:rPr>
          <w:rStyle w:val="CharSectno"/>
        </w:rPr>
        <w:t>14D</w:t>
      </w:r>
      <w:r>
        <w:t>.</w:t>
      </w:r>
      <w:r>
        <w:tab/>
        <w:t>Meetings held by electronic means (Act s. 5.25(1)(ba))</w:t>
      </w:r>
      <w:bookmarkEnd w:id="30"/>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relevant period</w:t>
      </w:r>
      <w:r>
        <w:t>, in relation to the proposed meeting referred to in subregulation (2A), means the period of 12 months ending on the day on which the proposed meeting is to be held.</w:t>
      </w:r>
    </w:p>
    <w:p>
      <w:pPr>
        <w:pStyle w:val="Subsection"/>
        <w:keepNext/>
      </w:pPr>
      <w:r>
        <w:lastRenderedPageBreak/>
        <w:tab/>
        <w:t>(2)</w:t>
      </w:r>
      <w:r>
        <w:tab/>
        <w:t xml:space="preserve">A meeting may be held by electronic means — </w:t>
      </w:r>
    </w:p>
    <w:p>
      <w:pPr>
        <w:pStyle w:val="Indenta"/>
        <w:keepNext/>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keepNext/>
      </w:pPr>
      <w:r>
        <w:tab/>
        <w:t>(ii)</w:t>
      </w:r>
      <w:r>
        <w:tab/>
        <w:t>the mayor, president or council considers it appropriate for the meeting to be held by electronic means because of the public health emergency or state of emergency and having regard to the matters in subregulation (2B);</w:t>
      </w:r>
    </w:p>
    <w:p>
      <w:pPr>
        <w:pStyle w:val="Indenta"/>
      </w:pPr>
      <w:r>
        <w:tab/>
      </w:r>
      <w:r>
        <w:tab/>
        <w:t>or</w:t>
      </w:r>
    </w:p>
    <w:p>
      <w:pPr>
        <w:pStyle w:val="Indenta"/>
        <w:keepNext/>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keepNext/>
      </w:pPr>
      <w:r>
        <w:tab/>
        <w:t>(ii)</w:t>
      </w:r>
      <w:r>
        <w:tab/>
        <w:t>the mayor, president or council authorises the meeting to be held by electronic means;</w:t>
      </w:r>
    </w:p>
    <w:p>
      <w:pPr>
        <w:pStyle w:val="Indenta"/>
      </w:pPr>
      <w:r>
        <w:tab/>
      </w:r>
      <w:r>
        <w:tab/>
        <w:t>or</w:t>
      </w:r>
    </w:p>
    <w:p>
      <w:pPr>
        <w:pStyle w:val="Indenta"/>
      </w:pPr>
      <w:r>
        <w:tab/>
        <w:t>(c)</w:t>
      </w:r>
      <w:r>
        <w:tab/>
        <w:t>if the council otherwise authorises the meeting to be held by electronic means.</w:t>
      </w:r>
    </w:p>
    <w:p>
      <w:pPr>
        <w:pStyle w:val="Subsection"/>
      </w:pPr>
      <w:r>
        <w:tab/>
        <w:t>(2A)</w:t>
      </w:r>
      <w:r>
        <w:tab/>
        <w:t xml:space="preserve">The council cannot authorise a meeting (the </w:t>
      </w:r>
      <w:r>
        <w:rPr>
          <w:rStyle w:val="CharDefText"/>
        </w:rPr>
        <w:t>proposed meeting</w:t>
      </w:r>
      <w:r>
        <w:t>) to be held under subregulation (2)(c) if holding the proposed meeting under that authorisation would result in more than half of the meetings (including the proposed meeting) of the council or committee, in the relevant period, being held under an authorisation under subregulation (2)(c).</w:t>
      </w:r>
    </w:p>
    <w:p>
      <w:pPr>
        <w:pStyle w:val="Subsection"/>
        <w:rPr>
          <w:rStyle w:val="DraftersNotes"/>
          <w:b w:val="0"/>
          <w:i w:val="0"/>
        </w:rPr>
      </w:pPr>
      <w:r>
        <w:tab/>
        <w:t>(2B)</w:t>
      </w:r>
      <w:r>
        <w:tab/>
        <w:t xml:space="preserve">In considering whether it is appropriate for a meeting to be held by electronic means under subregulation (2)(a) or deciding whether to authorise a meeting to be held by electronic means under subregulation (2)(b) or (c), the mayor, president or council must have regard to whether the location from which each member of the council or committee intends to attend the </w:t>
      </w:r>
      <w:r>
        <w:lastRenderedPageBreak/>
        <w:t>meeting, and the equipment that each member intends to use to attend the meeting, are suitable for the member to be able to effectively engage in deliberations and communications during the meeting.</w:t>
      </w:r>
    </w:p>
    <w:p>
      <w:pPr>
        <w:pStyle w:val="Subsection"/>
        <w:keepNext/>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Subsection"/>
        <w:keepNext/>
      </w:pPr>
      <w:r>
        <w:tab/>
        <w:t>(5)</w:t>
      </w:r>
      <w:r>
        <w:tab/>
        <w:t xml:space="preserve">Subregulations (6) to (8) apply if — </w:t>
      </w:r>
    </w:p>
    <w:p>
      <w:pPr>
        <w:pStyle w:val="Indenta"/>
      </w:pPr>
      <w:r>
        <w:tab/>
        <w:t>(a)</w:t>
      </w:r>
      <w:r>
        <w:tab/>
        <w:t>a meeting is to be held by electronic means under this regulation; and</w:t>
      </w:r>
    </w:p>
    <w:p>
      <w:pPr>
        <w:pStyle w:val="Indenta"/>
      </w:pPr>
      <w:r>
        <w:tab/>
        <w:t>(b)</w:t>
      </w:r>
      <w:r>
        <w:tab/>
        <w:t>the meeting, or part of the meeting, is to be closed to members of the public under section 5.23(2).</w:t>
      </w:r>
    </w:p>
    <w:p>
      <w:pPr>
        <w:pStyle w:val="Subsection"/>
      </w:pPr>
      <w:r>
        <w:tab/>
        <w:t>(6)</w:t>
      </w:r>
      <w:r>
        <w:tab/>
        <w:t>A member of the council or committee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(7)</w:t>
      </w:r>
      <w:r>
        <w:tab/>
        <w:t>If a member makes the declaration under subregulation (6) and subsequently cannot maintain confidentiality, the member must leave the meeting or the closed part of the meeting.</w:t>
      </w:r>
    </w:p>
    <w:p>
      <w:pPr>
        <w:pStyle w:val="Subsection"/>
        <w:keepNext/>
      </w:pPr>
      <w:r>
        <w:tab/>
        <w:t>(8)</w:t>
      </w:r>
      <w:r>
        <w:tab/>
        <w:t>A member’s declaration under subregulation (6) must be recorded in the minutes of the meeting.</w:t>
      </w:r>
    </w:p>
    <w:p>
      <w:pPr>
        <w:pStyle w:val="Footnotesection"/>
        <w:spacing w:before="80"/>
        <w:ind w:left="890" w:hanging="890"/>
      </w:pPr>
      <w:r>
        <w:tab/>
        <w:t>[Regulation 14D inserted: SL 2020/20 r. 7; amended: SL 2022/185 r. 7.]</w:t>
      </w:r>
    </w:p>
    <w:p>
      <w:pPr>
        <w:pStyle w:val="Heading5"/>
      </w:pPr>
      <w:bookmarkStart w:id="31" w:name="_Toc188005421"/>
      <w:r>
        <w:rPr>
          <w:rStyle w:val="CharSectno"/>
        </w:rPr>
        <w:lastRenderedPageBreak/>
        <w:t>14E</w:t>
      </w:r>
      <w:r>
        <w:t>.</w:t>
      </w:r>
      <w:r>
        <w:tab/>
        <w:t>Modification of Act if meeting held by electronic means (Act s. 5.25(2))</w:t>
      </w:r>
      <w:bookmarkEnd w:id="31"/>
    </w:p>
    <w:p>
      <w:pPr>
        <w:pStyle w:val="Subsection"/>
        <w:keepNext/>
      </w:pPr>
      <w:r>
        <w:tab/>
        <w:t>(1)</w:t>
      </w:r>
      <w:r>
        <w:tab/>
        <w:t xml:space="preserve">In this regulation — </w:t>
      </w:r>
    </w:p>
    <w:p>
      <w:pPr>
        <w:pStyle w:val="Defstart"/>
      </w:pPr>
      <w:r>
        <w:tab/>
      </w:r>
      <w:r>
        <w:rPr>
          <w:rStyle w:val="CharDefText"/>
        </w:rPr>
        <w:t>class 3 or 4 council or committee</w:t>
      </w:r>
      <w:r>
        <w:t xml:space="preserve"> means the council of, or a committee established by, a class 3 local government or a class 4 local government;</w:t>
      </w:r>
    </w:p>
    <w:p>
      <w:pPr>
        <w:pStyle w:val="PermNoteHeading"/>
      </w:pPr>
      <w:r>
        <w:tab/>
        <w:t>Note for this definition:</w:t>
      </w:r>
    </w:p>
    <w:p>
      <w:pPr>
        <w:pStyle w:val="PermNoteText"/>
      </w:pPr>
      <w:r>
        <w:tab/>
      </w:r>
      <w:r>
        <w:tab/>
      </w:r>
      <w:r>
        <w:rPr>
          <w:b/>
          <w:i/>
        </w:rPr>
        <w:t>Class 3 local government</w:t>
      </w:r>
      <w:r>
        <w:t xml:space="preserve"> and </w:t>
      </w:r>
      <w:r>
        <w:rPr>
          <w:b/>
          <w:i/>
        </w:rPr>
        <w:t>class 4 local government</w:t>
      </w:r>
      <w:r>
        <w:t xml:space="preserve"> have the meanings given in the </w:t>
      </w:r>
      <w:r>
        <w:rPr>
          <w:i/>
        </w:rPr>
        <w:t>Local Government (Constitution) Regulations 1998</w:t>
      </w:r>
      <w:r>
        <w:t xml:space="preserve"> regulations 2A and 2B.</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If a council or a committee holds an electronic meeting, a member of the council or committee who attends the meeting by electronic means determined under regulation 14D(3)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(3A)</w:t>
      </w:r>
      <w:r>
        <w:tab/>
        <w:t xml:space="preserve">If a council or a committee holds an electronic meeting, the meeting is open to members of the public under section 5.23(1) if — </w:t>
      </w:r>
    </w:p>
    <w:p>
      <w:pPr>
        <w:pStyle w:val="Indenta"/>
      </w:pPr>
      <w:r>
        <w:tab/>
        <w:t>(a)</w:t>
      </w:r>
      <w:r>
        <w:tab/>
        <w:t>in the case of a class 3 or 4 council or committee — the requirement to publish the unconfirmed minutes of the meeting under regulation 13(1)(a) is complied with within the applicable time period set out in regulation 13(2) or (3); or</w:t>
      </w:r>
    </w:p>
    <w:p>
      <w:pPr>
        <w:pStyle w:val="Indenta"/>
      </w:pPr>
      <w:r>
        <w:lastRenderedPageBreak/>
        <w:tab/>
        <w:t>(b)</w:t>
      </w:r>
      <w:r>
        <w:tab/>
        <w:t>in any case — the council or committee publicly broadcasts the meeting on a website or the meeting or a broadcast of the meeting is otherwise accessible to the public.</w:t>
      </w:r>
    </w:p>
    <w:p>
      <w:pPr>
        <w:pStyle w:val="Subsection"/>
        <w:keepNext/>
      </w:pPr>
      <w:r>
        <w:tab/>
        <w:t>(3B)</w:t>
      </w:r>
      <w:r>
        <w:tab/>
        <w:t xml:space="preserve">For the purposes of subregulation (3A)(b), a broadcast must be either — </w:t>
      </w:r>
    </w:p>
    <w:p>
      <w:pPr>
        <w:pStyle w:val="Indenta"/>
      </w:pPr>
      <w:r>
        <w:tab/>
        <w:t>(a)</w:t>
      </w:r>
      <w:r>
        <w:tab/>
        <w:t>both visual and audio; or</w:t>
      </w:r>
    </w:p>
    <w:p>
      <w:pPr>
        <w:pStyle w:val="Indenta"/>
      </w:pPr>
      <w:r>
        <w:tab/>
        <w:t>(b)</w:t>
      </w:r>
      <w:r>
        <w:tab/>
        <w:t>audio only.</w:t>
      </w:r>
    </w:p>
    <w:p>
      <w:pPr>
        <w:pStyle w:val="Subsection"/>
        <w:keepNext/>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keepNext/>
      </w:pPr>
      <w:r>
        <w:tab/>
        <w:t>(b)</w:t>
      </w:r>
      <w:r>
        <w:tab/>
        <w:t xml:space="preserve">the council or committee determines at the meeting — </w:t>
      </w:r>
    </w:p>
    <w:p>
      <w:pPr>
        <w:pStyle w:val="Indenti"/>
      </w:pPr>
      <w:r>
        <w:tab/>
        <w:t>(i)</w:t>
      </w:r>
      <w:r>
        <w:tab/>
        <w:t xml:space="preserve">in the case of a meeting held by electronic means under regulation 14D(2)(a) or (b) — that, given the public health emergency, state of emergency or direction issued under the </w:t>
      </w:r>
      <w:r>
        <w:rPr>
          <w:i/>
        </w:rPr>
        <w:t>Public Health Act 2016</w:t>
      </w:r>
      <w:r>
        <w:t xml:space="preserve"> or the </w:t>
      </w:r>
      <w:r>
        <w:rPr>
          <w:i/>
        </w:rPr>
        <w:t>Emergency Management Act 2005</w:t>
      </w:r>
      <w:r>
        <w:t>, it is not appropriate to respond to the question at the meeting; or</w:t>
      </w:r>
    </w:p>
    <w:p>
      <w:pPr>
        <w:pStyle w:val="Indenti"/>
      </w:pPr>
      <w:r>
        <w:tab/>
        <w:t>(ii)</w:t>
      </w:r>
      <w:r>
        <w:tab/>
        <w:t>in any case — to respond to the question at the meeting in accordance with the procedure determined by the council or committee.</w:t>
      </w:r>
    </w:p>
    <w:p>
      <w:pPr>
        <w:pStyle w:val="Subsection"/>
        <w:keepNext/>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keepNext/>
      </w:pPr>
      <w:r>
        <w:lastRenderedPageBreak/>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 amended: SL 2022/185 r. 8; SL 2023/102 r. 4; SL 2023/158 r. 4.]</w:t>
      </w:r>
    </w:p>
    <w:p>
      <w:pPr>
        <w:pStyle w:val="Heading2"/>
      </w:pPr>
      <w:bookmarkStart w:id="32" w:name="_Toc187998487"/>
      <w:bookmarkStart w:id="33" w:name="_Toc188001164"/>
      <w:bookmarkStart w:id="34" w:name="_Toc188005422"/>
      <w:r>
        <w:rPr>
          <w:rStyle w:val="CharPartNo"/>
        </w:rPr>
        <w:lastRenderedPageBreak/>
        <w:t>Part 2A</w:t>
      </w:r>
      <w:r>
        <w:t> — </w:t>
      </w:r>
      <w:r>
        <w:rPr>
          <w:rStyle w:val="CharPartText"/>
        </w:rPr>
        <w:t>Electronic broadcasting and video or audio recording of council meetings (Act s. 5.23A)</w:t>
      </w:r>
      <w:bookmarkEnd w:id="32"/>
      <w:bookmarkEnd w:id="33"/>
      <w:bookmarkEnd w:id="34"/>
    </w:p>
    <w:p>
      <w:pPr>
        <w:pStyle w:val="Footnoteheading"/>
      </w:pPr>
      <w:r>
        <w:tab/>
        <w:t>[Heading inserted: SL 2023/158 r. 5.]</w:t>
      </w:r>
    </w:p>
    <w:p>
      <w:pPr>
        <w:pStyle w:val="Heading5"/>
      </w:pPr>
      <w:bookmarkStart w:id="35" w:name="_Toc188005423"/>
      <w:r>
        <w:rPr>
          <w:rStyle w:val="CharSectno"/>
        </w:rPr>
        <w:t>14F</w:t>
      </w:r>
      <w:r>
        <w:t>.</w:t>
      </w:r>
      <w:r>
        <w:tab/>
        <w:t>Application of Part</w:t>
      </w:r>
      <w:bookmarkEnd w:id="35"/>
    </w:p>
    <w:p>
      <w:pPr>
        <w:pStyle w:val="Subsection"/>
      </w:pPr>
      <w:r>
        <w:tab/>
        <w:t>(1)</w:t>
      </w:r>
      <w:r>
        <w:tab/>
        <w:t>This Part applies for the purposes of section 5.23A(2).</w:t>
      </w:r>
    </w:p>
    <w:p>
      <w:pPr>
        <w:pStyle w:val="Subsection"/>
      </w:pPr>
      <w:r>
        <w:tab/>
        <w:t>(2)</w:t>
      </w:r>
      <w:r>
        <w:tab/>
        <w:t>This Part applies to meetings of councils held on or after 1 January 2025.</w:t>
      </w:r>
    </w:p>
    <w:p>
      <w:pPr>
        <w:pStyle w:val="PermNoteHeading"/>
      </w:pPr>
      <w:r>
        <w:tab/>
        <w:t>Note for this subregulation:</w:t>
      </w:r>
    </w:p>
    <w:p>
      <w:pPr>
        <w:pStyle w:val="PermNoteText"/>
      </w:pPr>
      <w:r>
        <w:tab/>
      </w:r>
      <w:r>
        <w:tab/>
        <w:t>This Part does not apply to meetings of committees of councils.</w:t>
      </w:r>
    </w:p>
    <w:p>
      <w:pPr>
        <w:pStyle w:val="Footnotesection"/>
      </w:pPr>
      <w:r>
        <w:tab/>
        <w:t>[Regulation 14F inserted: SL 2023/158 r. 5.]</w:t>
      </w:r>
    </w:p>
    <w:p>
      <w:pPr>
        <w:pStyle w:val="Heading5"/>
      </w:pPr>
      <w:bookmarkStart w:id="36" w:name="_Toc188005424"/>
      <w:r>
        <w:rPr>
          <w:rStyle w:val="CharSectno"/>
        </w:rPr>
        <w:t>14G</w:t>
      </w:r>
      <w:r>
        <w:t>.</w:t>
      </w:r>
      <w:r>
        <w:tab/>
        <w:t>Terms used</w:t>
      </w:r>
      <w:bookmarkEnd w:id="36"/>
    </w:p>
    <w:p>
      <w:pPr>
        <w:pStyle w:val="Subsection"/>
      </w:pPr>
      <w:r>
        <w:tab/>
        <w:t>(1)</w:t>
      </w:r>
      <w:r>
        <w:tab/>
        <w:t xml:space="preserve">In this Part — </w:t>
      </w:r>
    </w:p>
    <w:p>
      <w:pPr>
        <w:pStyle w:val="Defstart"/>
      </w:pPr>
      <w:r>
        <w:tab/>
      </w:r>
      <w:r>
        <w:rPr>
          <w:rStyle w:val="CharDefText"/>
        </w:rPr>
        <w:t>broadcast technology</w:t>
      </w:r>
      <w:r>
        <w:t>, in relation to a local government, means the technology by means of which meetings of its council are, or are to be, publicly broadcast under regulation 14H(2);</w:t>
      </w:r>
    </w:p>
    <w:p>
      <w:pPr>
        <w:pStyle w:val="Defstart"/>
      </w:pPr>
      <w:r>
        <w:tab/>
      </w:r>
      <w:r>
        <w:rPr>
          <w:rStyle w:val="CharDefText"/>
        </w:rPr>
        <w:t>closed proceedings</w:t>
      </w:r>
      <w:r>
        <w:t xml:space="preserve">, in relation to a council, means — </w:t>
      </w:r>
    </w:p>
    <w:p>
      <w:pPr>
        <w:pStyle w:val="Defpara"/>
      </w:pPr>
      <w:r>
        <w:tab/>
        <w:t>(a)</w:t>
      </w:r>
      <w:r>
        <w:tab/>
        <w:t>if a meeting of the council is closed to the public — the meeting; or</w:t>
      </w:r>
    </w:p>
    <w:p>
      <w:pPr>
        <w:pStyle w:val="Defpara"/>
      </w:pPr>
      <w:r>
        <w:tab/>
        <w:t>(b)</w:t>
      </w:r>
      <w:r>
        <w:tab/>
        <w:t>if a part of a meeting of the council is closed to the public — that part of the meeting;</w:t>
      </w:r>
    </w:p>
    <w:p>
      <w:pPr>
        <w:pStyle w:val="Defstart"/>
      </w:pPr>
      <w:r>
        <w:tab/>
      </w:r>
      <w:r>
        <w:rPr>
          <w:rStyle w:val="CharDefText"/>
        </w:rPr>
        <w:t>electronic meeting</w:t>
      </w:r>
      <w:r>
        <w:t xml:space="preserve"> means a meeting held by electronic means under regulation 14D;</w:t>
      </w:r>
    </w:p>
    <w:p>
      <w:pPr>
        <w:pStyle w:val="Defstart"/>
      </w:pPr>
      <w:r>
        <w:tab/>
      </w:r>
      <w:r>
        <w:rPr>
          <w:rStyle w:val="CharDefText"/>
        </w:rPr>
        <w:t>improvised recording</w:t>
      </w:r>
      <w:r>
        <w:t> — see regulation 14I(4);</w:t>
      </w:r>
    </w:p>
    <w:p>
      <w:pPr>
        <w:pStyle w:val="Defstart"/>
      </w:pPr>
      <w:r>
        <w:tab/>
      </w:r>
      <w:r>
        <w:rPr>
          <w:rStyle w:val="CharDefText"/>
        </w:rPr>
        <w:t>meeting day</w:t>
      </w:r>
      <w:r>
        <w:t>, in relation to a council’s meeting, means the day on which the meeting is held;</w:t>
      </w:r>
    </w:p>
    <w:p>
      <w:pPr>
        <w:pStyle w:val="Defstart"/>
      </w:pPr>
      <w:r>
        <w:tab/>
      </w:r>
      <w:r>
        <w:rPr>
          <w:rStyle w:val="CharDefText"/>
        </w:rPr>
        <w:t>publicly available</w:t>
      </w:r>
      <w:r>
        <w:t> — see subregulations (2) and (3);</w:t>
      </w:r>
    </w:p>
    <w:p>
      <w:pPr>
        <w:pStyle w:val="Defstart"/>
      </w:pPr>
      <w:r>
        <w:tab/>
      </w:r>
      <w:r>
        <w:rPr>
          <w:rStyle w:val="CharDefText"/>
        </w:rPr>
        <w:t>recording</w:t>
      </w:r>
      <w:r>
        <w:t xml:space="preserve"> means a video recording (with audio) or an audio only recording;</w:t>
      </w:r>
    </w:p>
    <w:p>
      <w:pPr>
        <w:pStyle w:val="Defstart"/>
      </w:pPr>
      <w:r>
        <w:lastRenderedPageBreak/>
        <w:tab/>
      </w:r>
      <w:r>
        <w:rPr>
          <w:rStyle w:val="CharDefText"/>
        </w:rPr>
        <w:t>recording technology</w:t>
      </w:r>
      <w:r>
        <w:t>, in relation to a local government, means the technology by means of which recordings of meetings of its council are, or are to be, made under regulation 14I(1)(a);</w:t>
      </w:r>
    </w:p>
    <w:p>
      <w:pPr>
        <w:pStyle w:val="Defstart"/>
      </w:pPr>
      <w:r>
        <w:tab/>
      </w:r>
      <w:r>
        <w:rPr>
          <w:rStyle w:val="CharDefText"/>
        </w:rPr>
        <w:t>usual meeting place</w:t>
      </w:r>
      <w:r>
        <w:t>, in relation to a council, means the place at which its meetings (other than electronic meetings) are, or are to be, usually held.</w:t>
      </w:r>
    </w:p>
    <w:p>
      <w:pPr>
        <w:pStyle w:val="Subsection"/>
      </w:pPr>
      <w:r>
        <w:tab/>
        <w:t>(2)</w:t>
      </w:r>
      <w:r>
        <w:tab/>
        <w:t xml:space="preserve">For the purposes of this Part, a local government makes a video recording </w:t>
      </w:r>
      <w:r>
        <w:rPr>
          <w:rStyle w:val="CharDefText"/>
        </w:rPr>
        <w:t>publicly available</w:t>
      </w:r>
      <w:r>
        <w:t xml:space="preserve"> by making a copy of the recording publicly available for viewing (with audio)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(3)</w:t>
      </w:r>
      <w:r>
        <w:tab/>
        <w:t xml:space="preserve">For the purposes of this Part, a local government makes an audio only recording </w:t>
      </w:r>
      <w:r>
        <w:rPr>
          <w:rStyle w:val="CharDefText"/>
        </w:rPr>
        <w:t>publicly available</w:t>
      </w:r>
      <w:r>
        <w:t xml:space="preserve"> by making a copy of the recording publicly available for listening to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(4)</w:t>
      </w:r>
      <w:r>
        <w:tab/>
        <w:t xml:space="preserve">For the purposes of subregulations (2) and (3), the quality of the copy of the recording — </w:t>
      </w:r>
    </w:p>
    <w:p>
      <w:pPr>
        <w:pStyle w:val="Indenta"/>
      </w:pPr>
      <w:r>
        <w:tab/>
        <w:t>(a)</w:t>
      </w:r>
      <w:r>
        <w:tab/>
        <w:t>must be substantially the same as the quality of the recording; and</w:t>
      </w:r>
    </w:p>
    <w:p>
      <w:pPr>
        <w:pStyle w:val="Indenta"/>
      </w:pPr>
      <w:r>
        <w:tab/>
        <w:t>(b)</w:t>
      </w:r>
      <w:r>
        <w:tab/>
        <w:t>without limiting paragraph (a), must meet the requirement of regulation 14I(2)(b) or (c) (as applicable), subject to regulation 14I(5)(b) if the recording is an improvised recording.</w:t>
      </w:r>
    </w:p>
    <w:p>
      <w:pPr>
        <w:pStyle w:val="PermNoteHeading"/>
      </w:pPr>
      <w:r>
        <w:tab/>
        <w:t>Note for this regulation:</w:t>
      </w:r>
    </w:p>
    <w:p>
      <w:pPr>
        <w:pStyle w:val="PermNoteText"/>
      </w:pPr>
      <w:r>
        <w:tab/>
      </w:r>
      <w:r>
        <w:tab/>
        <w:t xml:space="preserve">In this Part, </w:t>
      </w:r>
      <w:r>
        <w:rPr>
          <w:b/>
          <w:i/>
        </w:rPr>
        <w:t>class 1 local government</w:t>
      </w:r>
      <w:r>
        <w:t xml:space="preserve"> and </w:t>
      </w:r>
      <w:r>
        <w:rPr>
          <w:b/>
          <w:i/>
        </w:rPr>
        <w:t>class 2 local government</w:t>
      </w:r>
      <w:r>
        <w:t xml:space="preserve"> have the meanings given in the </w:t>
      </w:r>
      <w:r>
        <w:rPr>
          <w:i/>
        </w:rPr>
        <w:t>Local Government (Constitution) Regulations 1998</w:t>
      </w:r>
      <w:r>
        <w:t xml:space="preserve"> regulations 2A and 2B.</w:t>
      </w:r>
    </w:p>
    <w:p>
      <w:pPr>
        <w:pStyle w:val="Footnotesection"/>
      </w:pPr>
      <w:r>
        <w:tab/>
        <w:t>[Regulation 14G inserted: SL 2023/158 r. 5.]</w:t>
      </w:r>
    </w:p>
    <w:p>
      <w:pPr>
        <w:pStyle w:val="Heading5"/>
      </w:pPr>
      <w:bookmarkStart w:id="37" w:name="_Toc188005425"/>
      <w:r>
        <w:rPr>
          <w:rStyle w:val="CharSectno"/>
        </w:rPr>
        <w:lastRenderedPageBreak/>
        <w:t>14H</w:t>
      </w:r>
      <w:r>
        <w:t>.</w:t>
      </w:r>
      <w:r>
        <w:tab/>
        <w:t>Class 1 local governments and class 2 local governments to broadcast council meetings publicly</w:t>
      </w:r>
      <w:bookmarkEnd w:id="37"/>
    </w:p>
    <w:p>
      <w:pPr>
        <w:pStyle w:val="Subsection"/>
      </w:pPr>
      <w:r>
        <w:tab/>
        <w:t>(1)</w:t>
      </w:r>
      <w:r>
        <w:tab/>
        <w:t>This regulation applies to a local government only if the local government is a class 1 local government or a class 2 local government.</w:t>
      </w:r>
    </w:p>
    <w:p>
      <w:pPr>
        <w:pStyle w:val="Subsection"/>
      </w:pPr>
      <w:r>
        <w:tab/>
        <w:t>(2)</w:t>
      </w:r>
      <w:r>
        <w:tab/>
        <w:t xml:space="preserve">A local government must, in accordance with subregulation (3), publicly broadcast every meeting of its council that — </w:t>
      </w:r>
    </w:p>
    <w:p>
      <w:pPr>
        <w:pStyle w:val="Indenta"/>
      </w:pPr>
      <w:r>
        <w:tab/>
        <w:t>(a)</w:t>
      </w:r>
      <w:r>
        <w:tab/>
        <w:t>is held at the council’s usual meeting place; or</w:t>
      </w:r>
    </w:p>
    <w:p>
      <w:pPr>
        <w:pStyle w:val="Indenta"/>
      </w:pPr>
      <w:r>
        <w:tab/>
        <w:t>(b)</w:t>
      </w:r>
      <w:r>
        <w:tab/>
        <w:t>is an electronic meeting.</w:t>
      </w:r>
    </w:p>
    <w:p>
      <w:pPr>
        <w:pStyle w:val="Subsection"/>
      </w:pPr>
      <w:r>
        <w:tab/>
        <w:t>(3)</w:t>
      </w:r>
      <w:r>
        <w:tab/>
        <w:t xml:space="preserve">For the purposes of subregulation (2) — </w:t>
      </w:r>
    </w:p>
    <w:p>
      <w:pPr>
        <w:pStyle w:val="Indenta"/>
      </w:pPr>
      <w:r>
        <w:tab/>
        <w:t>(a)</w:t>
      </w:r>
      <w:r>
        <w:tab/>
        <w:t>the broadcast must be live (with only so much of a delay as is inherent in live broadcasting by means of the local government’s broadcast technology); and</w:t>
      </w:r>
    </w:p>
    <w:p>
      <w:pPr>
        <w:pStyle w:val="Indenta"/>
      </w:pPr>
      <w:r>
        <w:tab/>
        <w:t>(b)</w:t>
      </w:r>
      <w:r>
        <w:tab/>
        <w:t xml:space="preserve">the broadcast must be on — </w:t>
      </w:r>
    </w:p>
    <w:p>
      <w:pPr>
        <w:pStyle w:val="Indenti"/>
      </w:pPr>
      <w:r>
        <w:tab/>
        <w:t>(i)</w:t>
      </w:r>
      <w:r>
        <w:tab/>
        <w:t>the local government’s official website; or</w:t>
      </w:r>
    </w:p>
    <w:p>
      <w:pPr>
        <w:pStyle w:val="Indenti"/>
      </w:pPr>
      <w:r>
        <w:tab/>
        <w:t>(ii)</w:t>
      </w:r>
      <w:r>
        <w:tab/>
        <w:t>another website a link to which is publicly provided on the local government’s official website;</w:t>
      </w:r>
    </w:p>
    <w:p>
      <w:pPr>
        <w:pStyle w:val="Indenta"/>
      </w:pPr>
      <w:r>
        <w:tab/>
      </w:r>
      <w:r>
        <w:tab/>
        <w:t>and</w:t>
      </w:r>
    </w:p>
    <w:p>
      <w:pPr>
        <w:pStyle w:val="Indenta"/>
      </w:pPr>
      <w:r>
        <w:tab/>
        <w:t>(c)</w:t>
      </w:r>
      <w:r>
        <w:tab/>
        <w:t>the broadcast must be both visual and audio; and</w:t>
      </w:r>
    </w:p>
    <w:p>
      <w:pPr>
        <w:pStyle w:val="Indenta"/>
      </w:pPr>
      <w:r>
        <w:tab/>
        <w:t>(d)</w:t>
      </w:r>
      <w:r>
        <w:tab/>
        <w:t>the quality of the broadcast must be sufficient to allow persons effectively to watch and listen to the deliberations and communications that are part of the meeting’s proceedings.</w:t>
      </w:r>
    </w:p>
    <w:p>
      <w:pPr>
        <w:pStyle w:val="Subsection"/>
      </w:pPr>
      <w:r>
        <w:tab/>
        <w:t>(4)</w:t>
      </w:r>
      <w:r>
        <w:tab/>
        <w:t>Despite subregulation (2), a council’s meeting, or a part of a council’s meeting, may be held without being publicly broadcast if, because of a technological failure beyond the control of the local government, it is not possible</w:t>
      </w:r>
      <w:r>
        <w:rPr>
          <w:b/>
        </w:rPr>
        <w:t xml:space="preserve"> </w:t>
      </w:r>
      <w:r>
        <w:t>for the meeting or part (as the case requires) to be publicly broadcast by means of the local government’s broadcast technology.</w:t>
      </w:r>
    </w:p>
    <w:p>
      <w:pPr>
        <w:pStyle w:val="Subsection"/>
      </w:pPr>
      <w:r>
        <w:lastRenderedPageBreak/>
        <w:tab/>
        <w:t>(5)</w:t>
      </w:r>
      <w:r>
        <w:tab/>
        <w:t>Despite subregulation (2), a local government must not publicly broadcast any closed proceedings of its council.</w:t>
      </w:r>
    </w:p>
    <w:p>
      <w:pPr>
        <w:pStyle w:val="Footnotesection"/>
      </w:pPr>
      <w:r>
        <w:tab/>
        <w:t>[Regulation 14H inserted: SL 2023/158 r. 5.]</w:t>
      </w:r>
    </w:p>
    <w:p>
      <w:pPr>
        <w:pStyle w:val="Heading5"/>
      </w:pPr>
      <w:bookmarkStart w:id="38" w:name="_Toc188005426"/>
      <w:r>
        <w:rPr>
          <w:rStyle w:val="CharSectno"/>
        </w:rPr>
        <w:t>14I</w:t>
      </w:r>
      <w:r>
        <w:t>.</w:t>
      </w:r>
      <w:r>
        <w:tab/>
        <w:t>Local governments to make recordings of council meetings</w:t>
      </w:r>
      <w:bookmarkEnd w:id="38"/>
    </w:p>
    <w:p>
      <w:pPr>
        <w:pStyle w:val="Subsection"/>
      </w:pPr>
      <w:r>
        <w:tab/>
        <w:t>(1)</w:t>
      </w:r>
      <w:r>
        <w:tab/>
        <w:t xml:space="preserve">A local government must — </w:t>
      </w:r>
    </w:p>
    <w:p>
      <w:pPr>
        <w:pStyle w:val="Indenta"/>
      </w:pPr>
      <w:r>
        <w:tab/>
        <w:t>(a)</w:t>
      </w:r>
      <w:r>
        <w:tab/>
        <w:t>make a recording of every meeting of its council in accordance with subregulation (2); and</w:t>
      </w:r>
    </w:p>
    <w:p>
      <w:pPr>
        <w:pStyle w:val="Indenta"/>
      </w:pPr>
      <w:r>
        <w:tab/>
        <w:t>(b)</w:t>
      </w:r>
      <w:r>
        <w:tab/>
        <w:t xml:space="preserve">make the recording publicly available — </w:t>
      </w:r>
    </w:p>
    <w:p>
      <w:pPr>
        <w:pStyle w:val="Indenti"/>
      </w:pPr>
      <w:r>
        <w:tab/>
        <w:t>(i)</w:t>
      </w:r>
      <w:r>
        <w:tab/>
        <w:t>within 14 days after the meeting day; and</w:t>
      </w:r>
    </w:p>
    <w:p>
      <w:pPr>
        <w:pStyle w:val="Indenti"/>
      </w:pPr>
      <w:r>
        <w:tab/>
        <w:t>(ii)</w:t>
      </w:r>
      <w:r>
        <w:tab/>
        <w:t>until, at least, the end of the period of 5 years after the meeting day;</w:t>
      </w:r>
    </w:p>
    <w:p>
      <w:pPr>
        <w:pStyle w:val="Indenta"/>
      </w:pPr>
      <w:r>
        <w:tab/>
      </w:r>
      <w:r>
        <w:tab/>
        <w:t>and</w:t>
      </w:r>
    </w:p>
    <w:p>
      <w:pPr>
        <w:pStyle w:val="Indenta"/>
      </w:pPr>
      <w:r>
        <w:tab/>
        <w:t>(c)</w:t>
      </w:r>
      <w:r>
        <w:tab/>
        <w:t>retain the recording until, at least, the end of the period of 5 years after the meeting day; and</w:t>
      </w:r>
    </w:p>
    <w:p>
      <w:pPr>
        <w:pStyle w:val="Indenta"/>
      </w:pPr>
      <w:r>
        <w:tab/>
        <w:t>(d)</w:t>
      </w:r>
      <w:r>
        <w:tab/>
        <w:t xml:space="preserve">provide a copy of the recording to the Departmental CEO if the Departmental CEO requests a copy under subregulation (11)(a) during — </w:t>
      </w:r>
    </w:p>
    <w:p>
      <w:pPr>
        <w:pStyle w:val="Indenti"/>
      </w:pPr>
      <w:r>
        <w:tab/>
        <w:t>(i)</w:t>
      </w:r>
      <w:r>
        <w:tab/>
        <w:t>the period of 5 years after the meeting day; or</w:t>
      </w:r>
    </w:p>
    <w:p>
      <w:pPr>
        <w:pStyle w:val="Indenti"/>
      </w:pPr>
      <w:r>
        <w:tab/>
        <w:t>(ii)</w:t>
      </w:r>
      <w:r>
        <w:tab/>
        <w:t>any longer period during which the local government retains the recording or any copy of it.</w:t>
      </w:r>
    </w:p>
    <w:p>
      <w:pPr>
        <w:pStyle w:val="Subsection"/>
      </w:pPr>
      <w:r>
        <w:tab/>
        <w:t>(2)</w:t>
      </w:r>
      <w:r>
        <w:tab/>
        <w:t xml:space="preserve">For the purposes of subregulation (1)(a) — </w:t>
      </w:r>
    </w:p>
    <w:p>
      <w:pPr>
        <w:pStyle w:val="Indenta"/>
      </w:pPr>
      <w:r>
        <w:tab/>
        <w:t>(a)</w:t>
      </w:r>
      <w:r>
        <w:tab/>
        <w:t xml:space="preserve">if the meeting is a meeting of the council of a class 1 local government or class 2 local government — the recording must be a video recording (with audio), except that the recording may be an audio only recording — </w:t>
      </w:r>
    </w:p>
    <w:p>
      <w:pPr>
        <w:pStyle w:val="Indenti"/>
      </w:pPr>
      <w:r>
        <w:tab/>
        <w:t>(i)</w:t>
      </w:r>
      <w:r>
        <w:tab/>
        <w:t>if the meeting is not held at the council’s usual meeting place and is not an electronic meeting; or</w:t>
      </w:r>
    </w:p>
    <w:p>
      <w:pPr>
        <w:pStyle w:val="Indenti"/>
        <w:keepNext/>
      </w:pPr>
      <w:r>
        <w:lastRenderedPageBreak/>
        <w:tab/>
        <w:t>(ii)</w:t>
      </w:r>
      <w:r>
        <w:tab/>
        <w:t>to the extent that the recording is of closed proceedings of the council;</w:t>
      </w:r>
    </w:p>
    <w:p>
      <w:pPr>
        <w:pStyle w:val="Indenta"/>
      </w:pPr>
      <w:r>
        <w:tab/>
      </w:r>
      <w:r>
        <w:tab/>
        <w:t>and</w:t>
      </w:r>
    </w:p>
    <w:p>
      <w:pPr>
        <w:pStyle w:val="Indenta"/>
      </w:pPr>
      <w:r>
        <w:tab/>
        <w:t>(b)</w:t>
      </w:r>
      <w:r>
        <w:tab/>
        <w:t>if, or to the extent that, the recording is a video recording (with audio) — the quality of the recording must be sufficient to allow persons effectively to watch and listen to the deliberations and communications that are part of the meeting’s proceedings; and</w:t>
      </w:r>
    </w:p>
    <w:p>
      <w:pPr>
        <w:pStyle w:val="Indenta"/>
      </w:pPr>
      <w:r>
        <w:tab/>
        <w:t>(c)</w:t>
      </w:r>
      <w:r>
        <w:tab/>
        <w:t>if, or to the extent that, the recording is an audio only recording — the quality of the recording must be sufficient to allow persons effectively to listen to the deliberations and communications that are part of the meeting’s proceedings.</w:t>
      </w:r>
    </w:p>
    <w:p>
      <w:pPr>
        <w:pStyle w:val="Subsection"/>
      </w:pPr>
      <w:r>
        <w:tab/>
        <w:t>(3)</w:t>
      </w:r>
      <w:r>
        <w:tab/>
        <w:t>Subregulation (4) applies to a council’s meeting, or a part of a council’s meeting, if, because of a technological failure beyond the control of the local government, it is not possible</w:t>
      </w:r>
      <w:r>
        <w:rPr>
          <w:b/>
        </w:rPr>
        <w:t xml:space="preserve"> </w:t>
      </w:r>
      <w:r>
        <w:t>for a recording of the meeting or part (as the case requires) to be made by means of the local government’s recording technology.</w:t>
      </w:r>
    </w:p>
    <w:p>
      <w:pPr>
        <w:pStyle w:val="Subsection"/>
      </w:pPr>
      <w:r>
        <w:tab/>
        <w:t>(4)</w:t>
      </w:r>
      <w:r>
        <w:tab/>
        <w:t xml:space="preserve">Despite subregulation (1)(a), the meeting or part may be held so long as the local government does everything that is reasonably practicable to make a recording (an </w:t>
      </w:r>
      <w:r>
        <w:rPr>
          <w:rStyle w:val="CharDefText"/>
        </w:rPr>
        <w:t>improvised recording</w:t>
      </w:r>
      <w:r>
        <w:t>) of the meeting or part by means other than the local government’s recording technology.</w:t>
      </w:r>
    </w:p>
    <w:p>
      <w:pPr>
        <w:pStyle w:val="Subsection"/>
      </w:pPr>
      <w:r>
        <w:tab/>
        <w:t>(5)</w:t>
      </w:r>
      <w:r>
        <w:tab/>
        <w:t xml:space="preserve">An improvised recording must — </w:t>
      </w:r>
    </w:p>
    <w:p>
      <w:pPr>
        <w:pStyle w:val="Indenta"/>
      </w:pPr>
      <w:r>
        <w:tab/>
        <w:t>(a)</w:t>
      </w:r>
      <w:r>
        <w:tab/>
        <w:t>cover as much of the meeting or part as it is reasonably practicable to cover; and</w:t>
      </w:r>
    </w:p>
    <w:p>
      <w:pPr>
        <w:pStyle w:val="Indenta"/>
      </w:pPr>
      <w:r>
        <w:tab/>
        <w:t>(b)</w:t>
      </w:r>
      <w:r>
        <w:tab/>
        <w:t>meet the requirement of subregulation (2)(b) or (c) (as applicable) to the extent reasonably practicable.</w:t>
      </w:r>
    </w:p>
    <w:p>
      <w:pPr>
        <w:pStyle w:val="Subsection"/>
      </w:pPr>
      <w:r>
        <w:tab/>
        <w:t>(6)</w:t>
      </w:r>
      <w:r>
        <w:tab/>
        <w:t xml:space="preserve">If a meeting or part is held under subregulation (4) and an improvised recording is made — </w:t>
      </w:r>
    </w:p>
    <w:p>
      <w:pPr>
        <w:pStyle w:val="Indenta"/>
      </w:pPr>
      <w:r>
        <w:tab/>
        <w:t>(a)</w:t>
      </w:r>
      <w:r>
        <w:tab/>
        <w:t>subregulation (1)(b) to (d) apply to the improvised recording; and</w:t>
      </w:r>
    </w:p>
    <w:p>
      <w:pPr>
        <w:pStyle w:val="Indenta"/>
      </w:pPr>
      <w:r>
        <w:lastRenderedPageBreak/>
        <w:tab/>
        <w:t>(b)</w:t>
      </w:r>
      <w:r>
        <w:tab/>
        <w:t xml:space="preserve">the local government must publish on its official website, for the period during which it makes the improvised recording publicly available under subregulation (1)(b), a notice that does the following in effect — </w:t>
      </w:r>
    </w:p>
    <w:p>
      <w:pPr>
        <w:pStyle w:val="Indenti"/>
      </w:pPr>
      <w:r>
        <w:tab/>
        <w:t>(i)</w:t>
      </w:r>
      <w:r>
        <w:tab/>
        <w:t>states that it was not possible for a recording of the meeting or part to be made by means of the local government’s recording technology and explains why that was the case;</w:t>
      </w:r>
    </w:p>
    <w:p>
      <w:pPr>
        <w:pStyle w:val="Indenti"/>
      </w:pPr>
      <w:r>
        <w:tab/>
        <w:t>(ii)</w:t>
      </w:r>
      <w:r>
        <w:tab/>
        <w:t>states that the improvised recording was made by means other than the local government’s recording technology;</w:t>
      </w:r>
    </w:p>
    <w:p>
      <w:pPr>
        <w:pStyle w:val="Indenti"/>
      </w:pPr>
      <w:r>
        <w:tab/>
        <w:t>(iii)</w:t>
      </w:r>
      <w:r>
        <w:tab/>
        <w:t>states the means by which the improvised recording was made;</w:t>
      </w:r>
    </w:p>
    <w:p>
      <w:pPr>
        <w:pStyle w:val="Indenti"/>
      </w:pPr>
      <w:r>
        <w:tab/>
        <w:t>(iv)</w:t>
      </w:r>
      <w:r>
        <w:tab/>
        <w:t>states any deficiencies in the improvised recording and explains the reasons for them.</w:t>
      </w:r>
    </w:p>
    <w:p>
      <w:pPr>
        <w:pStyle w:val="PermNoteHeading"/>
      </w:pPr>
      <w:r>
        <w:tab/>
        <w:t>Examples for this subparagraph:</w:t>
      </w:r>
    </w:p>
    <w:p>
      <w:pPr>
        <w:pStyle w:val="PermNoteText"/>
      </w:pPr>
      <w:r>
        <w:tab/>
        <w:t>1.</w:t>
      </w:r>
      <w:r>
        <w:tab/>
        <w:t>The improvised recording is deficient if it does not cover the whole of the meeting or part.</w:t>
      </w:r>
    </w:p>
    <w:p>
      <w:pPr>
        <w:pStyle w:val="PermNoteText"/>
      </w:pPr>
      <w:r>
        <w:tab/>
        <w:t>2.</w:t>
      </w:r>
      <w:r>
        <w:tab/>
        <w:t>The improvised recording is deficient if it does not meet the requirement of subregulation (2)(b) or (c) (as applicable).</w:t>
      </w:r>
    </w:p>
    <w:p>
      <w:pPr>
        <w:pStyle w:val="Subsection"/>
      </w:pPr>
      <w:r>
        <w:tab/>
        <w:t>(7)</w:t>
      </w:r>
      <w:r>
        <w:tab/>
        <w:t xml:space="preserve">Subregulation (8) applies if — </w:t>
      </w:r>
    </w:p>
    <w:p>
      <w:pPr>
        <w:pStyle w:val="Indenta"/>
      </w:pPr>
      <w:r>
        <w:tab/>
        <w:t>(a)</w:t>
      </w:r>
      <w:r>
        <w:tab/>
        <w:t>a meeting or part is held under subregulation (4); but</w:t>
      </w:r>
    </w:p>
    <w:p>
      <w:pPr>
        <w:pStyle w:val="Indenta"/>
      </w:pPr>
      <w:r>
        <w:tab/>
        <w:t>(b)</w:t>
      </w:r>
      <w:r>
        <w:tab/>
        <w:t>no improvised recording is made because it is not reasonably practicable for the local government to make any improvised recording.</w:t>
      </w:r>
    </w:p>
    <w:p>
      <w:pPr>
        <w:pStyle w:val="Subsection"/>
      </w:pPr>
      <w:r>
        <w:tab/>
        <w:t>(8)</w:t>
      </w:r>
      <w:r>
        <w:tab/>
        <w:t xml:space="preserve">The local government must publish on its official website, in accordance with the timings in subregulation (1)(b)(i) and (ii), a notice that does the following in effect — </w:t>
      </w:r>
    </w:p>
    <w:p>
      <w:pPr>
        <w:pStyle w:val="Indenta"/>
      </w:pPr>
      <w:r>
        <w:tab/>
        <w:t>(a)</w:t>
      </w:r>
      <w:r>
        <w:tab/>
        <w:t>states that it was not possible for a recording of the meeting or part to be made by means of the local government’s recording technology and explains why that was the case;</w:t>
      </w:r>
    </w:p>
    <w:p>
      <w:pPr>
        <w:pStyle w:val="Indenta"/>
      </w:pPr>
      <w:r>
        <w:lastRenderedPageBreak/>
        <w:tab/>
        <w:t>(b)</w:t>
      </w:r>
      <w:r>
        <w:tab/>
        <w:t>states that no improvised recording was made;</w:t>
      </w:r>
    </w:p>
    <w:p>
      <w:pPr>
        <w:pStyle w:val="Indenta"/>
      </w:pPr>
      <w:r>
        <w:tab/>
        <w:t>(c)</w:t>
      </w:r>
      <w:r>
        <w:tab/>
        <w:t>states that it was not reasonably practicable for the local government to make any improvised recording and explains why that was the case.</w:t>
      </w:r>
    </w:p>
    <w:p>
      <w:pPr>
        <w:pStyle w:val="Subsection"/>
      </w:pPr>
      <w:r>
        <w:tab/>
        <w:t>(9)</w:t>
      </w:r>
      <w:r>
        <w:tab/>
        <w:t xml:space="preserve">If a part of a meeting is held under subregulation (4) — </w:t>
      </w:r>
    </w:p>
    <w:p>
      <w:pPr>
        <w:pStyle w:val="Indenta"/>
      </w:pPr>
      <w:r>
        <w:tab/>
        <w:t>(a)</w:t>
      </w:r>
      <w:r>
        <w:tab/>
        <w:t>the local government must make a recording of the rest of the meeting under subregulation (1)(a) by means of the local government’s recording technology; and</w:t>
      </w:r>
    </w:p>
    <w:p>
      <w:pPr>
        <w:pStyle w:val="Indenta"/>
      </w:pPr>
      <w:r>
        <w:tab/>
        <w:t>(b)</w:t>
      </w:r>
      <w:r>
        <w:tab/>
        <w:t>subregulation (1)(b) to (d) apply to that recording accordingly.</w:t>
      </w:r>
    </w:p>
    <w:p>
      <w:pPr>
        <w:pStyle w:val="Subsection"/>
      </w:pPr>
      <w:r>
        <w:tab/>
        <w:t>(10)</w:t>
      </w:r>
      <w:r>
        <w:tab/>
        <w:t>Despite subregulation (1)(b), a local government must not make a recording publicly available to the extent that the recording is of closed proceedings of its council.</w:t>
      </w:r>
    </w:p>
    <w:p>
      <w:pPr>
        <w:pStyle w:val="PermNoteHeading"/>
      </w:pPr>
      <w:r>
        <w:tab/>
        <w:t>Note for this subregulation:</w:t>
      </w:r>
    </w:p>
    <w:p>
      <w:pPr>
        <w:pStyle w:val="PermNoteText"/>
      </w:pPr>
      <w:r>
        <w:tab/>
      </w:r>
      <w:r>
        <w:tab/>
        <w:t>This subregulation does not affect a local government’s duty to make a recording under subregulation (1)(a) of any closed proceedings of its council, to retain the recording under subregulation (1)(c) and to provide a copy of the recording to the Departmental CEO under subregulation (1)(d) if requested under subregulation (11)(a).</w:t>
      </w:r>
    </w:p>
    <w:p>
      <w:pPr>
        <w:pStyle w:val="Subsection"/>
      </w:pPr>
      <w:r>
        <w:tab/>
        <w:t>(11)</w:t>
      </w:r>
      <w:r>
        <w:tab/>
        <w:t xml:space="preserve">For the purposes of subregulation (1)(d) — </w:t>
      </w:r>
    </w:p>
    <w:p>
      <w:pPr>
        <w:pStyle w:val="Indenta"/>
      </w:pPr>
      <w:r>
        <w:tab/>
        <w:t>(a)</w:t>
      </w:r>
      <w:r>
        <w:tab/>
        <w:t>the Departmental CEO may request a copy of the recording for the purpose of obtaining information about a matter concerning the local government or its operations or affairs; and</w:t>
      </w:r>
    </w:p>
    <w:p>
      <w:pPr>
        <w:pStyle w:val="Indenta"/>
      </w:pPr>
      <w:r>
        <w:tab/>
        <w:t>(b)</w:t>
      </w:r>
      <w:r>
        <w:tab/>
        <w:t xml:space="preserve">the quality of the copy provided to the Departmental CEO — </w:t>
      </w:r>
    </w:p>
    <w:p>
      <w:pPr>
        <w:pStyle w:val="Indenti"/>
      </w:pPr>
      <w:r>
        <w:tab/>
        <w:t>(i)</w:t>
      </w:r>
      <w:r>
        <w:tab/>
        <w:t>must be substantially the same as the quality of the recording; and</w:t>
      </w:r>
    </w:p>
    <w:p>
      <w:pPr>
        <w:pStyle w:val="Indenti"/>
      </w:pPr>
      <w:r>
        <w:tab/>
        <w:t>(ii)</w:t>
      </w:r>
      <w:r>
        <w:tab/>
        <w:t>without limiting subparagraph (i), must meet the requirement of subregulation (2)(b) or (c) (as applicable), subject to subregulation (5)(b) if the recording is an improvised recording.</w:t>
      </w:r>
    </w:p>
    <w:p>
      <w:pPr>
        <w:pStyle w:val="Footnotesection"/>
      </w:pPr>
      <w:r>
        <w:tab/>
        <w:t>[Regulation 14I inserted: SL 2023/158 r. 5.]</w:t>
      </w:r>
    </w:p>
    <w:p>
      <w:pPr>
        <w:pStyle w:val="Heading5"/>
      </w:pPr>
      <w:bookmarkStart w:id="39" w:name="_Toc188005427"/>
      <w:r>
        <w:rPr>
          <w:rStyle w:val="CharSectno"/>
        </w:rPr>
        <w:lastRenderedPageBreak/>
        <w:t>14J</w:t>
      </w:r>
      <w:r>
        <w:t>.</w:t>
      </w:r>
      <w:r>
        <w:tab/>
        <w:t>Informing members of public of broadcasting or recording</w:t>
      </w:r>
      <w:bookmarkEnd w:id="39"/>
    </w:p>
    <w:p>
      <w:pPr>
        <w:pStyle w:val="Subsection"/>
      </w:pPr>
      <w:r>
        <w:tab/>
      </w:r>
      <w:r>
        <w:tab/>
        <w:t xml:space="preserve">A local government must take reasonable steps to ensure that members of the public attending a meeting of its council are informed beforehand of the following, as applicable — </w:t>
      </w:r>
    </w:p>
    <w:p>
      <w:pPr>
        <w:pStyle w:val="Indenta"/>
      </w:pPr>
      <w:r>
        <w:tab/>
        <w:t>(a)</w:t>
      </w:r>
      <w:r>
        <w:tab/>
        <w:t>that the meeting will be publicly broadcast;</w:t>
      </w:r>
    </w:p>
    <w:p>
      <w:pPr>
        <w:pStyle w:val="Indenta"/>
      </w:pPr>
      <w:r>
        <w:tab/>
        <w:t>(b)</w:t>
      </w:r>
      <w:r>
        <w:tab/>
        <w:t>that a recording of the meeting will be made.</w:t>
      </w:r>
    </w:p>
    <w:p>
      <w:pPr>
        <w:pStyle w:val="PermNoteHeading"/>
      </w:pPr>
      <w:r>
        <w:tab/>
        <w:t>Example for this regulation:</w:t>
      </w:r>
    </w:p>
    <w:p>
      <w:pPr>
        <w:pStyle w:val="PermNoteText"/>
      </w:pPr>
      <w:r>
        <w:tab/>
      </w:r>
      <w:r>
        <w:tab/>
        <w:t>Members of the public could be informed by means of a notice displayed in a prominent place near or inside the meeting room.</w:t>
      </w:r>
    </w:p>
    <w:p>
      <w:pPr>
        <w:pStyle w:val="Footnotesection"/>
      </w:pPr>
      <w:r>
        <w:tab/>
        <w:t>[Regulation 14J inserted: SL 2023/158 r. 5.]</w:t>
      </w:r>
    </w:p>
    <w:p>
      <w:pPr>
        <w:pStyle w:val="Heading5"/>
      </w:pPr>
      <w:bookmarkStart w:id="40" w:name="_Toc188005428"/>
      <w:r>
        <w:rPr>
          <w:rStyle w:val="CharSectno"/>
        </w:rPr>
        <w:t>14K</w:t>
      </w:r>
      <w:r>
        <w:t>.</w:t>
      </w:r>
      <w:r>
        <w:tab/>
        <w:t>Defamation</w:t>
      </w:r>
      <w:bookmarkEnd w:id="40"/>
    </w:p>
    <w:p>
      <w:pPr>
        <w:pStyle w:val="Subsection"/>
      </w:pPr>
      <w:r>
        <w:tab/>
        <w:t>(1)</w:t>
      </w:r>
      <w:r>
        <w:tab/>
        <w:t xml:space="preserve">A local government is not liable to an action for defamation in relation to any of the following done by the local government as required or authorised under this Part — </w:t>
      </w:r>
    </w:p>
    <w:p>
      <w:pPr>
        <w:pStyle w:val="Indenta"/>
      </w:pPr>
      <w:r>
        <w:tab/>
        <w:t>(a)</w:t>
      </w:r>
      <w:r>
        <w:tab/>
        <w:t>publicly broadcasting a meeting;</w:t>
      </w:r>
    </w:p>
    <w:p>
      <w:pPr>
        <w:pStyle w:val="Indenta"/>
      </w:pPr>
      <w:r>
        <w:tab/>
        <w:t>(b)</w:t>
      </w:r>
      <w:r>
        <w:tab/>
        <w:t>making a recording of a meeting;</w:t>
      </w:r>
    </w:p>
    <w:p>
      <w:pPr>
        <w:pStyle w:val="Indenta"/>
      </w:pPr>
      <w:r>
        <w:tab/>
        <w:t>(c)</w:t>
      </w:r>
      <w:r>
        <w:tab/>
        <w:t>making a recording of a meeting publicly available;</w:t>
      </w:r>
    </w:p>
    <w:p>
      <w:pPr>
        <w:pStyle w:val="Indenta"/>
      </w:pPr>
      <w:r>
        <w:tab/>
        <w:t>(d)</w:t>
      </w:r>
      <w:r>
        <w:tab/>
        <w:t>retaining a recording of a meeting or a copy of a recording;</w:t>
      </w:r>
    </w:p>
    <w:p>
      <w:pPr>
        <w:pStyle w:val="Indenta"/>
      </w:pPr>
      <w:r>
        <w:tab/>
        <w:t>(e)</w:t>
      </w:r>
      <w:r>
        <w:tab/>
        <w:t>providing a copy of a recording of a meeting to the Departmental CEO.</w:t>
      </w:r>
    </w:p>
    <w:p>
      <w:pPr>
        <w:pStyle w:val="Subsection"/>
      </w:pPr>
      <w:r>
        <w:tab/>
        <w:t>(2)</w:t>
      </w:r>
      <w:r>
        <w:tab/>
        <w:t>In subregulation (1), references to a meeting include a part of a meeting.</w:t>
      </w:r>
    </w:p>
    <w:p>
      <w:pPr>
        <w:pStyle w:val="Footnotesection"/>
      </w:pPr>
      <w:r>
        <w:tab/>
        <w:t>[Regulation 14K inserted: SL 2023/158 r. 5.]</w:t>
      </w:r>
    </w:p>
    <w:p>
      <w:pPr>
        <w:pStyle w:val="Heading2"/>
      </w:pPr>
      <w:bookmarkStart w:id="41" w:name="_Toc187998494"/>
      <w:bookmarkStart w:id="42" w:name="_Toc188001171"/>
      <w:bookmarkStart w:id="43" w:name="_Toc188005429"/>
      <w:r>
        <w:rPr>
          <w:rStyle w:val="CharPartNo"/>
        </w:rPr>
        <w:lastRenderedPageBreak/>
        <w:t>Part 3</w:t>
      </w:r>
      <w:r>
        <w:rPr>
          <w:rStyle w:val="CharDivNo"/>
        </w:rPr>
        <w:t> </w:t>
      </w:r>
      <w:r>
        <w:t>—</w:t>
      </w:r>
      <w:r>
        <w:rPr>
          <w:rStyle w:val="CharDivText"/>
        </w:rPr>
        <w:t> </w:t>
      </w:r>
      <w:r>
        <w:rPr>
          <w:rStyle w:val="CharPartText"/>
        </w:rPr>
        <w:t>Electors’ meetings</w:t>
      </w:r>
      <w:bookmarkEnd w:id="41"/>
      <w:bookmarkEnd w:id="42"/>
      <w:bookmarkEnd w:id="43"/>
    </w:p>
    <w:p>
      <w:pPr>
        <w:pStyle w:val="Footnoteheading"/>
      </w:pPr>
      <w:r>
        <w:tab/>
        <w:t>[Heading inserted: Gazette 26 Aug 2011 p. 3482.]</w:t>
      </w:r>
    </w:p>
    <w:p>
      <w:pPr>
        <w:pStyle w:val="Heading5"/>
        <w:rPr>
          <w:snapToGrid w:val="0"/>
        </w:rPr>
      </w:pPr>
      <w:bookmarkStart w:id="44" w:name="_Toc188005430"/>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44"/>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45" w:name="_Toc188005431"/>
      <w:r>
        <w:rPr>
          <w:rStyle w:val="CharSectno"/>
        </w:rPr>
        <w:t>16</w:t>
      </w:r>
      <w:r>
        <w:rPr>
          <w:snapToGrid w:val="0"/>
        </w:rPr>
        <w:t>.</w:t>
      </w:r>
      <w:r>
        <w:rPr>
          <w:snapToGrid w:val="0"/>
        </w:rPr>
        <w:tab/>
        <w:t>Request for special meeting, form of (Act s. 5.28(2))</w:t>
      </w:r>
      <w:bookmarkEnd w:id="45"/>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46" w:name="_Toc188005432"/>
      <w:r>
        <w:rPr>
          <w:rStyle w:val="CharSectno"/>
        </w:rPr>
        <w:t>17</w:t>
      </w:r>
      <w:r>
        <w:rPr>
          <w:snapToGrid w:val="0"/>
        </w:rPr>
        <w:t>.</w:t>
      </w:r>
      <w:r>
        <w:rPr>
          <w:snapToGrid w:val="0"/>
        </w:rPr>
        <w:tab/>
        <w:t>Voting at meeting </w:t>
      </w:r>
      <w:r>
        <w:t>(Act </w:t>
      </w:r>
      <w:r>
        <w:rPr>
          <w:snapToGrid w:val="0"/>
        </w:rPr>
        <w:t>s. 5.31)</w:t>
      </w:r>
      <w:bookmarkEnd w:id="46"/>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47" w:name="_Toc188005433"/>
      <w:r>
        <w:rPr>
          <w:rStyle w:val="CharSectno"/>
        </w:rPr>
        <w:t>18</w:t>
      </w:r>
      <w:r>
        <w:rPr>
          <w:snapToGrid w:val="0"/>
        </w:rPr>
        <w:t>.</w:t>
      </w:r>
      <w:r>
        <w:rPr>
          <w:snapToGrid w:val="0"/>
        </w:rPr>
        <w:tab/>
        <w:t>Procedure at meeting </w:t>
      </w:r>
      <w:r>
        <w:t>(Act </w:t>
      </w:r>
      <w:r>
        <w:rPr>
          <w:snapToGrid w:val="0"/>
        </w:rPr>
        <w:t>s. 5.31)</w:t>
      </w:r>
      <w:bookmarkEnd w:id="47"/>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48" w:name="_Toc187998499"/>
      <w:bookmarkStart w:id="49" w:name="_Toc188001176"/>
      <w:bookmarkStart w:id="50" w:name="_Toc188005434"/>
      <w:r>
        <w:rPr>
          <w:rStyle w:val="CharPartNo"/>
        </w:rPr>
        <w:lastRenderedPageBreak/>
        <w:t>Part 4</w:t>
      </w:r>
      <w:r>
        <w:rPr>
          <w:rStyle w:val="CharDivNo"/>
        </w:rPr>
        <w:t> </w:t>
      </w:r>
      <w:r>
        <w:t>—</w:t>
      </w:r>
      <w:r>
        <w:rPr>
          <w:rStyle w:val="CharDivText"/>
        </w:rPr>
        <w:t> </w:t>
      </w:r>
      <w:r>
        <w:rPr>
          <w:rStyle w:val="CharPartText"/>
        </w:rPr>
        <w:t>Local government employees</w:t>
      </w:r>
      <w:bookmarkEnd w:id="48"/>
      <w:bookmarkEnd w:id="49"/>
      <w:bookmarkEnd w:id="50"/>
    </w:p>
    <w:p>
      <w:pPr>
        <w:pStyle w:val="Footnoteheading"/>
      </w:pPr>
      <w:r>
        <w:tab/>
        <w:t>[Heading inserted: Gazette 26 Aug 2011 p. 3482.]</w:t>
      </w:r>
    </w:p>
    <w:p>
      <w:pPr>
        <w:pStyle w:val="Heading5"/>
      </w:pPr>
      <w:bookmarkStart w:id="51" w:name="_Toc188005435"/>
      <w:r>
        <w:rPr>
          <w:rStyle w:val="CharSectno"/>
        </w:rPr>
        <w:t>18A</w:t>
      </w:r>
      <w:r>
        <w:t>.</w:t>
      </w:r>
      <w:r>
        <w:tab/>
        <w:t>Vacancy in position of CEO or senior employee to be advertised (Act s. 5.36(4) and 5.37(3))</w:t>
      </w:r>
      <w:bookmarkEnd w:id="51"/>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52" w:name="_Toc188005436"/>
      <w:r>
        <w:rPr>
          <w:rStyle w:val="CharSectno"/>
        </w:rPr>
        <w:lastRenderedPageBreak/>
        <w:t>18B</w:t>
      </w:r>
      <w:r>
        <w:t>.</w:t>
      </w:r>
      <w:r>
        <w:tab/>
        <w:t>Contracts of CEOs and senior employees, content of (Act s. 5.39(3)(c))</w:t>
      </w:r>
      <w:bookmarkEnd w:id="52"/>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53" w:name="_Toc188005437"/>
      <w:r>
        <w:rPr>
          <w:rStyle w:val="CharSectno"/>
        </w:rPr>
        <w:t>18E</w:t>
      </w:r>
      <w:r>
        <w:t>.</w:t>
      </w:r>
      <w:r>
        <w:tab/>
        <w:t>False information in application for CEO position, offence</w:t>
      </w:r>
      <w:bookmarkEnd w:id="53"/>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54" w:name="_Toc188005438"/>
      <w:r>
        <w:rPr>
          <w:rStyle w:val="CharSectno"/>
        </w:rPr>
        <w:lastRenderedPageBreak/>
        <w:t>18F</w:t>
      </w:r>
      <w:r>
        <w:t>.</w:t>
      </w:r>
      <w:r>
        <w:tab/>
        <w:t>Remuneration and benefits of CEO to be as advertised</w:t>
      </w:r>
      <w:bookmarkEnd w:id="54"/>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55" w:name="_Toc188005439"/>
      <w:r>
        <w:rPr>
          <w:rStyle w:val="CharSectno"/>
        </w:rPr>
        <w:t>18FA</w:t>
      </w:r>
      <w:r>
        <w:t>.</w:t>
      </w:r>
      <w:r>
        <w:tab/>
        <w:t>Model standards for CEO recruitment, performance and termination (Act s. 5.39A(1))</w:t>
      </w:r>
      <w:bookmarkEnd w:id="55"/>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56" w:name="_Toc188005440"/>
      <w:r>
        <w:rPr>
          <w:rStyle w:val="CharSectno"/>
        </w:rPr>
        <w:t>18FB</w:t>
      </w:r>
      <w:r>
        <w:t>.</w:t>
      </w:r>
      <w:r>
        <w:tab/>
        <w:t>Certification of compliance with adopted standards for CEO recruitment (Act s. 5.39B(7))</w:t>
      </w:r>
      <w:bookmarkEnd w:id="56"/>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 xml:space="preserve">As soon as practicable after the person is employed in the position of CEO, the local government must, by resolution*, </w:t>
      </w:r>
      <w:r>
        <w:lastRenderedPageBreak/>
        <w:t>certify that the person was employed in accordance with the 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57" w:name="_Toc188005441"/>
      <w:r>
        <w:rPr>
          <w:rStyle w:val="CharSectno"/>
        </w:rPr>
        <w:t>18FC</w:t>
      </w:r>
      <w:r>
        <w:t>.</w:t>
      </w:r>
      <w:r>
        <w:tab/>
        <w:t>Certification of compliance with adopted standards for CEO termination (Act s. 5.39B(7))</w:t>
      </w:r>
      <w:bookmarkEnd w:id="57"/>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58" w:name="_Toc188005442"/>
      <w:r>
        <w:rPr>
          <w:rStyle w:val="CharSectno"/>
        </w:rPr>
        <w:t>18G</w:t>
      </w:r>
      <w:r>
        <w:t>.</w:t>
      </w:r>
      <w:r>
        <w:tab/>
        <w:t>Delegations to CEOs, limits on (Act s. 5.43)</w:t>
      </w:r>
      <w:bookmarkEnd w:id="58"/>
    </w:p>
    <w:p>
      <w:pPr>
        <w:pStyle w:val="Subsection"/>
      </w:pPr>
      <w:r>
        <w:tab/>
      </w:r>
      <w:r>
        <w:tab/>
        <w:t xml:space="preserve">Powers and duties of a local government exercised under the following provisions are prescribed under section 5.43(i) as </w:t>
      </w:r>
      <w:r>
        <w:lastRenderedPageBreak/>
        <w:t>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59" w:name="_Toc188005443"/>
      <w:r>
        <w:rPr>
          <w:rStyle w:val="CharSectno"/>
        </w:rPr>
        <w:t>19</w:t>
      </w:r>
      <w:r>
        <w:rPr>
          <w:snapToGrid w:val="0"/>
        </w:rPr>
        <w:t>.</w:t>
      </w:r>
      <w:r>
        <w:rPr>
          <w:snapToGrid w:val="0"/>
        </w:rPr>
        <w:tab/>
        <w:t xml:space="preserve">Delegates to keep certain records </w:t>
      </w:r>
      <w:r>
        <w:t>(Act </w:t>
      </w:r>
      <w:r>
        <w:rPr>
          <w:snapToGrid w:val="0"/>
        </w:rPr>
        <w:t>s. 5.46(3))</w:t>
      </w:r>
      <w:bookmarkEnd w:id="59"/>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60" w:name="_Toc188005444"/>
      <w:r>
        <w:rPr>
          <w:rStyle w:val="CharSectno"/>
        </w:rPr>
        <w:t>19A</w:t>
      </w:r>
      <w:r>
        <w:t>.</w:t>
      </w:r>
      <w:r>
        <w:tab/>
        <w:t>Payments in addition to contract or award, limits of (Act s. 5.50(3))</w:t>
      </w:r>
      <w:bookmarkEnd w:id="60"/>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keepNext/>
      </w:pPr>
      <w:r>
        <w:lastRenderedPageBreak/>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61" w:name="_Toc187998510"/>
      <w:bookmarkStart w:id="62" w:name="_Toc188001187"/>
      <w:bookmarkStart w:id="63" w:name="_Toc188005445"/>
      <w:r>
        <w:rPr>
          <w:rStyle w:val="CharPartNo"/>
        </w:rPr>
        <w:lastRenderedPageBreak/>
        <w:t>Part 4A</w:t>
      </w:r>
      <w:r>
        <w:rPr>
          <w:b w:val="0"/>
        </w:rPr>
        <w:t> </w:t>
      </w:r>
      <w:r>
        <w:t>—</w:t>
      </w:r>
      <w:r>
        <w:rPr>
          <w:b w:val="0"/>
        </w:rPr>
        <w:t> </w:t>
      </w:r>
      <w:r>
        <w:rPr>
          <w:rStyle w:val="CharPartText"/>
        </w:rPr>
        <w:t>Codes of conduct for local government employees (Act s. 5.51A(4))</w:t>
      </w:r>
      <w:bookmarkEnd w:id="61"/>
      <w:bookmarkEnd w:id="62"/>
      <w:bookmarkEnd w:id="63"/>
    </w:p>
    <w:p>
      <w:pPr>
        <w:pStyle w:val="Footnoteheading"/>
      </w:pPr>
      <w:r>
        <w:tab/>
        <w:t>[Heading inserted: SL 2021/16 r. 4.]</w:t>
      </w:r>
    </w:p>
    <w:p>
      <w:pPr>
        <w:pStyle w:val="Heading3"/>
      </w:pPr>
      <w:bookmarkStart w:id="64" w:name="_Toc187998511"/>
      <w:bookmarkStart w:id="65" w:name="_Toc188001188"/>
      <w:bookmarkStart w:id="66" w:name="_Toc188005446"/>
      <w:r>
        <w:rPr>
          <w:rStyle w:val="CharDivNo"/>
        </w:rPr>
        <w:t>Division 1</w:t>
      </w:r>
      <w:r>
        <w:t> — </w:t>
      </w:r>
      <w:r>
        <w:rPr>
          <w:rStyle w:val="CharDivText"/>
        </w:rPr>
        <w:t>Terms used</w:t>
      </w:r>
      <w:bookmarkEnd w:id="64"/>
      <w:bookmarkEnd w:id="65"/>
      <w:bookmarkEnd w:id="66"/>
    </w:p>
    <w:p>
      <w:pPr>
        <w:pStyle w:val="Footnoteheading"/>
      </w:pPr>
      <w:r>
        <w:tab/>
        <w:t>[Heading inserted: SL 2021/16 r. 4.]</w:t>
      </w:r>
    </w:p>
    <w:p>
      <w:pPr>
        <w:pStyle w:val="Heading5"/>
      </w:pPr>
      <w:bookmarkStart w:id="67" w:name="_Toc188005447"/>
      <w:r>
        <w:rPr>
          <w:rStyle w:val="CharSectno"/>
        </w:rPr>
        <w:t>19AA</w:t>
      </w:r>
      <w:r>
        <w:t>.</w:t>
      </w:r>
      <w:r>
        <w:tab/>
        <w:t>Terms used</w:t>
      </w:r>
      <w:bookmarkEnd w:id="67"/>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lastRenderedPageBreak/>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68" w:name="_Toc187998513"/>
      <w:bookmarkStart w:id="69" w:name="_Toc188001190"/>
      <w:bookmarkStart w:id="70" w:name="_Toc188005448"/>
      <w:r>
        <w:rPr>
          <w:rStyle w:val="CharDivNo"/>
        </w:rPr>
        <w:lastRenderedPageBreak/>
        <w:t>Division 2</w:t>
      </w:r>
      <w:r>
        <w:t> — </w:t>
      </w:r>
      <w:r>
        <w:rPr>
          <w:rStyle w:val="CharDivText"/>
        </w:rPr>
        <w:t>Content of codes of conduct</w:t>
      </w:r>
      <w:bookmarkEnd w:id="68"/>
      <w:bookmarkEnd w:id="69"/>
      <w:bookmarkEnd w:id="70"/>
    </w:p>
    <w:p>
      <w:pPr>
        <w:pStyle w:val="Footnoteheading"/>
        <w:keepNext/>
      </w:pPr>
      <w:r>
        <w:tab/>
        <w:t>[Heading inserted: SL 2021/16 r. 4.]</w:t>
      </w:r>
    </w:p>
    <w:p>
      <w:pPr>
        <w:pStyle w:val="Heading5"/>
      </w:pPr>
      <w:bookmarkStart w:id="71" w:name="_Toc188005449"/>
      <w:r>
        <w:rPr>
          <w:rStyle w:val="CharSectno"/>
        </w:rPr>
        <w:t>19AB</w:t>
      </w:r>
      <w:r>
        <w:t>.</w:t>
      </w:r>
      <w:r>
        <w:tab/>
        <w:t>Prohibited gifts</w:t>
      </w:r>
      <w:bookmarkEnd w:id="71"/>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72" w:name="_Toc188005450"/>
      <w:r>
        <w:rPr>
          <w:rStyle w:val="CharSectno"/>
        </w:rPr>
        <w:t>19AC</w:t>
      </w:r>
      <w:r>
        <w:t>.</w:t>
      </w:r>
      <w:r>
        <w:tab/>
        <w:t>Recording, storing, disclosure and use of information relating to gifts</w:t>
      </w:r>
      <w:bookmarkEnd w:id="72"/>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73" w:name="_Toc188005451"/>
      <w:r>
        <w:rPr>
          <w:rStyle w:val="CharSectno"/>
        </w:rPr>
        <w:t>19AD</w:t>
      </w:r>
      <w:r>
        <w:t>.</w:t>
      </w:r>
      <w:r>
        <w:tab/>
        <w:t>Conflicts of interest</w:t>
      </w:r>
      <w:bookmarkEnd w:id="73"/>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lastRenderedPageBreak/>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keepNext/>
      </w:pPr>
      <w:r>
        <w:lastRenderedPageBreak/>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74" w:name="_Toc188005452"/>
      <w:r>
        <w:rPr>
          <w:rStyle w:val="CharSectno"/>
        </w:rPr>
        <w:t>19AE</w:t>
      </w:r>
      <w:r>
        <w:t>.</w:t>
      </w:r>
      <w:r>
        <w:tab/>
        <w:t>Other matters codes of conduct must deal with</w:t>
      </w:r>
      <w:bookmarkEnd w:id="74"/>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lastRenderedPageBreak/>
        <w:tab/>
        <w:t>(b)</w:t>
      </w:r>
      <w:r>
        <w:tab/>
        <w:t>how the records of the local government are to be kept; and</w:t>
      </w:r>
    </w:p>
    <w:p>
      <w:pPr>
        <w:pStyle w:val="Indenta"/>
      </w:pPr>
      <w:r>
        <w:tab/>
        <w:t>(c)</w:t>
      </w:r>
      <w:r>
        <w:tab/>
        <w:t>the reporting by local government employees of suspected breaches of codes of conduct and suspected 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75" w:name="_Toc187998518"/>
      <w:bookmarkStart w:id="76" w:name="_Toc188001195"/>
      <w:bookmarkStart w:id="77" w:name="_Toc188005453"/>
      <w:r>
        <w:rPr>
          <w:rStyle w:val="CharDivNo"/>
        </w:rPr>
        <w:t>Division 3</w:t>
      </w:r>
      <w:r>
        <w:t> — </w:t>
      </w:r>
      <w:r>
        <w:rPr>
          <w:rStyle w:val="CharDivText"/>
        </w:rPr>
        <w:t>Other matter in relation to codes of conduct</w:t>
      </w:r>
      <w:bookmarkEnd w:id="75"/>
      <w:bookmarkEnd w:id="76"/>
      <w:bookmarkEnd w:id="77"/>
    </w:p>
    <w:p>
      <w:pPr>
        <w:pStyle w:val="Footnoteheading"/>
      </w:pPr>
      <w:r>
        <w:tab/>
        <w:t>[Heading inserted: SL 2021/16 r. 4.]</w:t>
      </w:r>
    </w:p>
    <w:p>
      <w:pPr>
        <w:pStyle w:val="Heading5"/>
      </w:pPr>
      <w:bookmarkStart w:id="78" w:name="_Toc188005454"/>
      <w:r>
        <w:rPr>
          <w:rStyle w:val="CharSectno"/>
        </w:rPr>
        <w:t>19AF</w:t>
      </w:r>
      <w:r>
        <w:t>.</w:t>
      </w:r>
      <w:r>
        <w:tab/>
        <w:t>Determination of threshold amount</w:t>
      </w:r>
      <w:bookmarkEnd w:id="78"/>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79" w:name="_Toc187998520"/>
      <w:bookmarkStart w:id="80" w:name="_Toc188001197"/>
      <w:bookmarkStart w:id="81" w:name="_Toc188005455"/>
      <w:r>
        <w:rPr>
          <w:rStyle w:val="CharPartNo"/>
        </w:rPr>
        <w:lastRenderedPageBreak/>
        <w:t>Part 5</w:t>
      </w:r>
      <w:r>
        <w:t> — </w:t>
      </w:r>
      <w:r>
        <w:rPr>
          <w:rStyle w:val="CharPartText"/>
        </w:rPr>
        <w:t>Annual reports and planning</w:t>
      </w:r>
      <w:bookmarkEnd w:id="79"/>
      <w:bookmarkEnd w:id="80"/>
      <w:bookmarkEnd w:id="81"/>
    </w:p>
    <w:p>
      <w:pPr>
        <w:pStyle w:val="Footnoteheading"/>
      </w:pPr>
      <w:r>
        <w:tab/>
        <w:t>[Heading inserted: Gazette 26 Aug 2011 p. 3482.]</w:t>
      </w:r>
    </w:p>
    <w:p>
      <w:pPr>
        <w:pStyle w:val="Heading3"/>
      </w:pPr>
      <w:bookmarkStart w:id="82" w:name="_Toc187998521"/>
      <w:bookmarkStart w:id="83" w:name="_Toc188001198"/>
      <w:bookmarkStart w:id="84" w:name="_Toc188005456"/>
      <w:r>
        <w:rPr>
          <w:rStyle w:val="CharDivNo"/>
        </w:rPr>
        <w:t>Division 1</w:t>
      </w:r>
      <w:r>
        <w:t> — </w:t>
      </w:r>
      <w:r>
        <w:rPr>
          <w:rStyle w:val="CharDivText"/>
        </w:rPr>
        <w:t>Preliminary</w:t>
      </w:r>
      <w:bookmarkEnd w:id="82"/>
      <w:bookmarkEnd w:id="83"/>
      <w:bookmarkEnd w:id="84"/>
    </w:p>
    <w:p>
      <w:pPr>
        <w:pStyle w:val="Footnoteheading"/>
      </w:pPr>
      <w:r>
        <w:tab/>
        <w:t>[Heading inserted: Gazette 26 Aug 2011 p. 3482.]</w:t>
      </w:r>
    </w:p>
    <w:p>
      <w:pPr>
        <w:pStyle w:val="Heading5"/>
      </w:pPr>
      <w:bookmarkStart w:id="85" w:name="_Toc188005457"/>
      <w:r>
        <w:rPr>
          <w:rStyle w:val="CharSectno"/>
        </w:rPr>
        <w:t>19BA</w:t>
      </w:r>
      <w:r>
        <w:t>.</w:t>
      </w:r>
      <w:r>
        <w:tab/>
        <w:t>Terms used</w:t>
      </w:r>
      <w:bookmarkEnd w:id="85"/>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86" w:name="_Toc187998523"/>
      <w:bookmarkStart w:id="87" w:name="_Toc188001200"/>
      <w:bookmarkStart w:id="88" w:name="_Toc188005458"/>
      <w:r>
        <w:rPr>
          <w:rStyle w:val="CharDivNo"/>
        </w:rPr>
        <w:t>Division 2</w:t>
      </w:r>
      <w:r>
        <w:t> — </w:t>
      </w:r>
      <w:r>
        <w:rPr>
          <w:rStyle w:val="CharDivText"/>
        </w:rPr>
        <w:t>Annual reports</w:t>
      </w:r>
      <w:bookmarkEnd w:id="86"/>
      <w:bookmarkEnd w:id="87"/>
      <w:bookmarkEnd w:id="88"/>
    </w:p>
    <w:p>
      <w:pPr>
        <w:pStyle w:val="Footnoteheading"/>
      </w:pPr>
      <w:r>
        <w:tab/>
        <w:t>[Heading inserted: Gazette 26 Aug 2011 p. 3483.]</w:t>
      </w:r>
    </w:p>
    <w:p>
      <w:pPr>
        <w:pStyle w:val="Heading5"/>
      </w:pPr>
      <w:bookmarkStart w:id="89" w:name="_Toc188005459"/>
      <w:r>
        <w:rPr>
          <w:rStyle w:val="CharSectno"/>
        </w:rPr>
        <w:t>19B</w:t>
      </w:r>
      <w:r>
        <w:t>.</w:t>
      </w:r>
      <w:r>
        <w:tab/>
        <w:t>Information to be included in annual report (Act s. 5.53(2)(g) and (i))</w:t>
      </w:r>
      <w:bookmarkEnd w:id="89"/>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lastRenderedPageBreak/>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lastRenderedPageBreak/>
        <w:tab/>
        <w:t>(k)</w:t>
      </w:r>
      <w:r>
        <w:tab/>
        <w:t>details of any significant modification made to a local government’s corporate business plan during the financial year.</w:t>
      </w:r>
    </w:p>
    <w:p>
      <w:pPr>
        <w:pStyle w:val="Footnotesection"/>
      </w:pPr>
      <w:r>
        <w:tab/>
        <w:t>[Regulation 19B inserted: SL 2020/213 r. 20.]</w:t>
      </w:r>
    </w:p>
    <w:p>
      <w:pPr>
        <w:pStyle w:val="Heading5"/>
      </w:pPr>
      <w:bookmarkStart w:id="90" w:name="_Toc188005460"/>
      <w:r>
        <w:rPr>
          <w:rStyle w:val="CharSectno"/>
        </w:rPr>
        <w:t>19BB</w:t>
      </w:r>
      <w:r>
        <w:t>.</w:t>
      </w:r>
      <w:r>
        <w:tab/>
        <w:t>Information about trading undertakings to be included in annual report (Act s. 5.53(2)(i))</w:t>
      </w:r>
      <w:bookmarkEnd w:id="90"/>
    </w:p>
    <w:p>
      <w:pPr>
        <w:pStyle w:val="Subsection"/>
      </w:pPr>
      <w:r>
        <w:tab/>
        <w:t>(1)</w:t>
      </w:r>
      <w:r>
        <w:tab/>
        <w:t xml:space="preserve">In this regulation — </w:t>
      </w:r>
    </w:p>
    <w:p>
      <w:pPr>
        <w:pStyle w:val="Defstart"/>
      </w:pPr>
      <w:r>
        <w:tab/>
      </w:r>
      <w:r>
        <w:rPr>
          <w:rStyle w:val="CharDefText"/>
        </w:rPr>
        <w:t>income statement</w:t>
      </w:r>
      <w:r>
        <w:t xml:space="preserve"> has the meaning given in the </w:t>
      </w:r>
      <w:r>
        <w:rPr>
          <w:i/>
        </w:rPr>
        <w:t>Local Government (Financial Management) Regulations 1996</w:t>
      </w:r>
      <w:r>
        <w:t xml:space="preserve"> regulation 3(1);</w:t>
      </w:r>
    </w:p>
    <w:p>
      <w:pPr>
        <w:pStyle w:val="Defstart"/>
      </w:pPr>
      <w:r>
        <w:tab/>
      </w:r>
      <w:r>
        <w:rPr>
          <w:rStyle w:val="CharDefText"/>
        </w:rPr>
        <w:t>major trading undertaking</w:t>
      </w:r>
      <w:r>
        <w:t xml:space="preserve"> has the meaning given in section 3.59(1);</w:t>
      </w:r>
    </w:p>
    <w:p>
      <w:pPr>
        <w:pStyle w:val="Defstart"/>
      </w:pPr>
      <w:r>
        <w:tab/>
      </w:r>
      <w:r>
        <w:rPr>
          <w:rStyle w:val="CharDefText"/>
        </w:rPr>
        <w:t>statement of financial position</w:t>
      </w:r>
      <w:r>
        <w:t xml:space="preserve"> has the meaning given in the </w:t>
      </w:r>
      <w:r>
        <w:rPr>
          <w:i/>
        </w:rPr>
        <w:t>Local Government (Financial Management) Regulations 1996</w:t>
      </w:r>
      <w:r>
        <w:t xml:space="preserve"> regulation 3(1);</w:t>
      </w:r>
    </w:p>
    <w:p>
      <w:pPr>
        <w:pStyle w:val="Defstart"/>
      </w:pPr>
      <w:r>
        <w:tab/>
      </w:r>
      <w:r>
        <w:rPr>
          <w:rStyle w:val="CharDefText"/>
        </w:rPr>
        <w:t>trading undertaking</w:t>
      </w:r>
      <w:r>
        <w:t xml:space="preserve"> has the meaning given in section 3.59(1).</w:t>
      </w:r>
    </w:p>
    <w:p>
      <w:pPr>
        <w:pStyle w:val="Subsection"/>
      </w:pPr>
      <w:r>
        <w:tab/>
        <w:t>(2)</w:t>
      </w:r>
      <w:r>
        <w:tab/>
        <w:t xml:space="preserve">For the purposes of section 5.53(2)(i), the annual report for a financial year beginning on or after 1 July 2022 must include the following — </w:t>
      </w:r>
    </w:p>
    <w:p>
      <w:pPr>
        <w:pStyle w:val="Indenta"/>
      </w:pPr>
      <w:r>
        <w:tab/>
        <w:t>(a)</w:t>
      </w:r>
      <w:r>
        <w:tab/>
        <w:t xml:space="preserve">separately, in relation to each trading undertaking carried on during the financial year — </w:t>
      </w:r>
    </w:p>
    <w:p>
      <w:pPr>
        <w:pStyle w:val="Indenti"/>
      </w:pPr>
      <w:r>
        <w:tab/>
        <w:t>(i)</w:t>
      </w:r>
      <w:r>
        <w:tab/>
        <w:t>an income statement; and</w:t>
      </w:r>
    </w:p>
    <w:p>
      <w:pPr>
        <w:pStyle w:val="Indenti"/>
      </w:pPr>
      <w:r>
        <w:tab/>
        <w:t>(ii)</w:t>
      </w:r>
      <w:r>
        <w:tab/>
        <w:t>a statement of financial position; and</w:t>
      </w:r>
    </w:p>
    <w:p>
      <w:pPr>
        <w:pStyle w:val="Indenti"/>
      </w:pPr>
      <w:r>
        <w:tab/>
        <w:t>(iii)</w:t>
      </w:r>
      <w:r>
        <w:tab/>
        <w:t>any other information that is necessary to provide full and complete information on the undertaking;</w:t>
      </w:r>
    </w:p>
    <w:p>
      <w:pPr>
        <w:pStyle w:val="Indenta"/>
        <w:keepNext/>
      </w:pPr>
      <w:r>
        <w:tab/>
        <w:t>(b)</w:t>
      </w:r>
      <w:r>
        <w:tab/>
        <w:t xml:space="preserve">in relation to each major trading undertaking, in addition to the information required under paragraph (a), a statement setting out all other revenue and expenditure that is not included in the income statement referred to in paragraph (a)(i) but that has been used in the pricing </w:t>
      </w:r>
      <w:r>
        <w:lastRenderedPageBreak/>
        <w:t>structure for goods or services to be provided by the undertaking.</w:t>
      </w:r>
    </w:p>
    <w:p>
      <w:pPr>
        <w:pStyle w:val="Footnotesection"/>
      </w:pPr>
      <w:r>
        <w:tab/>
        <w:t>[Regulation 19BB inserted: SL 2023/106 r. 33.]</w:t>
      </w:r>
    </w:p>
    <w:p>
      <w:pPr>
        <w:pStyle w:val="Heading5"/>
      </w:pPr>
      <w:bookmarkStart w:id="91" w:name="_Toc188005461"/>
      <w:r>
        <w:rPr>
          <w:rStyle w:val="CharSectno"/>
        </w:rPr>
        <w:t>19BC</w:t>
      </w:r>
      <w:r>
        <w:t>.</w:t>
      </w:r>
      <w:r>
        <w:tab/>
        <w:t>Information about land transactions to be included in annual report (Act s. 5.53(2)(i))</w:t>
      </w:r>
      <w:bookmarkEnd w:id="91"/>
    </w:p>
    <w:p>
      <w:pPr>
        <w:pStyle w:val="Subsection"/>
      </w:pPr>
      <w:r>
        <w:tab/>
        <w:t>(1)</w:t>
      </w:r>
      <w:r>
        <w:tab/>
        <w:t xml:space="preserve">In this regulation — </w:t>
      </w:r>
    </w:p>
    <w:p>
      <w:pPr>
        <w:pStyle w:val="Defstart"/>
      </w:pPr>
      <w:r>
        <w:tab/>
      </w:r>
      <w:r>
        <w:rPr>
          <w:rStyle w:val="CharDefText"/>
        </w:rPr>
        <w:t>major land transaction</w:t>
      </w:r>
      <w:r>
        <w:t xml:space="preserve"> has the meaning given in section 3.59(1);</w:t>
      </w:r>
    </w:p>
    <w:p>
      <w:pPr>
        <w:pStyle w:val="Defstart"/>
      </w:pPr>
      <w:r>
        <w:tab/>
      </w:r>
      <w:r>
        <w:rPr>
          <w:rStyle w:val="CharDefText"/>
        </w:rPr>
        <w:t>nature classification</w:t>
      </w:r>
      <w:r>
        <w:t xml:space="preserve"> has the meaning given in the </w:t>
      </w:r>
      <w:r>
        <w:rPr>
          <w:i/>
        </w:rPr>
        <w:t>Local Government (Financial Management) Regulations 1996</w:t>
      </w:r>
      <w:r>
        <w:t xml:space="preserve"> regulation 3(1).</w:t>
      </w:r>
    </w:p>
    <w:p>
      <w:pPr>
        <w:pStyle w:val="Subsection"/>
        <w:rPr>
          <w:snapToGrid w:val="0"/>
        </w:rPr>
      </w:pPr>
      <w:r>
        <w:tab/>
        <w:t>(2)</w:t>
      </w:r>
      <w:r>
        <w:rPr>
          <w:snapToGrid w:val="0"/>
        </w:rPr>
        <w:tab/>
      </w:r>
      <w:r>
        <w:t xml:space="preserve">For the purposes of section 5.53(2)(i), the annual report for a financial year beginning on or after 1 July 2022 must include the following, </w:t>
      </w:r>
      <w:r>
        <w:rPr>
          <w:snapToGrid w:val="0"/>
        </w:rPr>
        <w:t xml:space="preserve">separately in relation to each major land transaction (according to nature classification) — </w:t>
      </w:r>
    </w:p>
    <w:p>
      <w:pPr>
        <w:pStyle w:val="Indenta"/>
        <w:rPr>
          <w:snapToGrid w:val="0"/>
        </w:rPr>
      </w:pPr>
      <w:r>
        <w:rPr>
          <w:snapToGrid w:val="0"/>
        </w:rPr>
        <w:tab/>
        <w:t>(a)</w:t>
      </w:r>
      <w:r>
        <w:rPr>
          <w:snapToGrid w:val="0"/>
        </w:rPr>
        <w:tab/>
        <w:t xml:space="preserve">all income and expenditure for the transaction received or </w:t>
      </w:r>
      <w:r>
        <w:t>expended</w:t>
      </w:r>
      <w:r>
        <w:rPr>
          <w:snapToGrid w:val="0"/>
        </w:rPr>
        <w:t xml:space="preserve"> during the financial year;</w:t>
      </w:r>
    </w:p>
    <w:p>
      <w:pPr>
        <w:pStyle w:val="Indenta"/>
        <w:rPr>
          <w:snapToGrid w:val="0"/>
        </w:rPr>
      </w:pPr>
      <w:r>
        <w:rPr>
          <w:snapToGrid w:val="0"/>
        </w:rPr>
        <w:tab/>
        <w:t>(b)</w:t>
      </w:r>
      <w:r>
        <w:rPr>
          <w:snapToGrid w:val="0"/>
        </w:rPr>
        <w:tab/>
        <w:t xml:space="preserve">details of </w:t>
      </w:r>
      <w:r>
        <w:t>assets</w:t>
      </w:r>
      <w:r>
        <w:rPr>
          <w:snapToGrid w:val="0"/>
        </w:rPr>
        <w:t xml:space="preserve"> and liabilities at 30 June; </w:t>
      </w:r>
    </w:p>
    <w:p>
      <w:pPr>
        <w:pStyle w:val="Indenta"/>
        <w:rPr>
          <w:snapToGrid w:val="0"/>
        </w:rPr>
      </w:pPr>
      <w:r>
        <w:rPr>
          <w:snapToGrid w:val="0"/>
        </w:rPr>
        <w:tab/>
        <w:t>(c)</w:t>
      </w:r>
      <w:r>
        <w:rPr>
          <w:snapToGrid w:val="0"/>
        </w:rPr>
        <w:tab/>
        <w:t xml:space="preserve">any other information that is necessary to provide full and complete information on the transaction; </w:t>
      </w:r>
    </w:p>
    <w:p>
      <w:pPr>
        <w:pStyle w:val="Indenta"/>
        <w:rPr>
          <w:snapToGrid w:val="0"/>
        </w:rPr>
      </w:pPr>
      <w:r>
        <w:rPr>
          <w:snapToGrid w:val="0"/>
        </w:rPr>
        <w:tab/>
        <w:t>(d)</w:t>
      </w:r>
      <w:r>
        <w:rPr>
          <w:snapToGrid w:val="0"/>
        </w:rPr>
        <w:tab/>
        <w:t xml:space="preserve">if the transaction is to span more than 1 financial year, a brief statement showing the cash flows expected during the lesser of the following periods — </w:t>
      </w:r>
    </w:p>
    <w:p>
      <w:pPr>
        <w:pStyle w:val="Indenti"/>
      </w:pPr>
      <w:r>
        <w:tab/>
        <w:t>(i)</w:t>
      </w:r>
      <w:r>
        <w:tab/>
        <w:t xml:space="preserve">the term of the transaction; </w:t>
      </w:r>
    </w:p>
    <w:p>
      <w:pPr>
        <w:pStyle w:val="Indenti"/>
      </w:pPr>
      <w:r>
        <w:tab/>
        <w:t>(ii)</w:t>
      </w:r>
      <w:r>
        <w:tab/>
        <w:t>the period covered by the corporate business plan.</w:t>
      </w:r>
    </w:p>
    <w:p>
      <w:pPr>
        <w:pStyle w:val="Subsection"/>
        <w:keepNext/>
        <w:rPr>
          <w:snapToGrid w:val="0"/>
        </w:rPr>
      </w:pPr>
      <w:r>
        <w:tab/>
        <w:t>(3)</w:t>
      </w:r>
      <w:r>
        <w:tab/>
        <w:t>For the purposes of section 5.53(2)(i), i</w:t>
      </w:r>
      <w:r>
        <w:rPr>
          <w:snapToGrid w:val="0"/>
        </w:rPr>
        <w:t xml:space="preserve">f a major land transaction has spanned more than 1 financial year and it is </w:t>
      </w:r>
      <w:r>
        <w:rPr>
          <w:snapToGrid w:val="0"/>
        </w:rPr>
        <w:lastRenderedPageBreak/>
        <w:t xml:space="preserve">completed during a financial year </w:t>
      </w:r>
      <w:r>
        <w:t xml:space="preserve">beginning on or after 1 July 2022, </w:t>
      </w:r>
      <w:r>
        <w:rPr>
          <w:snapToGrid w:val="0"/>
        </w:rPr>
        <w:t xml:space="preserve">the annual report for that financial year must — </w:t>
      </w:r>
    </w:p>
    <w:p>
      <w:pPr>
        <w:pStyle w:val="Indenta"/>
        <w:keepNext/>
        <w:rPr>
          <w:snapToGrid w:val="0"/>
        </w:rPr>
      </w:pPr>
      <w:r>
        <w:rPr>
          <w:snapToGrid w:val="0"/>
        </w:rPr>
        <w:tab/>
        <w:t>(a)</w:t>
      </w:r>
      <w:r>
        <w:rPr>
          <w:snapToGrid w:val="0"/>
        </w:rPr>
        <w:tab/>
        <w:t xml:space="preserve">disclose — </w:t>
      </w:r>
    </w:p>
    <w:p>
      <w:pPr>
        <w:pStyle w:val="Indenti"/>
      </w:pPr>
      <w:r>
        <w:tab/>
        <w:t>(i)</w:t>
      </w:r>
      <w:r>
        <w:tab/>
        <w:t>details of the total income and expenditure for the transaction from the date of commencement to the date of completion; and</w:t>
      </w:r>
    </w:p>
    <w:p>
      <w:pPr>
        <w:pStyle w:val="Indenti"/>
      </w:pPr>
      <w:r>
        <w:tab/>
        <w:t>(ii)</w:t>
      </w:r>
      <w:r>
        <w:tab/>
        <w:t>details of the amount or value of any surplus of money or assets distributed to the local government or a person other than the local government; and</w:t>
      </w:r>
    </w:p>
    <w:p>
      <w:pPr>
        <w:pStyle w:val="Indenti"/>
      </w:pPr>
      <w:r>
        <w:tab/>
        <w:t>(iii)</w:t>
      </w:r>
      <w:r>
        <w:tab/>
        <w:t>the amount or value of any loss and the resources used to cover the loss;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include — </w:t>
      </w:r>
    </w:p>
    <w:p>
      <w:pPr>
        <w:pStyle w:val="Indenti"/>
      </w:pPr>
      <w:r>
        <w:tab/>
        <w:t>(i)</w:t>
      </w:r>
      <w:r>
        <w:tab/>
        <w:t>a comparison of the outcomes over the life of the transaction with expected outcomes in the business plan prepared for the transaction; and</w:t>
      </w:r>
    </w:p>
    <w:p>
      <w:pPr>
        <w:pStyle w:val="Indenti"/>
      </w:pPr>
      <w:r>
        <w:tab/>
        <w:t>(ii)</w:t>
      </w:r>
      <w:r>
        <w:tab/>
        <w:t>an explanation of the benefits of the transaction to the local government and the community.</w:t>
      </w:r>
    </w:p>
    <w:p>
      <w:pPr>
        <w:pStyle w:val="Footnotesection"/>
      </w:pPr>
      <w:r>
        <w:tab/>
        <w:t>[Regulation 19BC inserted: SL 2023/106 r. 33.]</w:t>
      </w:r>
    </w:p>
    <w:p>
      <w:pPr>
        <w:pStyle w:val="Heading5"/>
      </w:pPr>
      <w:bookmarkStart w:id="92" w:name="_Toc188005462"/>
      <w:r>
        <w:rPr>
          <w:rStyle w:val="CharSectno"/>
        </w:rPr>
        <w:t>19BD</w:t>
      </w:r>
      <w:r>
        <w:t>.</w:t>
      </w:r>
      <w:r>
        <w:tab/>
        <w:t>Information about fees, expenses and allowances to be included in annual report (Act s. 5.53(2)(i))</w:t>
      </w:r>
      <w:bookmarkEnd w:id="92"/>
    </w:p>
    <w:p>
      <w:pPr>
        <w:pStyle w:val="Subsection"/>
      </w:pPr>
      <w:r>
        <w:tab/>
      </w:r>
      <w:r>
        <w:tab/>
        <w:t xml:space="preserve">For the purposes of section 5.53(2)(i), the annual report for a financial year beginning on or after 1 July 2022 must include, </w:t>
      </w:r>
      <w:r>
        <w:rPr>
          <w:snapToGrid w:val="0"/>
        </w:rPr>
        <w:t xml:space="preserve">in relation to fees, expenses or allowances paid during the financial year to council members, the mayor or the </w:t>
      </w:r>
      <w:r>
        <w:t xml:space="preserve">president, for each person — </w:t>
      </w:r>
    </w:p>
    <w:p>
      <w:pPr>
        <w:pStyle w:val="Indenta"/>
      </w:pPr>
      <w:r>
        <w:tab/>
        <w:t>(a)</w:t>
      </w:r>
      <w:r>
        <w:tab/>
        <w:t>the nature of the fee, expense or allowance; and</w:t>
      </w:r>
    </w:p>
    <w:p>
      <w:pPr>
        <w:pStyle w:val="Indenta"/>
      </w:pPr>
      <w:r>
        <w:tab/>
        <w:t>(b)</w:t>
      </w:r>
      <w:r>
        <w:tab/>
        <w:t>the total amount or value of each class of fee, expense or allowance.</w:t>
      </w:r>
    </w:p>
    <w:p>
      <w:pPr>
        <w:pStyle w:val="Footnotesection"/>
      </w:pPr>
      <w:r>
        <w:tab/>
        <w:t>[Regulation 19BD inserted: SL 2023/106 r. 33.]</w:t>
      </w:r>
    </w:p>
    <w:p>
      <w:pPr>
        <w:pStyle w:val="Heading5"/>
      </w:pPr>
      <w:bookmarkStart w:id="93" w:name="_Toc188005463"/>
      <w:r>
        <w:rPr>
          <w:rStyle w:val="CharSectno"/>
        </w:rPr>
        <w:lastRenderedPageBreak/>
        <w:t>19BE</w:t>
      </w:r>
      <w:r>
        <w:t>.</w:t>
      </w:r>
      <w:r>
        <w:tab/>
        <w:t>Information about capital grants, subsidies and contributions to be included in annual report (Act s. 5.53(2)(i))</w:t>
      </w:r>
      <w:bookmarkEnd w:id="93"/>
    </w:p>
    <w:p>
      <w:pPr>
        <w:pStyle w:val="Subsection"/>
      </w:pPr>
      <w:r>
        <w:tab/>
        <w:t>(1)</w:t>
      </w:r>
      <w:r>
        <w:tab/>
        <w:t xml:space="preserve">In this regulation — </w:t>
      </w:r>
    </w:p>
    <w:p>
      <w:pPr>
        <w:pStyle w:val="Defstart"/>
      </w:pPr>
      <w:r>
        <w:tab/>
      </w:r>
      <w:r>
        <w:rPr>
          <w:rStyle w:val="CharDefText"/>
        </w:rPr>
        <w:t>renew</w:t>
      </w:r>
      <w:r>
        <w:t>, in relation to an asset, means to return the asset to its original state by rebuilding, repairing or restoring the asset;</w:t>
      </w:r>
    </w:p>
    <w:p>
      <w:pPr>
        <w:pStyle w:val="Defstart"/>
      </w:pPr>
      <w:r>
        <w:tab/>
      </w:r>
      <w:r>
        <w:rPr>
          <w:rStyle w:val="CharDefText"/>
        </w:rPr>
        <w:t>replace</w:t>
      </w:r>
      <w:r>
        <w:t xml:space="preserve">, in relation to an asset, does not include to upgrade the asset or to replace the asset with a different version of the asset. </w:t>
      </w:r>
    </w:p>
    <w:p>
      <w:pPr>
        <w:pStyle w:val="Subsection"/>
      </w:pPr>
      <w:r>
        <w:tab/>
        <w:t>(2)</w:t>
      </w:r>
      <w:r>
        <w:tab/>
        <w:t xml:space="preserve">For the purposes of section 5.53(2)(i), the annual report for a financial year beginning on or after 1 July 2022 must include the amount of all capital grants, subsidies and contributions, for replacing and renewing assets, that were received by the local government during — </w:t>
      </w:r>
    </w:p>
    <w:p>
      <w:pPr>
        <w:pStyle w:val="Indenta"/>
      </w:pPr>
      <w:r>
        <w:tab/>
        <w:t>(a)</w:t>
      </w:r>
      <w:r>
        <w:tab/>
        <w:t>the financial year; and</w:t>
      </w:r>
    </w:p>
    <w:p>
      <w:pPr>
        <w:pStyle w:val="Indenta"/>
      </w:pPr>
      <w:r>
        <w:tab/>
        <w:t>(b)</w:t>
      </w:r>
      <w:r>
        <w:tab/>
        <w:t>the 2 financial years before the financial year.</w:t>
      </w:r>
    </w:p>
    <w:p>
      <w:pPr>
        <w:pStyle w:val="Footnotesection"/>
      </w:pPr>
      <w:r>
        <w:tab/>
        <w:t>[Regulation 19BE inserted: SL 2023/106 r. 33.]</w:t>
      </w:r>
    </w:p>
    <w:p>
      <w:pPr>
        <w:pStyle w:val="Ednotesection"/>
      </w:pPr>
      <w:r>
        <w:t>[</w:t>
      </w:r>
      <w:r>
        <w:rPr>
          <w:b/>
        </w:rPr>
        <w:t>19CA.</w:t>
      </w:r>
      <w:r>
        <w:tab/>
        <w:t>Deleted: SL 2020/213 r. 20.]</w:t>
      </w:r>
    </w:p>
    <w:p>
      <w:pPr>
        <w:pStyle w:val="Heading3"/>
      </w:pPr>
      <w:bookmarkStart w:id="94" w:name="_Toc187998529"/>
      <w:bookmarkStart w:id="95" w:name="_Toc188001206"/>
      <w:bookmarkStart w:id="96" w:name="_Toc188005464"/>
      <w:r>
        <w:rPr>
          <w:rStyle w:val="CharDivNo"/>
        </w:rPr>
        <w:t>Division 3</w:t>
      </w:r>
      <w:r>
        <w:t> — </w:t>
      </w:r>
      <w:r>
        <w:rPr>
          <w:rStyle w:val="CharDivText"/>
        </w:rPr>
        <w:t>Planning for the future</w:t>
      </w:r>
      <w:bookmarkEnd w:id="94"/>
      <w:bookmarkEnd w:id="95"/>
      <w:bookmarkEnd w:id="96"/>
    </w:p>
    <w:p>
      <w:pPr>
        <w:pStyle w:val="Footnoteheading"/>
        <w:spacing w:before="100"/>
      </w:pPr>
      <w:r>
        <w:tab/>
        <w:t>[Heading inserted: Gazette 26 Aug 2011 p. 3483.]</w:t>
      </w:r>
    </w:p>
    <w:p>
      <w:pPr>
        <w:pStyle w:val="Heading5"/>
      </w:pPr>
      <w:bookmarkStart w:id="97" w:name="_Toc188005465"/>
      <w:r>
        <w:rPr>
          <w:rStyle w:val="CharSectno"/>
        </w:rPr>
        <w:t>19C</w:t>
      </w:r>
      <w:r>
        <w:t>.</w:t>
      </w:r>
      <w:r>
        <w:tab/>
        <w:t>Strategic community plans, requirements for (Act s. 5.56)</w:t>
      </w:r>
      <w:bookmarkEnd w:id="97"/>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lastRenderedPageBreak/>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98" w:name="_Toc188005466"/>
      <w:r>
        <w:rPr>
          <w:rStyle w:val="CharSectno"/>
        </w:rPr>
        <w:lastRenderedPageBreak/>
        <w:t>19DA</w:t>
      </w:r>
      <w:r>
        <w:t>.</w:t>
      </w:r>
      <w:r>
        <w:tab/>
        <w:t>Corporate business plans, requirements for (Act s. 5.56)</w:t>
      </w:r>
      <w:bookmarkEnd w:id="98"/>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keepNext/>
      </w:pPr>
      <w:r>
        <w:lastRenderedPageBreak/>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99" w:name="_Toc188005467"/>
      <w:r>
        <w:rPr>
          <w:rStyle w:val="CharSectno"/>
        </w:rPr>
        <w:t>19DB</w:t>
      </w:r>
      <w:r>
        <w:t>.</w:t>
      </w:r>
      <w:r>
        <w:tab/>
        <w:t>Transitional provisions for plans for the future until 30 June 2013</w:t>
      </w:r>
      <w:bookmarkEnd w:id="99"/>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keepNext/>
      </w:pPr>
      <w:r>
        <w:lastRenderedPageBreak/>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keepNext/>
      </w:pPr>
      <w:r>
        <w:tab/>
        <w:t>(7)</w:t>
      </w:r>
      <w:r>
        <w:tab/>
        <w:t>This regulation expires at the end of 30 June 2013.</w:t>
      </w:r>
    </w:p>
    <w:p>
      <w:pPr>
        <w:pStyle w:val="Footnotesection"/>
      </w:pPr>
      <w:r>
        <w:tab/>
        <w:t>[Regulation 19DB inserted: Gazette 26 Aug 2011 p. 3485-6.]</w:t>
      </w:r>
    </w:p>
    <w:p>
      <w:pPr>
        <w:pStyle w:val="Heading5"/>
      </w:pPr>
      <w:bookmarkStart w:id="100" w:name="_Toc188005468"/>
      <w:r>
        <w:rPr>
          <w:rStyle w:val="CharSectno"/>
        </w:rPr>
        <w:t>19D</w:t>
      </w:r>
      <w:r>
        <w:t>.</w:t>
      </w:r>
      <w:r>
        <w:tab/>
        <w:t>Public notice of adoption of strategic community plan</w:t>
      </w:r>
      <w:bookmarkEnd w:id="100"/>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101" w:name="_Toc187998534"/>
      <w:bookmarkStart w:id="102" w:name="_Toc188001211"/>
      <w:bookmarkStart w:id="103" w:name="_Toc188005469"/>
      <w:r>
        <w:rPr>
          <w:rStyle w:val="CharPartNo"/>
        </w:rPr>
        <w:lastRenderedPageBreak/>
        <w:t>Part 6</w:t>
      </w:r>
      <w:r>
        <w:rPr>
          <w:rStyle w:val="CharDivNo"/>
        </w:rPr>
        <w:t> </w:t>
      </w:r>
      <w:r>
        <w:t>—</w:t>
      </w:r>
      <w:r>
        <w:rPr>
          <w:rStyle w:val="CharDivText"/>
        </w:rPr>
        <w:t> </w:t>
      </w:r>
      <w:r>
        <w:rPr>
          <w:rStyle w:val="CharPartText"/>
        </w:rPr>
        <w:t>Disclosure of financial interests</w:t>
      </w:r>
      <w:r>
        <w:rPr>
          <w:szCs w:val="30"/>
        </w:rPr>
        <w:t xml:space="preserve"> and gifts</w:t>
      </w:r>
      <w:bookmarkEnd w:id="101"/>
      <w:bookmarkEnd w:id="102"/>
      <w:bookmarkEnd w:id="103"/>
    </w:p>
    <w:p>
      <w:pPr>
        <w:pStyle w:val="Footnoteheading"/>
      </w:pPr>
      <w:r>
        <w:tab/>
        <w:t>[Heading inserted: Gazette 26 Aug 2011 p. 3487; amended: Gazette 18 Oct 2019 p. 3679.]</w:t>
      </w:r>
    </w:p>
    <w:p>
      <w:pPr>
        <w:pStyle w:val="Heading5"/>
      </w:pPr>
      <w:bookmarkStart w:id="104" w:name="_Toc188005470"/>
      <w:r>
        <w:rPr>
          <w:rStyle w:val="CharSectno"/>
        </w:rPr>
        <w:t>20</w:t>
      </w:r>
      <w:r>
        <w:t>.</w:t>
      </w:r>
      <w:r>
        <w:tab/>
        <w:t>Closely associated persons, matters prescribed for (Act s. 5.62)</w:t>
      </w:r>
      <w:bookmarkEnd w:id="104"/>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105" w:name="_Toc188005471"/>
      <w:r>
        <w:rPr>
          <w:rStyle w:val="CharSectno"/>
        </w:rPr>
        <w:t>20A</w:t>
      </w:r>
      <w:r>
        <w:t>.</w:t>
      </w:r>
      <w:r>
        <w:tab/>
        <w:t>Amounts relating to gifts prescribed (Act s. 5.62(1A), 5.68(1C), 5.71B(2) and (4), 5.87A(3) and 5.87B(3))</w:t>
      </w:r>
      <w:bookmarkEnd w:id="105"/>
    </w:p>
    <w:p>
      <w:pPr>
        <w:pStyle w:val="Subsection"/>
      </w:pPr>
      <w:r>
        <w:tab/>
        <w:t>(1)</w:t>
      </w:r>
      <w:r>
        <w:tab/>
        <w:t>The amount prescribed for the purposes of sections 5.62(1A)(a)(i) and (ii), 5.87A(3)(a) and 5.87B(3)(a) is $300.</w:t>
      </w:r>
    </w:p>
    <w:p>
      <w:pPr>
        <w:pStyle w:val="Subsection"/>
        <w:keepNext/>
      </w:pPr>
      <w:r>
        <w:lastRenderedPageBreak/>
        <w:tab/>
        <w:t>(2)</w:t>
      </w:r>
      <w:r>
        <w:tab/>
        <w:t>The amount prescribed for the purposes of sections 5.68(1C)(a) and (b) and 5.71B(2)(a) and (4) is $1 000.</w:t>
      </w:r>
    </w:p>
    <w:p>
      <w:pPr>
        <w:pStyle w:val="Footnotesection"/>
      </w:pPr>
      <w:r>
        <w:tab/>
        <w:t>[Regulation 20A inserted: Gazette 18 Oct 2019 p. 3680; amended: SL 2023/102 r. 5.]</w:t>
      </w:r>
    </w:p>
    <w:p>
      <w:pPr>
        <w:pStyle w:val="Heading5"/>
      </w:pPr>
      <w:bookmarkStart w:id="106" w:name="_Toc188005472"/>
      <w:r>
        <w:rPr>
          <w:rStyle w:val="CharSectno"/>
        </w:rPr>
        <w:t>20B</w:t>
      </w:r>
      <w:r>
        <w:t>.</w:t>
      </w:r>
      <w:r>
        <w:tab/>
        <w:t>Excluded gifts prescribed (Act s. 5.62(1B)(b))</w:t>
      </w:r>
      <w:bookmarkEnd w:id="106"/>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107" w:name="_Toc188005473"/>
      <w:r>
        <w:rPr>
          <w:rStyle w:val="CharSectno"/>
        </w:rPr>
        <w:t>21</w:t>
      </w:r>
      <w:r>
        <w:t>.</w:t>
      </w:r>
      <w:r>
        <w:tab/>
        <w:t>Interests that need not be disclosed (Act s. 5.63(1)(h))</w:t>
      </w:r>
      <w:bookmarkEnd w:id="107"/>
    </w:p>
    <w:p>
      <w:pPr>
        <w:pStyle w:val="Subsection"/>
        <w:keepNext/>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keepLines/>
      </w:pPr>
      <w:r>
        <w:lastRenderedPageBreak/>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keepNext/>
      </w:pPr>
      <w:r>
        <w:tab/>
        <w:t>(II)</w:t>
      </w:r>
      <w:r>
        <w:tab/>
        <w:t>that has only minor residual value after use by the relevant person;</w:t>
      </w:r>
    </w:p>
    <w:p>
      <w:pPr>
        <w:pStyle w:val="Indenti"/>
      </w:pPr>
      <w:r>
        <w:tab/>
      </w:r>
      <w:r>
        <w:tab/>
        <w:t>or</w:t>
      </w:r>
    </w:p>
    <w:p>
      <w:pPr>
        <w:pStyle w:val="Indenti"/>
        <w:keepNext/>
      </w:pPr>
      <w:r>
        <w:tab/>
        <w:t>(iii)</w:t>
      </w:r>
      <w:r>
        <w:tab/>
        <w:t>setting an amount of a minor residual value for the purposes of subparagraph (ii).</w:t>
      </w:r>
    </w:p>
    <w:p>
      <w:pPr>
        <w:pStyle w:val="Footnotesection"/>
      </w:pPr>
      <w:r>
        <w:t>[(f)</w:t>
      </w:r>
      <w:r>
        <w:tab/>
        <w:t>deleted]</w:t>
      </w:r>
    </w:p>
    <w:p>
      <w:pPr>
        <w:pStyle w:val="Footnotesection"/>
      </w:pPr>
      <w:r>
        <w:tab/>
        <w:t>[Regulation 21 inserted: Gazette 28 Jun 2002 p. 3080</w:t>
      </w:r>
      <w:r>
        <w:noBreakHyphen/>
        <w:t>1; amended: Gazette 21 Aug 2007 p. 4189; 18 Oct 2019 p. 3680.]</w:t>
      </w:r>
    </w:p>
    <w:p>
      <w:pPr>
        <w:pStyle w:val="Heading5"/>
      </w:pPr>
      <w:bookmarkStart w:id="108" w:name="_Toc188005474"/>
      <w:r>
        <w:rPr>
          <w:rStyle w:val="CharSectno"/>
        </w:rPr>
        <w:lastRenderedPageBreak/>
        <w:t>21A</w:t>
      </w:r>
      <w:r>
        <w:t>.</w:t>
      </w:r>
      <w:r>
        <w:tab/>
        <w:t>Information to be recorded in minutes of meeting (Act s. 5.68(2)(b))</w:t>
      </w:r>
      <w:bookmarkEnd w:id="108"/>
    </w:p>
    <w:p>
      <w:pPr>
        <w:pStyle w:val="Subsection"/>
        <w:keepNext/>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109" w:name="_Toc188005475"/>
      <w:r>
        <w:rPr>
          <w:rStyle w:val="CharSectno"/>
        </w:rPr>
        <w:t>22</w:t>
      </w:r>
      <w:r>
        <w:rPr>
          <w:snapToGrid w:val="0"/>
        </w:rPr>
        <w:t>.</w:t>
      </w:r>
      <w:r>
        <w:rPr>
          <w:snapToGrid w:val="0"/>
        </w:rPr>
        <w:tab/>
        <w:t xml:space="preserve">Primary returns, form of </w:t>
      </w:r>
      <w:r>
        <w:t>(Act </w:t>
      </w:r>
      <w:r>
        <w:rPr>
          <w:snapToGrid w:val="0"/>
        </w:rPr>
        <w:t>s. 5.75(1) and (2))</w:t>
      </w:r>
      <w:bookmarkEnd w:id="109"/>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110" w:name="_Toc188005476"/>
      <w:r>
        <w:rPr>
          <w:rStyle w:val="CharSectno"/>
        </w:rPr>
        <w:t>23</w:t>
      </w:r>
      <w:r>
        <w:rPr>
          <w:snapToGrid w:val="0"/>
        </w:rPr>
        <w:t>.</w:t>
      </w:r>
      <w:r>
        <w:rPr>
          <w:snapToGrid w:val="0"/>
        </w:rPr>
        <w:tab/>
        <w:t xml:space="preserve">Annual returns, form of </w:t>
      </w:r>
      <w:r>
        <w:t>(Act </w:t>
      </w:r>
      <w:r>
        <w:rPr>
          <w:snapToGrid w:val="0"/>
        </w:rPr>
        <w:t>s. 5.76(1) and (2))</w:t>
      </w:r>
      <w:bookmarkEnd w:id="110"/>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111" w:name="_Toc188005477"/>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111"/>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112" w:name="_Toc188005478"/>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112"/>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13" w:name="_Toc188005479"/>
      <w:r>
        <w:rPr>
          <w:rStyle w:val="CharSectno"/>
        </w:rPr>
        <w:lastRenderedPageBreak/>
        <w:t>28</w:t>
      </w:r>
      <w:r>
        <w:rPr>
          <w:snapToGrid w:val="0"/>
        </w:rPr>
        <w:t>.</w:t>
      </w:r>
      <w:r>
        <w:rPr>
          <w:snapToGrid w:val="0"/>
        </w:rPr>
        <w:tab/>
        <w:t xml:space="preserve">Register of financial interests, form of </w:t>
      </w:r>
      <w:r>
        <w:t>(Act </w:t>
      </w:r>
      <w:r>
        <w:rPr>
          <w:snapToGrid w:val="0"/>
        </w:rPr>
        <w:t>s. 5.88(2))</w:t>
      </w:r>
      <w:bookmarkEnd w:id="113"/>
    </w:p>
    <w:p>
      <w:pPr>
        <w:pStyle w:val="Subsection"/>
        <w:keepNext/>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keepNext/>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114" w:name="_Toc188005480"/>
      <w:r>
        <w:rPr>
          <w:rStyle w:val="CharSectno"/>
        </w:rPr>
        <w:t>28A</w:t>
      </w:r>
      <w:r>
        <w:t>.</w:t>
      </w:r>
      <w:r>
        <w:tab/>
        <w:t>Register of gifts (Act s. 5.89A(3))</w:t>
      </w:r>
      <w:bookmarkEnd w:id="114"/>
    </w:p>
    <w:p>
      <w:pPr>
        <w:pStyle w:val="Subsection"/>
        <w:keepNext/>
      </w:pPr>
      <w:r>
        <w:tab/>
      </w:r>
      <w:r>
        <w:tab/>
        <w:t>The register of gifts is to be in the form of Form 4.</w:t>
      </w:r>
    </w:p>
    <w:p>
      <w:pPr>
        <w:pStyle w:val="PermNoteHeading"/>
      </w:pPr>
      <w:r>
        <w:tab/>
        <w:t>Note for this regulation:</w:t>
      </w:r>
    </w:p>
    <w:p>
      <w:pPr>
        <w:pStyle w:val="PermNoteText"/>
        <w:keepN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115" w:name="_Toc188005481"/>
      <w:r>
        <w:rPr>
          <w:rStyle w:val="CharSectno"/>
        </w:rPr>
        <w:t>28B</w:t>
      </w:r>
      <w:r>
        <w:t>.</w:t>
      </w:r>
      <w:r>
        <w:tab/>
        <w:t>Transitional provision for register of gifts</w:t>
      </w:r>
      <w:bookmarkEnd w:id="115"/>
    </w:p>
    <w:p>
      <w:pPr>
        <w:pStyle w:val="Subsection"/>
        <w:keepNext/>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lastRenderedPageBreak/>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keepNext/>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116" w:name="_Toc187998547"/>
      <w:bookmarkStart w:id="117" w:name="_Toc188001224"/>
      <w:bookmarkStart w:id="118" w:name="_Toc188005482"/>
      <w:r>
        <w:rPr>
          <w:rStyle w:val="CharPartNo"/>
        </w:rPr>
        <w:lastRenderedPageBreak/>
        <w:t>Part 7</w:t>
      </w:r>
      <w:r>
        <w:rPr>
          <w:rStyle w:val="CharDivNo"/>
        </w:rPr>
        <w:t> </w:t>
      </w:r>
      <w:r>
        <w:t>—</w:t>
      </w:r>
      <w:r>
        <w:rPr>
          <w:rStyle w:val="CharDivText"/>
        </w:rPr>
        <w:t> </w:t>
      </w:r>
      <w:r>
        <w:rPr>
          <w:rStyle w:val="CharPartText"/>
        </w:rPr>
        <w:t>Access to information</w:t>
      </w:r>
      <w:bookmarkEnd w:id="116"/>
      <w:bookmarkEnd w:id="117"/>
      <w:bookmarkEnd w:id="118"/>
    </w:p>
    <w:p>
      <w:pPr>
        <w:pStyle w:val="Footnoteheading"/>
        <w:spacing w:before="100"/>
      </w:pPr>
      <w:r>
        <w:tab/>
        <w:t>[Heading inserted: Gazette 26 Aug 2011 p. 3487.]</w:t>
      </w:r>
    </w:p>
    <w:p>
      <w:pPr>
        <w:pStyle w:val="Heading5"/>
        <w:rPr>
          <w:snapToGrid w:val="0"/>
        </w:rPr>
      </w:pPr>
      <w:bookmarkStart w:id="119" w:name="_Toc188005483"/>
      <w:r>
        <w:rPr>
          <w:rStyle w:val="CharSectno"/>
        </w:rPr>
        <w:t>29</w:t>
      </w:r>
      <w:r>
        <w:rPr>
          <w:snapToGrid w:val="0"/>
        </w:rPr>
        <w:t>.</w:t>
      </w:r>
      <w:r>
        <w:rPr>
          <w:snapToGrid w:val="0"/>
        </w:rPr>
        <w:tab/>
        <w:t xml:space="preserve">Information to be available for public inspection </w:t>
      </w:r>
      <w:r>
        <w:t>(Act </w:t>
      </w:r>
      <w:r>
        <w:rPr>
          <w:snapToGrid w:val="0"/>
        </w:rPr>
        <w:t>s. 5.94)</w:t>
      </w:r>
      <w:bookmarkEnd w:id="119"/>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 (bb)</w:t>
      </w:r>
      <w:r>
        <w:tab/>
        <w:t>deleted]</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 SL 2022/185 r. 9.]</w:t>
      </w:r>
    </w:p>
    <w:p>
      <w:pPr>
        <w:pStyle w:val="Heading5"/>
      </w:pPr>
      <w:bookmarkStart w:id="120" w:name="_Toc188005484"/>
      <w:r>
        <w:rPr>
          <w:rStyle w:val="CharSectno"/>
        </w:rPr>
        <w:lastRenderedPageBreak/>
        <w:t>29A</w:t>
      </w:r>
      <w:r>
        <w:t>.</w:t>
      </w:r>
      <w:r>
        <w:tab/>
        <w:t>Limits on right to inspect local government information (Act s. 5.95)</w:t>
      </w:r>
      <w:bookmarkEnd w:id="120"/>
    </w:p>
    <w:p>
      <w:pPr>
        <w:pStyle w:val="Ednotesubsection"/>
        <w:keepNext/>
      </w:pPr>
      <w:r>
        <w:tab/>
        <w:t>[(1)</w:t>
      </w:r>
      <w:r>
        <w:tab/>
        <w:t>deleted]</w:t>
      </w:r>
    </w:p>
    <w:p>
      <w:pPr>
        <w:pStyle w:val="Subsection"/>
        <w:keepNext/>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keepNext/>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121" w:name="_Toc188005485"/>
      <w:r>
        <w:rPr>
          <w:rStyle w:val="CharSectno"/>
        </w:rPr>
        <w:t>29B</w:t>
      </w:r>
      <w:r>
        <w:t>.</w:t>
      </w:r>
      <w:r>
        <w:tab/>
        <w:t>Copies of certain information not to be provided (Act s. 5.96)</w:t>
      </w:r>
      <w:bookmarkEnd w:id="121"/>
    </w:p>
    <w:p>
      <w:pPr>
        <w:pStyle w:val="Subsection"/>
        <w:keepNext/>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keepNext/>
      </w:pPr>
      <w:r>
        <w:lastRenderedPageBreak/>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122" w:name="_Toc188005486"/>
      <w:r>
        <w:rPr>
          <w:rStyle w:val="CharSectno"/>
        </w:rPr>
        <w:t>29C</w:t>
      </w:r>
      <w:r>
        <w:t>.</w:t>
      </w:r>
      <w:r>
        <w:tab/>
        <w:t>Information to be published on official website (Act s. 5.96A(1)(i))</w:t>
      </w:r>
      <w:bookmarkEnd w:id="122"/>
    </w:p>
    <w:p>
      <w:pPr>
        <w:pStyle w:val="Subsection"/>
        <w:keepNext/>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keepNex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keepNext/>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lastRenderedPageBreak/>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Indenta"/>
      </w:pPr>
      <w:r>
        <w:tab/>
        <w:t>(g)</w:t>
      </w:r>
      <w:r>
        <w:tab/>
        <w:t xml:space="preserve">a copy of any local public notice given under the </w:t>
      </w:r>
      <w:r>
        <w:rPr>
          <w:i/>
        </w:rPr>
        <w:t xml:space="preserve">Local Government (Elections) Regulations 1997 </w:t>
      </w:r>
      <w:r>
        <w:t>regulation 80(8), 86(a), 86A or 87A(4) in respect of the local government.</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keepNext/>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keepNext/>
      </w:pPr>
      <w:r>
        <w:tab/>
        <w:t>(6)</w:t>
      </w:r>
      <w:r>
        <w:tab/>
        <w:t xml:space="preserve">The information referred to in subregulation (2)(f) must be published on the local government’s official website on or </w:t>
      </w:r>
      <w:r>
        <w:lastRenderedPageBreak/>
        <w:t xml:space="preserve">before 14 July immediately following the end of the financial year to which the information relates. </w:t>
      </w:r>
    </w:p>
    <w:p>
      <w:pPr>
        <w:pStyle w:val="Footnotesection"/>
      </w:pPr>
      <w:r>
        <w:tab/>
        <w:t>[Regulation 29C inserted: SL 2020/213 r. 24; amended: SL 2023/102 r. 6; SL 2023/158 r. 8.]</w:t>
      </w:r>
    </w:p>
    <w:p>
      <w:pPr>
        <w:pStyle w:val="Heading5"/>
      </w:pPr>
      <w:bookmarkStart w:id="123" w:name="_Toc188005487"/>
      <w:r>
        <w:rPr>
          <w:rStyle w:val="CharSectno"/>
        </w:rPr>
        <w:t>29D</w:t>
      </w:r>
      <w:r>
        <w:t>.</w:t>
      </w:r>
      <w:r>
        <w:tab/>
        <w:t>Period for which information to be kept on official website (Act s. 5.96A(5))</w:t>
      </w:r>
      <w:bookmarkEnd w:id="123"/>
    </w:p>
    <w:p>
      <w:pPr>
        <w:pStyle w:val="Subsection"/>
        <w:keepNext/>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keepNext/>
      </w:pPr>
      <w:r>
        <w:tab/>
        <w:t>(f)</w:t>
      </w:r>
      <w:r>
        <w:tab/>
        <w:t xml:space="preserve">information referred to in regulation 29C(2). </w:t>
      </w:r>
    </w:p>
    <w:p>
      <w:pPr>
        <w:pStyle w:val="Footnotesection"/>
      </w:pPr>
      <w:r>
        <w:tab/>
        <w:t>[Regulation 29D inserted: SL 2020/213 r. 24.]</w:t>
      </w:r>
    </w:p>
    <w:p>
      <w:pPr>
        <w:pStyle w:val="Heading2"/>
      </w:pPr>
      <w:bookmarkStart w:id="124" w:name="_Toc187998553"/>
      <w:bookmarkStart w:id="125" w:name="_Toc188001230"/>
      <w:bookmarkStart w:id="126" w:name="_Toc188005488"/>
      <w:r>
        <w:rPr>
          <w:rStyle w:val="CharPartNo"/>
        </w:rPr>
        <w:lastRenderedPageBreak/>
        <w:t>Part 8</w:t>
      </w:r>
      <w:r>
        <w:rPr>
          <w:rStyle w:val="CharDivNo"/>
        </w:rPr>
        <w:t> </w:t>
      </w:r>
      <w:r>
        <w:t>—</w:t>
      </w:r>
      <w:r>
        <w:rPr>
          <w:rStyle w:val="CharDivText"/>
        </w:rPr>
        <w:t> </w:t>
      </w:r>
      <w:r>
        <w:rPr>
          <w:rStyle w:val="CharPartText"/>
        </w:rPr>
        <w:t>Local government payments and gifts to members</w:t>
      </w:r>
      <w:bookmarkEnd w:id="124"/>
      <w:bookmarkEnd w:id="125"/>
      <w:bookmarkEnd w:id="126"/>
    </w:p>
    <w:p>
      <w:pPr>
        <w:pStyle w:val="Footnoteheading"/>
      </w:pPr>
      <w:r>
        <w:tab/>
        <w:t>[Heading inserted: Gazette 26 Aug 2011 p. 3487.]</w:t>
      </w:r>
    </w:p>
    <w:p>
      <w:pPr>
        <w:pStyle w:val="Heading5"/>
        <w:rPr>
          <w:snapToGrid w:val="0"/>
        </w:rPr>
      </w:pPr>
      <w:bookmarkStart w:id="127" w:name="_Toc188005489"/>
      <w:r>
        <w:rPr>
          <w:rStyle w:val="CharSectno"/>
        </w:rPr>
        <w:t>30</w:t>
      </w:r>
      <w:r>
        <w:rPr>
          <w:snapToGrid w:val="0"/>
        </w:rPr>
        <w:t>.</w:t>
      </w:r>
      <w:r>
        <w:rPr>
          <w:snapToGrid w:val="0"/>
        </w:rPr>
        <w:tab/>
        <w:t xml:space="preserve">Meeting attendance fees </w:t>
      </w:r>
      <w:r>
        <w:t>(Act </w:t>
      </w:r>
      <w:r>
        <w:rPr>
          <w:snapToGrid w:val="0"/>
        </w:rPr>
        <w:t>s. 5.98(1) and (2A))</w:t>
      </w:r>
      <w:bookmarkEnd w:id="127"/>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keepNext/>
      </w:pPr>
      <w:r>
        <w:lastRenderedPageBreak/>
        <w:tab/>
        <w:t>(3C)</w:t>
      </w:r>
      <w:r>
        <w:tab/>
        <w:t>A council member is not entitled to be paid a fee for attending a meeting of a type referred to in subregulation (3A) if —</w:t>
      </w:r>
    </w:p>
    <w:p>
      <w:pPr>
        <w:pStyle w:val="Indenta"/>
        <w:keepNext/>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128" w:name="_Toc188005490"/>
      <w:r>
        <w:rPr>
          <w:rStyle w:val="CharSectno"/>
        </w:rPr>
        <w:t>31</w:t>
      </w:r>
      <w:r>
        <w:rPr>
          <w:snapToGrid w:val="0"/>
        </w:rPr>
        <w:t>.</w:t>
      </w:r>
      <w:r>
        <w:rPr>
          <w:snapToGrid w:val="0"/>
        </w:rPr>
        <w:tab/>
      </w:r>
      <w:r>
        <w:t>Expenses to be reimbursed (Act s. 5.98(2)(a))</w:t>
      </w:r>
      <w:bookmarkEnd w:id="128"/>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 xml:space="preserve">child care and travel costs incurred by a council member because of the member’s attendance at a council meeting or a meeting of a committee of which he or she is also a </w:t>
      </w:r>
      <w:r>
        <w:t>member; and</w:t>
      </w:r>
    </w:p>
    <w:p>
      <w:pPr>
        <w:pStyle w:val="Indenta"/>
        <w:keepNext/>
      </w:pPr>
      <w:r>
        <w:tab/>
        <w:t>(c)</w:t>
      </w:r>
      <w:r>
        <w:tab/>
        <w:t>child care and travel costs incurred by a council member in completing the training required by section 5.126(1).</w:t>
      </w:r>
    </w:p>
    <w:p>
      <w:pPr>
        <w:pStyle w:val="Ednotesubsection"/>
        <w:keepNext/>
      </w:pPr>
      <w:r>
        <w:t>[(2)</w:t>
      </w:r>
      <w:r>
        <w:noBreakHyphen/>
        <w:t>(5)</w:t>
      </w:r>
      <w:r>
        <w:tab/>
        <w:t>deleted]</w:t>
      </w:r>
    </w:p>
    <w:p>
      <w:pPr>
        <w:pStyle w:val="Footnotesection"/>
      </w:pPr>
      <w:r>
        <w:tab/>
        <w:t>[Regulation 31 amended: Gazette 31 Mar 2005 p. 1034; 13 Jul 2012 p. 3219; SL 2022/185 r. 10.]</w:t>
      </w:r>
    </w:p>
    <w:p>
      <w:pPr>
        <w:pStyle w:val="Heading5"/>
        <w:rPr>
          <w:snapToGrid w:val="0"/>
        </w:rPr>
      </w:pPr>
      <w:bookmarkStart w:id="129" w:name="_Toc188005491"/>
      <w:r>
        <w:rPr>
          <w:rStyle w:val="CharSectno"/>
        </w:rPr>
        <w:lastRenderedPageBreak/>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w:t>
      </w:r>
      <w:bookmarkEnd w:id="129"/>
    </w:p>
    <w:p>
      <w:pPr>
        <w:pStyle w:val="Subsection"/>
        <w:keepNext/>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keepNext/>
        <w:rPr>
          <w:snapToGrid w:val="0"/>
        </w:rPr>
      </w:pPr>
      <w:r>
        <w:rPr>
          <w:snapToGrid w:val="0"/>
        </w:rPr>
        <w:tab/>
        <w:t>(c)</w:t>
      </w:r>
      <w:r>
        <w:rPr>
          <w:snapToGrid w:val="0"/>
        </w:rPr>
        <w:tab/>
        <w:t>an expense incurred by a council member in performing a function in his or her capacity as a council member.</w:t>
      </w:r>
    </w:p>
    <w:p>
      <w:pPr>
        <w:pStyle w:val="Ednotesubsection"/>
        <w:keepNext/>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130" w:name="_Toc188005492"/>
      <w:r>
        <w:rPr>
          <w:rStyle w:val="CharSectno"/>
        </w:rPr>
        <w:t>34AC</w:t>
      </w:r>
      <w:r>
        <w:t>.</w:t>
      </w:r>
      <w:r>
        <w:tab/>
        <w:t>Gifts to council members, when permitted etc. (Act s. 5.100A)</w:t>
      </w:r>
      <w:bookmarkEnd w:id="130"/>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keepNext/>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pPr>
      <w:bookmarkStart w:id="131" w:name="_Toc188005493"/>
      <w:r>
        <w:rPr>
          <w:rStyle w:val="CharSectno"/>
        </w:rPr>
        <w:lastRenderedPageBreak/>
        <w:t>34ACA</w:t>
      </w:r>
      <w:r>
        <w:t>.</w:t>
      </w:r>
      <w:r>
        <w:tab/>
        <w:t>Fees paid and expenses reimbursed to committee members (Act s. 5.100)</w:t>
      </w:r>
      <w:bookmarkEnd w:id="131"/>
    </w:p>
    <w:p>
      <w:pPr>
        <w:pStyle w:val="Subsection"/>
      </w:pPr>
      <w:r>
        <w:tab/>
        <w:t>(1)</w:t>
      </w:r>
      <w:r>
        <w:tab/>
        <w:t>A meeting of a committee of the council of which the committee member is not a member is a meeting of a prescribed type for the purposes of section 5.100(3).</w:t>
      </w:r>
    </w:p>
    <w:p>
      <w:pPr>
        <w:pStyle w:val="Subsection"/>
      </w:pPr>
      <w:r>
        <w:tab/>
        <w:t>(2)</w:t>
      </w:r>
      <w:r>
        <w:tab/>
        <w:t>For the purposes of section 5.100(4)(a), the kinds of expenses that are to be reimbursed by all local governments are child care and travel costs incurred by a committee member because of their attendance at a meeting of the committee of which they are a member.</w:t>
      </w:r>
    </w:p>
    <w:p>
      <w:pPr>
        <w:pStyle w:val="Subsection"/>
      </w:pPr>
      <w:r>
        <w:tab/>
        <w:t>(3)</w:t>
      </w:r>
      <w:r>
        <w:tab/>
        <w:t xml:space="preserve">For the purposes of section 5.100(4)(b), the kinds of expenses that may be approved by any local government for reimbursement by the local government are — </w:t>
      </w:r>
    </w:p>
    <w:p>
      <w:pPr>
        <w:pStyle w:val="Indenta"/>
      </w:pPr>
      <w:r>
        <w:tab/>
        <w:t>(a)</w:t>
      </w:r>
      <w:r>
        <w:tab/>
        <w:t>an expense incurred by a committee member in performing a function under the express authority of the local government; and</w:t>
      </w:r>
    </w:p>
    <w:p>
      <w:pPr>
        <w:pStyle w:val="Indenta"/>
      </w:pPr>
      <w:r>
        <w:tab/>
        <w:t>(b)</w:t>
      </w:r>
      <w:r>
        <w:tab/>
        <w:t>an expense incurred by a committee member in performing a function in their capacity as a committee member.</w:t>
      </w:r>
    </w:p>
    <w:p>
      <w:pPr>
        <w:pStyle w:val="Subsection"/>
      </w:pPr>
      <w:r>
        <w:tab/>
        <w:t>(4)</w:t>
      </w:r>
      <w:r>
        <w:tab/>
        <w:t xml:space="preserve">For the purposes of Schedule 9.3 clause 62(2) — </w:t>
      </w:r>
    </w:p>
    <w:p>
      <w:pPr>
        <w:pStyle w:val="Indenta"/>
      </w:pPr>
      <w:r>
        <w:tab/>
        <w:t>(a)</w:t>
      </w:r>
      <w:r>
        <w:tab/>
        <w:t xml:space="preserve">section 5.98(7), as in force immediately before the transitional period, continues to apply in relation to meetings of committees held before or during that period as if the </w:t>
      </w:r>
      <w:r>
        <w:rPr>
          <w:i/>
        </w:rPr>
        <w:t>Local Government Amendment Act 2023</w:t>
      </w:r>
      <w:r>
        <w:t xml:space="preserve"> section 79(2) had not come into operation; and</w:t>
      </w:r>
    </w:p>
    <w:p>
      <w:pPr>
        <w:pStyle w:val="Indenta"/>
      </w:pPr>
      <w:r>
        <w:tab/>
        <w:t>(b)</w:t>
      </w:r>
      <w:r>
        <w:tab/>
        <w:t xml:space="preserve">section 5.100(1), as in force immediately before the transitional period, continues to apply in relation to committee meetings held before or during that period as if the </w:t>
      </w:r>
      <w:r>
        <w:rPr>
          <w:i/>
        </w:rPr>
        <w:t>Local Government Amendment Act 2023</w:t>
      </w:r>
      <w:r>
        <w:t xml:space="preserve"> section 80 had not come into operation; and</w:t>
      </w:r>
    </w:p>
    <w:p>
      <w:pPr>
        <w:pStyle w:val="Indenta"/>
      </w:pPr>
      <w:r>
        <w:tab/>
        <w:t>(c)</w:t>
      </w:r>
      <w:r>
        <w:tab/>
        <w:t xml:space="preserve">section 5.100(2), as in force immediately before the transitional period, continues to apply in relation to expenses incurred before or during that period as if the </w:t>
      </w:r>
      <w:r>
        <w:rPr>
          <w:i/>
        </w:rPr>
        <w:lastRenderedPageBreak/>
        <w:t>Local Government Amendment Act 2023</w:t>
      </w:r>
      <w:r>
        <w:t xml:space="preserve"> section 80 had not come into operation.</w:t>
      </w:r>
    </w:p>
    <w:p>
      <w:pPr>
        <w:pStyle w:val="Subsection"/>
      </w:pPr>
      <w:r>
        <w:tab/>
        <w:t>(5)</w:t>
      </w:r>
      <w:r>
        <w:tab/>
        <w:t xml:space="preserve">In subregulation (4) — </w:t>
      </w:r>
    </w:p>
    <w:p>
      <w:pPr>
        <w:pStyle w:val="Defstart"/>
      </w:pPr>
      <w:r>
        <w:tab/>
      </w:r>
      <w:r>
        <w:rPr>
          <w:rStyle w:val="CharDefText"/>
        </w:rPr>
        <w:t>transitional period</w:t>
      </w:r>
      <w:r>
        <w:t xml:space="preserve"> means the period that — </w:t>
      </w:r>
    </w:p>
    <w:p>
      <w:pPr>
        <w:pStyle w:val="Defpara"/>
      </w:pPr>
      <w:r>
        <w:tab/>
        <w:t>(a)</w:t>
      </w:r>
      <w:r>
        <w:tab/>
        <w:t xml:space="preserve">begins when the </w:t>
      </w:r>
      <w:r>
        <w:rPr>
          <w:i/>
        </w:rPr>
        <w:t>Local Government Amendment Act 2023</w:t>
      </w:r>
      <w:r>
        <w:t xml:space="preserve"> section 80 comes into operation; and</w:t>
      </w:r>
    </w:p>
    <w:p>
      <w:pPr>
        <w:pStyle w:val="Defpara"/>
      </w:pPr>
      <w:r>
        <w:tab/>
        <w:t>(b)</w:t>
      </w:r>
      <w:r>
        <w:tab/>
        <w:t xml:space="preserve">ends immediately before the first determination of the Salaries and Allowances Tribunal under the </w:t>
      </w:r>
      <w:r>
        <w:rPr>
          <w:i/>
        </w:rPr>
        <w:t>Salaries and Allowances Act 1975</w:t>
      </w:r>
      <w:r>
        <w:t xml:space="preserve"> section 7BAA comes into operation or is deemed to have come into operation.</w:t>
      </w:r>
    </w:p>
    <w:p>
      <w:pPr>
        <w:pStyle w:val="Footnotesection"/>
      </w:pPr>
      <w:r>
        <w:tab/>
        <w:t>[Regulation 34ACA inserted: SL 2023/102 r. 7.]</w:t>
      </w:r>
    </w:p>
    <w:p>
      <w:pPr>
        <w:pStyle w:val="Heading5"/>
        <w:spacing w:before="200"/>
      </w:pPr>
      <w:bookmarkStart w:id="132" w:name="_Toc188005494"/>
      <w:r>
        <w:rPr>
          <w:rStyle w:val="CharSectno"/>
        </w:rPr>
        <w:t>34AD</w:t>
      </w:r>
      <w:r>
        <w:t>.</w:t>
      </w:r>
      <w:r>
        <w:tab/>
        <w:t>Method of payment of expenses for which person can be reimbursed (Act s. 5.101A)</w:t>
      </w:r>
      <w:bookmarkEnd w:id="132"/>
    </w:p>
    <w:p>
      <w:pPr>
        <w:pStyle w:val="Subsection"/>
        <w:keepNext/>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keepNext/>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keepNext/>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133" w:name="_Toc188005495"/>
      <w:r>
        <w:rPr>
          <w:rStyle w:val="CharSectno"/>
        </w:rPr>
        <w:lastRenderedPageBreak/>
        <w:t>34AE</w:t>
      </w:r>
      <w:r>
        <w:t>.</w:t>
      </w:r>
      <w:r>
        <w:tab/>
        <w:t>Repayment and recovery of advance payments of fees and allowances (Act s. 5.102AB)</w:t>
      </w:r>
      <w:bookmarkEnd w:id="133"/>
    </w:p>
    <w:p>
      <w:pPr>
        <w:pStyle w:val="Subsection"/>
        <w:keepNext/>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keepNext/>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keepNext/>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keepNext/>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lastRenderedPageBreak/>
        <w:t>[Part 9:</w:t>
      </w:r>
      <w:r>
        <w:tab/>
        <w:t>Div. 1 heading, Div. 2 (r. 34E</w:t>
      </w:r>
      <w:r>
        <w:noBreakHyphen/>
        <w:t xml:space="preserve">34G) deleted: Gazette </w:t>
      </w:r>
      <w:r>
        <w:tab/>
        <w:t>18 Oct 2019 p. 3682;</w:t>
      </w:r>
      <w:r>
        <w:br/>
      </w:r>
      <w:r>
        <w:tab/>
        <w:t>balance (r. 34B, 34C) deleted: SL 2021/16 r. 6.]</w:t>
      </w:r>
    </w:p>
    <w:p>
      <w:pPr>
        <w:pStyle w:val="Heading2"/>
      </w:pPr>
      <w:bookmarkStart w:id="134" w:name="_Toc187998561"/>
      <w:bookmarkStart w:id="135" w:name="_Toc188001238"/>
      <w:bookmarkStart w:id="136" w:name="_Toc188005496"/>
      <w:r>
        <w:rPr>
          <w:rStyle w:val="CharPartNo"/>
        </w:rPr>
        <w:lastRenderedPageBreak/>
        <w:t>Part 9A</w:t>
      </w:r>
      <w:r>
        <w:rPr>
          <w:rStyle w:val="CharDivNo"/>
        </w:rPr>
        <w:t> </w:t>
      </w:r>
      <w:r>
        <w:t>—</w:t>
      </w:r>
      <w:r>
        <w:rPr>
          <w:rStyle w:val="CharDivText"/>
        </w:rPr>
        <w:t> </w:t>
      </w:r>
      <w:r>
        <w:rPr>
          <w:rStyle w:val="CharPartText"/>
        </w:rPr>
        <w:t>Minor breaches by council members</w:t>
      </w:r>
      <w:bookmarkEnd w:id="134"/>
      <w:bookmarkEnd w:id="135"/>
      <w:bookmarkEnd w:id="136"/>
    </w:p>
    <w:p>
      <w:pPr>
        <w:pStyle w:val="Footnoteheading"/>
      </w:pPr>
      <w:r>
        <w:tab/>
        <w:t>[Heading inserted: SL 2021/15 r. 5.]</w:t>
      </w:r>
    </w:p>
    <w:p>
      <w:pPr>
        <w:pStyle w:val="Heading5"/>
      </w:pPr>
      <w:bookmarkStart w:id="137" w:name="_Toc188005497"/>
      <w:r>
        <w:rPr>
          <w:rStyle w:val="CharSectno"/>
        </w:rPr>
        <w:t>34D</w:t>
      </w:r>
      <w:r>
        <w:t>.</w:t>
      </w:r>
      <w:r>
        <w:tab/>
        <w:t>Contravention of local law as to conduct (Act s. 5.105(1)(b))</w:t>
      </w:r>
      <w:bookmarkEnd w:id="137"/>
    </w:p>
    <w:p>
      <w:pPr>
        <w:pStyle w:val="Subsection"/>
        <w:keepNext/>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138" w:name="_Toc187998563"/>
      <w:bookmarkStart w:id="139" w:name="_Toc188001240"/>
      <w:bookmarkStart w:id="140" w:name="_Toc188005498"/>
      <w:r>
        <w:rPr>
          <w:rStyle w:val="CharPartNo"/>
        </w:rPr>
        <w:lastRenderedPageBreak/>
        <w:t>Part 10</w:t>
      </w:r>
      <w:r>
        <w:rPr>
          <w:rStyle w:val="CharDivNo"/>
        </w:rPr>
        <w:t> </w:t>
      </w:r>
      <w:r>
        <w:t>—</w:t>
      </w:r>
      <w:r>
        <w:rPr>
          <w:rStyle w:val="CharDivText"/>
        </w:rPr>
        <w:t> </w:t>
      </w:r>
      <w:r>
        <w:rPr>
          <w:rStyle w:val="CharPartText"/>
        </w:rPr>
        <w:t>Training</w:t>
      </w:r>
      <w:bookmarkEnd w:id="138"/>
      <w:bookmarkEnd w:id="139"/>
      <w:bookmarkEnd w:id="140"/>
    </w:p>
    <w:p>
      <w:pPr>
        <w:pStyle w:val="Footnoteheading"/>
      </w:pPr>
      <w:r>
        <w:tab/>
        <w:t>[Heading inserted: Gazette 9 Aug 2019 p. 3022.]</w:t>
      </w:r>
    </w:p>
    <w:p>
      <w:pPr>
        <w:pStyle w:val="Heading5"/>
      </w:pPr>
      <w:bookmarkStart w:id="141" w:name="_Toc188005499"/>
      <w:r>
        <w:rPr>
          <w:rStyle w:val="CharSectno"/>
        </w:rPr>
        <w:t>35</w:t>
      </w:r>
      <w:r>
        <w:t>.</w:t>
      </w:r>
      <w:r>
        <w:tab/>
        <w:t>Training for council members (Act s. 5.126(1))</w:t>
      </w:r>
      <w:bookmarkEnd w:id="141"/>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keepNext/>
      </w:pPr>
      <w:r>
        <w:tab/>
        <w:t>(2)</w:t>
      </w:r>
      <w:r>
        <w:tab/>
        <w:t xml:space="preserve">The course of training is the course titled </w:t>
      </w:r>
      <w:r>
        <w:rPr>
          <w:i/>
        </w:rPr>
        <w:t>Council Member Essentials</w:t>
      </w:r>
      <w:r>
        <w:t xml:space="preserve"> that — </w:t>
      </w:r>
    </w:p>
    <w:p>
      <w:pPr>
        <w:pStyle w:val="Indenta"/>
        <w:keepNext/>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keepNext/>
      </w:pPr>
      <w:r>
        <w:tab/>
        <w:t>(v)</w:t>
      </w:r>
      <w:r>
        <w:tab/>
        <w:t>Understanding Financial Reports and Budgets;</w:t>
      </w:r>
    </w:p>
    <w:p>
      <w:pPr>
        <w:pStyle w:val="Indenta"/>
      </w:pPr>
      <w:r>
        <w:tab/>
      </w:r>
      <w:r>
        <w:tab/>
        <w:t>and</w:t>
      </w:r>
    </w:p>
    <w:p>
      <w:pPr>
        <w:pStyle w:val="Indenta"/>
        <w:keepNext/>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keepNext/>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142" w:name="_Toc188005500"/>
      <w:r>
        <w:rPr>
          <w:rStyle w:val="CharSectno"/>
        </w:rPr>
        <w:lastRenderedPageBreak/>
        <w:t>36</w:t>
      </w:r>
      <w:r>
        <w:t>.</w:t>
      </w:r>
      <w:r>
        <w:tab/>
        <w:t>Exemption from Act s. 5.126(1) requirement</w:t>
      </w:r>
      <w:bookmarkEnd w:id="142"/>
    </w:p>
    <w:p>
      <w:pPr>
        <w:pStyle w:val="Subsection"/>
        <w:keepNext/>
      </w:pPr>
      <w:r>
        <w:tab/>
        <w:t>(1)</w:t>
      </w:r>
      <w:r>
        <w:tab/>
        <w:t xml:space="preserve">A council member is exempt from the requirement in section 5.126(1) if — </w:t>
      </w:r>
    </w:p>
    <w:p>
      <w:pPr>
        <w:pStyle w:val="Indenta"/>
        <w:keepNext/>
      </w:pPr>
      <w:r>
        <w:tab/>
        <w:t>(a)</w:t>
      </w:r>
      <w:r>
        <w:tab/>
        <w:t xml:space="preserve">the council member passed any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i"/>
      </w:pPr>
      <w:r>
        <w:tab/>
        <w:t>(iii)</w:t>
      </w:r>
      <w:r>
        <w:tab/>
        <w:t xml:space="preserve">the course titled </w:t>
      </w:r>
      <w:r>
        <w:rPr>
          <w:i/>
        </w:rPr>
        <w:t xml:space="preserve">LGA50220 Diploma of Local Government </w:t>
      </w:r>
      <w:r>
        <w:rPr>
          <w:i/>
        </w:rPr>
        <w:noBreakHyphen/>
        <w:t xml:space="preserve"> Elected Member</w:t>
      </w:r>
      <w:r>
        <w:t>;</w:t>
      </w:r>
    </w:p>
    <w:p>
      <w:pPr>
        <w:pStyle w:val="Indenti"/>
        <w:keepNext/>
      </w:pPr>
      <w:r>
        <w:tab/>
        <w:t>(iv)</w:t>
      </w:r>
      <w:r>
        <w:tab/>
        <w:t xml:space="preserve">the course titled </w:t>
      </w:r>
      <w:r>
        <w:rPr>
          <w:i/>
        </w:rPr>
        <w:t>LGASS00007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keepNext/>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 amended: SL 2022/185 r. 11.]</w:t>
      </w:r>
    </w:p>
    <w:p>
      <w:pPr>
        <w:pStyle w:val="Heading5"/>
      </w:pPr>
      <w:bookmarkStart w:id="143" w:name="_Toc188005501"/>
      <w:r>
        <w:rPr>
          <w:rStyle w:val="CharSectno"/>
        </w:rPr>
        <w:t>37</w:t>
      </w:r>
      <w:r>
        <w:t>.</w:t>
      </w:r>
      <w:r>
        <w:tab/>
        <w:t>Fees and expenses (Act s. 5.129(4))</w:t>
      </w:r>
      <w:bookmarkEnd w:id="143"/>
    </w:p>
    <w:p>
      <w:pPr>
        <w:pStyle w:val="Subsection"/>
      </w:pPr>
      <w:r>
        <w:tab/>
        <w:t>(1)</w:t>
      </w:r>
      <w:r>
        <w:tab/>
        <w:t>This regulation applies to a policy of a local government under section 5.129 to the extent that the policy makes provision under section 5.129(1)(c) or (d).</w:t>
      </w:r>
    </w:p>
    <w:p>
      <w:pPr>
        <w:pStyle w:val="Subsection"/>
      </w:pPr>
      <w:r>
        <w:lastRenderedPageBreak/>
        <w:tab/>
        <w:t>(2)</w:t>
      </w:r>
      <w:r>
        <w:tab/>
        <w:t xml:space="preserve">The policy must not allow for the payment or reimbursement of an amount in relation to the participation of a council member in continuing professional development unless the continuing professional development is relevant to either or both of the following — </w:t>
      </w:r>
    </w:p>
    <w:p>
      <w:pPr>
        <w:pStyle w:val="Indenta"/>
      </w:pPr>
      <w:r>
        <w:tab/>
        <w:t>(a)</w:t>
      </w:r>
      <w:r>
        <w:tab/>
        <w:t>the council’s role under the Act or another written law, including as described in section 2.7;</w:t>
      </w:r>
    </w:p>
    <w:p>
      <w:pPr>
        <w:pStyle w:val="Indenta"/>
      </w:pPr>
      <w:r>
        <w:tab/>
        <w:t>(b)</w:t>
      </w:r>
      <w:r>
        <w:tab/>
        <w:t>the council member’s role under the Act or another written law, including as described in any of sections 2.8 to 2.10.</w:t>
      </w:r>
    </w:p>
    <w:p>
      <w:pPr>
        <w:pStyle w:val="Subsection"/>
      </w:pPr>
      <w:r>
        <w:tab/>
        <w:t>(3)</w:t>
      </w:r>
      <w:r>
        <w:tab/>
        <w:t xml:space="preserve">The policy must not allow for the payment or reimbursement of an amount in relation to the participation of a council member in continuing professional development if the participation occurs during any of the following periods — </w:t>
      </w:r>
    </w:p>
    <w:p>
      <w:pPr>
        <w:pStyle w:val="Indenta"/>
      </w:pPr>
      <w:r>
        <w:tab/>
        <w:t>(a)</w:t>
      </w:r>
      <w:r>
        <w:tab/>
        <w:t>the period of 3 months ending on the day on which the term for which the council member was elected as an elector mayor or president, or as a councillor, ends;</w:t>
      </w:r>
    </w:p>
    <w:p>
      <w:pPr>
        <w:pStyle w:val="Indenta"/>
      </w:pPr>
      <w:r>
        <w:tab/>
        <w:t>(b)</w:t>
      </w:r>
      <w:r>
        <w:tab/>
        <w:t xml:space="preserve">if the council member delivers a notice of resignation to the CEO under section 2.31 specifying a later day from which the resignation takes effect under section 2.31(4) — the period that — </w:t>
      </w:r>
    </w:p>
    <w:p>
      <w:pPr>
        <w:pStyle w:val="Indenti"/>
      </w:pPr>
      <w:r>
        <w:tab/>
        <w:t>(i)</w:t>
      </w:r>
      <w:r>
        <w:tab/>
        <w:t>begins on the date of delivery of the notice; and</w:t>
      </w:r>
    </w:p>
    <w:p>
      <w:pPr>
        <w:pStyle w:val="Indenti"/>
        <w:rPr>
          <w:b/>
        </w:rPr>
      </w:pPr>
      <w:r>
        <w:tab/>
        <w:t>(ii)</w:t>
      </w:r>
      <w:r>
        <w:tab/>
        <w:t>ends when the resignation takes effect;</w:t>
      </w:r>
    </w:p>
    <w:p>
      <w:pPr>
        <w:pStyle w:val="Indenta"/>
      </w:pPr>
      <w:r>
        <w:tab/>
        <w:t>(c)</w:t>
      </w:r>
      <w:r>
        <w:tab/>
        <w:t>a period of suspension of the council or council member under Part 8 of the Act.</w:t>
      </w:r>
    </w:p>
    <w:p>
      <w:pPr>
        <w:pStyle w:val="Footnotesection"/>
      </w:pPr>
      <w:r>
        <w:tab/>
        <w:t>[Regulation 37 inserted: SL 2023/158 r. 6.]</w:t>
      </w:r>
    </w:p>
    <w:p>
      <w:pPr>
        <w:pStyle w:val="Ednotesection"/>
      </w:pPr>
      <w:r>
        <w:t>[</w:t>
      </w:r>
      <w:r>
        <w:rPr>
          <w:b/>
        </w:rPr>
        <w:t>38, 39.</w:t>
      </w:r>
      <w:r>
        <w:tab/>
        <w:t>Deleted: Gazette 9 Aug 2019 p. 3022.]</w:t>
      </w:r>
    </w:p>
    <w:p>
      <w:pPr>
        <w:pStyle w:val="Ednotesection"/>
        <w:rPr>
          <w:vertAlign w:val="superscrip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44" w:name="_Toc187998567"/>
      <w:bookmarkStart w:id="145" w:name="_Toc188001244"/>
      <w:bookmarkStart w:id="146" w:name="_Toc188005502"/>
      <w:r>
        <w:rPr>
          <w:rStyle w:val="CharSchNo"/>
        </w:rPr>
        <w:lastRenderedPageBreak/>
        <w:t>Schedule 1</w:t>
      </w:r>
      <w:r>
        <w:t> — </w:t>
      </w:r>
      <w:r>
        <w:rPr>
          <w:rStyle w:val="CharSchText"/>
        </w:rPr>
        <w:t>Forms</w:t>
      </w:r>
      <w:bookmarkEnd w:id="144"/>
      <w:bookmarkEnd w:id="145"/>
      <w:bookmarkEnd w:id="146"/>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w:t>
      </w:r>
      <w:r>
        <w:t xml:space="preserve">300 </w:t>
      </w:r>
      <w:r>
        <w:rPr>
          <w:snapToGrid w:val="0"/>
        </w:rPr>
        <w:t>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lastRenderedPageBreak/>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Footnotesection"/>
      </w:pPr>
      <w:r>
        <w:tab/>
        <w:t>[Form 1 amended: SL 2023/102 r. 8.]</w:t>
      </w:r>
    </w:p>
    <w:p>
      <w:pPr>
        <w:pStyle w:val="yTable"/>
        <w:pageBreakBefore/>
        <w:tabs>
          <w:tab w:val="right" w:leader="dot" w:pos="7088"/>
        </w:tabs>
        <w:jc w:val="center"/>
        <w:rPr>
          <w:b/>
          <w:snapToGrid w:val="0"/>
        </w:rPr>
      </w:pPr>
      <w:r>
        <w:rPr>
          <w:b/>
          <w:snapToGrid w:val="0"/>
        </w:rPr>
        <w:lastRenderedPageBreak/>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lastRenderedPageBreak/>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lastRenderedPageBreak/>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lastRenderedPageBreak/>
        <w:t>8.</w:t>
      </w:r>
      <w:r>
        <w:rPr>
          <w:b/>
          <w:snapToGrid w:val="0"/>
        </w:rPr>
        <w:tab/>
        <w:t>Disposition of property</w:t>
      </w:r>
    </w:p>
    <w:p>
      <w:pPr>
        <w:pStyle w:val="yTable"/>
        <w:keepNext/>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tabs>
          <w:tab w:val="left" w:leader="dot" w:pos="4253"/>
          <w:tab w:val="right" w:leader="dot" w:pos="7088"/>
        </w:tabs>
        <w:spacing w:before="240"/>
        <w:rPr>
          <w:snapToGrid w:val="0"/>
        </w:rPr>
      </w:pPr>
      <w:r>
        <w:rPr>
          <w:snapToGrid w:val="0"/>
        </w:rPr>
        <w:lastRenderedPageBreak/>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r>
        <w:tab/>
        <w:t>[Form 4 inserted: Gazette 18 Oct 2019 p. 3683.]</w:t>
      </w:r>
    </w:p>
    <w:p>
      <w:pPr>
        <w:pStyle w:val="yScheduleHeading"/>
      </w:pPr>
      <w:bookmarkStart w:id="148" w:name="_Toc187998568"/>
      <w:bookmarkStart w:id="149" w:name="_Toc188001245"/>
      <w:bookmarkStart w:id="150" w:name="_Toc188005503"/>
      <w:r>
        <w:rPr>
          <w:rStyle w:val="CharSchNo"/>
        </w:rPr>
        <w:lastRenderedPageBreak/>
        <w:t>Schedule 2</w:t>
      </w:r>
      <w:r>
        <w:t> — </w:t>
      </w:r>
      <w:r>
        <w:rPr>
          <w:rStyle w:val="CharSchText"/>
        </w:rPr>
        <w:t>Model standards for CEO recruitment, performance and termination</w:t>
      </w:r>
      <w:bookmarkEnd w:id="148"/>
      <w:bookmarkEnd w:id="149"/>
      <w:bookmarkEnd w:id="150"/>
    </w:p>
    <w:p>
      <w:pPr>
        <w:pStyle w:val="yShoulderClause"/>
      </w:pPr>
      <w:r>
        <w:t>[r. 18FA]</w:t>
      </w:r>
    </w:p>
    <w:p>
      <w:pPr>
        <w:pStyle w:val="yFootnoteheading"/>
      </w:pPr>
      <w:r>
        <w:tab/>
        <w:t>[Heading inserted: SL 2021/14 r. 7.]</w:t>
      </w:r>
    </w:p>
    <w:p>
      <w:pPr>
        <w:pStyle w:val="yHeading3"/>
      </w:pPr>
      <w:bookmarkStart w:id="151" w:name="_Toc187998569"/>
      <w:bookmarkStart w:id="152" w:name="_Toc188001246"/>
      <w:bookmarkStart w:id="153" w:name="_Toc188005504"/>
      <w:r>
        <w:rPr>
          <w:rStyle w:val="CharSDivNo"/>
        </w:rPr>
        <w:t>Division 1</w:t>
      </w:r>
      <w:r>
        <w:t> — </w:t>
      </w:r>
      <w:r>
        <w:rPr>
          <w:rStyle w:val="CharSDivText"/>
        </w:rPr>
        <w:t>Preliminary provisions</w:t>
      </w:r>
      <w:bookmarkEnd w:id="151"/>
      <w:bookmarkEnd w:id="152"/>
      <w:bookmarkEnd w:id="153"/>
    </w:p>
    <w:p>
      <w:pPr>
        <w:pStyle w:val="yFootnoteheading"/>
      </w:pPr>
      <w:r>
        <w:tab/>
        <w:t>[Heading inserted: SL 2021/14 r. 7.]</w:t>
      </w:r>
    </w:p>
    <w:p>
      <w:pPr>
        <w:pStyle w:val="yHeading5"/>
      </w:pPr>
      <w:bookmarkStart w:id="154" w:name="_Toc188005505"/>
      <w:r>
        <w:rPr>
          <w:rStyle w:val="CharSClsNo"/>
        </w:rPr>
        <w:t>1</w:t>
      </w:r>
      <w:r>
        <w:t>.</w:t>
      </w:r>
      <w:r>
        <w:tab/>
        <w:t>Citation</w:t>
      </w:r>
      <w:bookmarkEnd w:id="154"/>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155" w:name="_Toc188005506"/>
      <w:r>
        <w:rPr>
          <w:rStyle w:val="CharSClsNo"/>
        </w:rPr>
        <w:t>2</w:t>
      </w:r>
      <w:r>
        <w:t>.</w:t>
      </w:r>
      <w:r>
        <w:tab/>
        <w:t>Terms used</w:t>
      </w:r>
      <w:bookmarkEnd w:id="155"/>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lastRenderedPageBreak/>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156" w:name="_Toc187998572"/>
      <w:bookmarkStart w:id="157" w:name="_Toc188001249"/>
      <w:bookmarkStart w:id="158" w:name="_Toc188005507"/>
      <w:r>
        <w:rPr>
          <w:rStyle w:val="CharSDivNo"/>
        </w:rPr>
        <w:t>Division 2</w:t>
      </w:r>
      <w:r>
        <w:t> — </w:t>
      </w:r>
      <w:r>
        <w:rPr>
          <w:rStyle w:val="CharSDivText"/>
        </w:rPr>
        <w:t>Standards for recruitment of CEOs</w:t>
      </w:r>
      <w:bookmarkEnd w:id="156"/>
      <w:bookmarkEnd w:id="157"/>
      <w:bookmarkEnd w:id="158"/>
    </w:p>
    <w:p>
      <w:pPr>
        <w:pStyle w:val="yFootnoteheading"/>
      </w:pPr>
      <w:r>
        <w:tab/>
        <w:t>[Heading inserted: SL 2021/14 r. 7.]</w:t>
      </w:r>
    </w:p>
    <w:p>
      <w:pPr>
        <w:pStyle w:val="yHeading5"/>
      </w:pPr>
      <w:bookmarkStart w:id="159" w:name="_Toc188005508"/>
      <w:r>
        <w:rPr>
          <w:rStyle w:val="CharSClsNo"/>
        </w:rPr>
        <w:t>3</w:t>
      </w:r>
      <w:r>
        <w:t>.</w:t>
      </w:r>
      <w:r>
        <w:tab/>
        <w:t>Overview of Division</w:t>
      </w:r>
      <w:bookmarkEnd w:id="159"/>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160" w:name="_Toc188005509"/>
      <w:r>
        <w:rPr>
          <w:rStyle w:val="CharSClsNo"/>
        </w:rPr>
        <w:t>4</w:t>
      </w:r>
      <w:r>
        <w:t>.</w:t>
      </w:r>
      <w:r>
        <w:tab/>
        <w:t>Application of Division</w:t>
      </w:r>
      <w:bookmarkEnd w:id="160"/>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161" w:name="_Toc188005510"/>
      <w:r>
        <w:rPr>
          <w:rStyle w:val="CharSClsNo"/>
        </w:rPr>
        <w:t>5</w:t>
      </w:r>
      <w:r>
        <w:t>.</w:t>
      </w:r>
      <w:r>
        <w:tab/>
        <w:t>Determination of selection criteria and approval of job description form</w:t>
      </w:r>
      <w:bookmarkEnd w:id="161"/>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lastRenderedPageBreak/>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162" w:name="_Toc188005511"/>
      <w:r>
        <w:rPr>
          <w:rStyle w:val="CharSClsNo"/>
        </w:rPr>
        <w:t>6</w:t>
      </w:r>
      <w:r>
        <w:t>.</w:t>
      </w:r>
      <w:r>
        <w:tab/>
        <w:t>Advertising requirements</w:t>
      </w:r>
      <w:bookmarkEnd w:id="162"/>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163" w:name="_Toc188005512"/>
      <w:r>
        <w:rPr>
          <w:rStyle w:val="CharSClsNo"/>
        </w:rPr>
        <w:t>7</w:t>
      </w:r>
      <w:r>
        <w:t>.</w:t>
      </w:r>
      <w:r>
        <w:tab/>
        <w:t>Job description form to be made available by local government</w:t>
      </w:r>
      <w:bookmarkEnd w:id="163"/>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164" w:name="_Toc188005513"/>
      <w:r>
        <w:rPr>
          <w:rStyle w:val="CharSClsNo"/>
        </w:rPr>
        <w:lastRenderedPageBreak/>
        <w:t>8</w:t>
      </w:r>
      <w:r>
        <w:t>.</w:t>
      </w:r>
      <w:r>
        <w:tab/>
        <w:t>Establishment of selection panel for employment of CEO</w:t>
      </w:r>
      <w:bookmarkEnd w:id="164"/>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165" w:name="_Toc188005514"/>
      <w:r>
        <w:rPr>
          <w:rStyle w:val="CharSClsNo"/>
        </w:rPr>
        <w:t>9</w:t>
      </w:r>
      <w:r>
        <w:t>.</w:t>
      </w:r>
      <w:r>
        <w:tab/>
        <w:t>Recommendation by selection panel</w:t>
      </w:r>
      <w:bookmarkEnd w:id="165"/>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lastRenderedPageBreak/>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166" w:name="_Toc188005515"/>
      <w:r>
        <w:rPr>
          <w:rStyle w:val="CharSClsNo"/>
        </w:rPr>
        <w:t>10</w:t>
      </w:r>
      <w:r>
        <w:t>.</w:t>
      </w:r>
      <w:r>
        <w:tab/>
        <w:t>Application of cl. 5 where new process carried out</w:t>
      </w:r>
      <w:bookmarkEnd w:id="166"/>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lastRenderedPageBreak/>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167" w:name="_Toc188005516"/>
      <w:r>
        <w:rPr>
          <w:rStyle w:val="CharSClsNo"/>
        </w:rPr>
        <w:t>11</w:t>
      </w:r>
      <w:r>
        <w:t>.</w:t>
      </w:r>
      <w:r>
        <w:tab/>
        <w:t>Offer of employment in position of CEO</w:t>
      </w:r>
      <w:bookmarkEnd w:id="167"/>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168" w:name="_Toc188005517"/>
      <w:r>
        <w:rPr>
          <w:rStyle w:val="CharSClsNo"/>
        </w:rPr>
        <w:t>12</w:t>
      </w:r>
      <w:r>
        <w:t>.</w:t>
      </w:r>
      <w:r>
        <w:tab/>
        <w:t>Variations to proposed terms of contract of employment</w:t>
      </w:r>
      <w:bookmarkEnd w:id="168"/>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169" w:name="_Toc188005518"/>
      <w:r>
        <w:rPr>
          <w:rStyle w:val="CharSClsNo"/>
        </w:rPr>
        <w:t>13</w:t>
      </w:r>
      <w:r>
        <w:t>.</w:t>
      </w:r>
      <w:r>
        <w:tab/>
        <w:t>Recruitment to be undertaken on expiry of certain CEO contracts</w:t>
      </w:r>
      <w:bookmarkEnd w:id="16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keepNext/>
      </w:pPr>
      <w:r>
        <w:lastRenderedPageBreak/>
        <w:tab/>
        <w:t>(2)</w:t>
      </w:r>
      <w:r>
        <w:tab/>
        <w:t xml:space="preserve">This clause applies if — </w:t>
      </w:r>
    </w:p>
    <w:p>
      <w:pPr>
        <w:pStyle w:val="yIndenta"/>
        <w:keepNext/>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the incumbent CEO will have held the position for a period of 10 or more consecutive years, whether that 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170" w:name="_Toc188005519"/>
      <w:r>
        <w:rPr>
          <w:rStyle w:val="CharSClsNo"/>
        </w:rPr>
        <w:t>14</w:t>
      </w:r>
      <w:r>
        <w:t>.</w:t>
      </w:r>
      <w:r>
        <w:tab/>
        <w:t>Confidentiality of information</w:t>
      </w:r>
      <w:bookmarkEnd w:id="170"/>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171" w:name="_Toc187998585"/>
      <w:bookmarkStart w:id="172" w:name="_Toc188001262"/>
      <w:bookmarkStart w:id="173" w:name="_Toc188005520"/>
      <w:r>
        <w:rPr>
          <w:rStyle w:val="CharSDivNo"/>
        </w:rPr>
        <w:lastRenderedPageBreak/>
        <w:t>Division 3</w:t>
      </w:r>
      <w:r>
        <w:t> — </w:t>
      </w:r>
      <w:r>
        <w:rPr>
          <w:rStyle w:val="CharSDivText"/>
        </w:rPr>
        <w:t>Standards for review of performance of CEOs</w:t>
      </w:r>
      <w:bookmarkEnd w:id="171"/>
      <w:bookmarkEnd w:id="172"/>
      <w:bookmarkEnd w:id="173"/>
    </w:p>
    <w:p>
      <w:pPr>
        <w:pStyle w:val="yFootnoteheading"/>
        <w:keepNext/>
      </w:pPr>
      <w:r>
        <w:tab/>
        <w:t>[Heading inserted: SL 2021/14 r. 7.]</w:t>
      </w:r>
    </w:p>
    <w:p>
      <w:pPr>
        <w:pStyle w:val="yHeading5"/>
      </w:pPr>
      <w:bookmarkStart w:id="174" w:name="_Toc188005521"/>
      <w:r>
        <w:rPr>
          <w:rStyle w:val="CharSClsNo"/>
        </w:rPr>
        <w:t>15</w:t>
      </w:r>
      <w:r>
        <w:t>.</w:t>
      </w:r>
      <w:r>
        <w:tab/>
        <w:t>Overview of Division</w:t>
      </w:r>
      <w:bookmarkEnd w:id="174"/>
    </w:p>
    <w:p>
      <w:pPr>
        <w:pStyle w:val="ySubsection"/>
      </w:pPr>
      <w:r>
        <w:tab/>
      </w:r>
      <w:r>
        <w:tab/>
        <w:t>This Division sets out standards to be observed by the local government in relation to the review of the performance of CEOs.</w:t>
      </w:r>
    </w:p>
    <w:p>
      <w:pPr>
        <w:pStyle w:val="yFootnotesection"/>
      </w:pPr>
      <w:r>
        <w:tab/>
        <w:t>[Clause 15 inserted: SL 2021/14 r. 7.]</w:t>
      </w:r>
    </w:p>
    <w:p>
      <w:pPr>
        <w:pStyle w:val="yHeading5"/>
      </w:pPr>
      <w:bookmarkStart w:id="175" w:name="_Toc188005522"/>
      <w:r>
        <w:rPr>
          <w:rStyle w:val="CharSClsNo"/>
        </w:rPr>
        <w:t>16</w:t>
      </w:r>
      <w:r>
        <w:t>.</w:t>
      </w:r>
      <w:r>
        <w:tab/>
        <w:t>Performance review process to be agreed between local government and CEO</w:t>
      </w:r>
      <w:bookmarkEnd w:id="175"/>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176" w:name="_Toc188005523"/>
      <w:r>
        <w:rPr>
          <w:rStyle w:val="CharSClsNo"/>
        </w:rPr>
        <w:t>17</w:t>
      </w:r>
      <w:r>
        <w:t>.</w:t>
      </w:r>
      <w:r>
        <w:tab/>
        <w:t>Carrying out a performance review</w:t>
      </w:r>
      <w:bookmarkEnd w:id="176"/>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177" w:name="_Toc188005524"/>
      <w:r>
        <w:rPr>
          <w:rStyle w:val="CharSClsNo"/>
        </w:rPr>
        <w:lastRenderedPageBreak/>
        <w:t>18</w:t>
      </w:r>
      <w:r>
        <w:t>.</w:t>
      </w:r>
      <w:r>
        <w:tab/>
        <w:t>Endorsement of performance review by local government</w:t>
      </w:r>
      <w:bookmarkEnd w:id="177"/>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178" w:name="_Toc188005525"/>
      <w:r>
        <w:rPr>
          <w:rStyle w:val="CharSClsNo"/>
        </w:rPr>
        <w:t>19</w:t>
      </w:r>
      <w:r>
        <w:t>.</w:t>
      </w:r>
      <w:r>
        <w:tab/>
        <w:t>CEO to be notified of results of performance review</w:t>
      </w:r>
      <w:bookmarkEnd w:id="178"/>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179" w:name="_Toc187998591"/>
      <w:bookmarkStart w:id="180" w:name="_Toc188001268"/>
      <w:bookmarkStart w:id="181" w:name="_Toc188005526"/>
      <w:r>
        <w:rPr>
          <w:rStyle w:val="CharSDivNo"/>
        </w:rPr>
        <w:t>Division 4</w:t>
      </w:r>
      <w:r>
        <w:t> — </w:t>
      </w:r>
      <w:r>
        <w:rPr>
          <w:rStyle w:val="CharSDivText"/>
        </w:rPr>
        <w:t>Standards for termination of employment of CEOs</w:t>
      </w:r>
      <w:bookmarkEnd w:id="179"/>
      <w:bookmarkEnd w:id="180"/>
      <w:bookmarkEnd w:id="181"/>
    </w:p>
    <w:p>
      <w:pPr>
        <w:pStyle w:val="yFootnoteheading"/>
      </w:pPr>
      <w:r>
        <w:tab/>
        <w:t>[Heading inserted: SL 2021/14 r. 7.]</w:t>
      </w:r>
    </w:p>
    <w:p>
      <w:pPr>
        <w:pStyle w:val="yHeading5"/>
      </w:pPr>
      <w:bookmarkStart w:id="182" w:name="_Toc188005527"/>
      <w:r>
        <w:rPr>
          <w:rStyle w:val="CharSClsNo"/>
        </w:rPr>
        <w:t>20</w:t>
      </w:r>
      <w:r>
        <w:t>.</w:t>
      </w:r>
      <w:r>
        <w:tab/>
        <w:t>Overview of Division</w:t>
      </w:r>
      <w:bookmarkEnd w:id="182"/>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183" w:name="_Toc188005528"/>
      <w:r>
        <w:rPr>
          <w:rStyle w:val="CharSClsNo"/>
        </w:rPr>
        <w:t>21</w:t>
      </w:r>
      <w:r>
        <w:t>.</w:t>
      </w:r>
      <w:r>
        <w:tab/>
        <w:t>General principles applying to any termination</w:t>
      </w:r>
      <w:bookmarkEnd w:id="183"/>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lastRenderedPageBreak/>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184" w:name="_Toc188005529"/>
      <w:r>
        <w:rPr>
          <w:rStyle w:val="CharSClsNo"/>
        </w:rPr>
        <w:t>22</w:t>
      </w:r>
      <w:r>
        <w:t>.</w:t>
      </w:r>
      <w:r>
        <w:tab/>
        <w:t>Additional principles applying to termination for performance</w:t>
      </w:r>
      <w:r>
        <w:noBreakHyphen/>
        <w:t>related reasons</w:t>
      </w:r>
      <w:bookmarkEnd w:id="184"/>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185" w:name="_Toc188005530"/>
      <w:r>
        <w:rPr>
          <w:rStyle w:val="CharSClsNo"/>
        </w:rPr>
        <w:t>23</w:t>
      </w:r>
      <w:r>
        <w:t>.</w:t>
      </w:r>
      <w:r>
        <w:tab/>
        <w:t>Decision to terminate</w:t>
      </w:r>
      <w:bookmarkEnd w:id="185"/>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186" w:name="_Toc188005531"/>
      <w:r>
        <w:rPr>
          <w:rStyle w:val="CharSClsNo"/>
        </w:rPr>
        <w:lastRenderedPageBreak/>
        <w:t>24</w:t>
      </w:r>
      <w:r>
        <w:t>.</w:t>
      </w:r>
      <w:r>
        <w:tab/>
        <w:t>Notice of termination of employment</w:t>
      </w:r>
      <w:bookmarkEnd w:id="186"/>
    </w:p>
    <w:p>
      <w:pPr>
        <w:pStyle w:val="ySubsection"/>
      </w:pPr>
      <w:r>
        <w:tab/>
        <w:t>(1)</w:t>
      </w:r>
      <w:r>
        <w:tab/>
        <w:t>If the local government terminates the employment of a CEO, the local government must give the CEO notice in writing of the termination.</w:t>
      </w:r>
    </w:p>
    <w:p>
      <w:pPr>
        <w:pStyle w:val="ySubsection"/>
        <w:keepNext/>
      </w:pPr>
      <w:r>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187" w:name="_Toc187998597"/>
      <w:bookmarkStart w:id="188" w:name="_Toc188001274"/>
      <w:bookmarkStart w:id="189" w:name="_Toc188005532"/>
      <w:r>
        <w:lastRenderedPageBreak/>
        <w:t>Notes</w:t>
      </w:r>
      <w:bookmarkEnd w:id="187"/>
      <w:bookmarkEnd w:id="188"/>
      <w:bookmarkEnd w:id="189"/>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0" w:name="_Toc188005533"/>
      <w:r>
        <w:t>Compilation table</w:t>
      </w:r>
      <w:bookmarkEnd w:id="19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lastRenderedPageBreak/>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lastRenderedPageBreak/>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c>
          <w:tcPr>
            <w:tcW w:w="3118" w:type="dxa"/>
            <w:tcBorders>
              <w:top w:val="nil"/>
              <w:bottom w:val="nil"/>
            </w:tcBorders>
            <w:shd w:val="clear" w:color="auto" w:fill="auto"/>
          </w:tcPr>
          <w:p>
            <w:pPr>
              <w:pStyle w:val="nTable"/>
            </w:pPr>
            <w:r>
              <w:rPr>
                <w:i/>
              </w:rPr>
              <w:t xml:space="preserve">Local Government Regulations Amendment Regulations 2022 </w:t>
            </w:r>
            <w:r>
              <w:t xml:space="preserve">Pt. 2 </w:t>
            </w:r>
          </w:p>
        </w:tc>
        <w:tc>
          <w:tcPr>
            <w:tcW w:w="1276" w:type="dxa"/>
            <w:tcBorders>
              <w:top w:val="nil"/>
              <w:bottom w:val="nil"/>
            </w:tcBorders>
            <w:shd w:val="clear" w:color="auto" w:fill="auto"/>
          </w:tcPr>
          <w:p>
            <w:pPr>
              <w:pStyle w:val="nTable"/>
              <w:keepNext/>
              <w:keepLines/>
              <w:spacing w:after="40"/>
            </w:pPr>
            <w:r>
              <w:t>SL 2022/177 2 Nov 2022</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Pt. 2 </w:t>
            </w:r>
            <w:r>
              <w:t xml:space="preserve">(other than Div. 3): </w:t>
            </w:r>
            <w:r>
              <w:rPr>
                <w:snapToGrid w:val="0"/>
              </w:rPr>
              <w:t>3 Nov 2022 (see r. 2(b) and SL 2022/175 cl. 2)</w:t>
            </w:r>
            <w:r>
              <w:rPr>
                <w:snapToGrid w:val="0"/>
              </w:rPr>
              <w:br/>
              <w:t>Pt. 2 Div. 3: 3 Nov 2024 (see r. 2(c) and SL 2022/175 cl. 2)</w:t>
            </w:r>
          </w:p>
        </w:tc>
      </w:tr>
      <w:tr>
        <w:tc>
          <w:tcPr>
            <w:tcW w:w="3118" w:type="dxa"/>
            <w:tcBorders>
              <w:top w:val="nil"/>
              <w:bottom w:val="nil"/>
            </w:tcBorders>
            <w:shd w:val="clear" w:color="auto" w:fill="auto"/>
          </w:tcPr>
          <w:p>
            <w:pPr>
              <w:pStyle w:val="nTable"/>
              <w:rPr>
                <w:i/>
              </w:rPr>
            </w:pPr>
            <w:r>
              <w:rPr>
                <w:i/>
              </w:rPr>
              <w:t>Local Government (Administration) Amendment Regulations 2022</w:t>
            </w:r>
          </w:p>
        </w:tc>
        <w:tc>
          <w:tcPr>
            <w:tcW w:w="1276" w:type="dxa"/>
            <w:tcBorders>
              <w:top w:val="nil"/>
              <w:bottom w:val="nil"/>
            </w:tcBorders>
            <w:shd w:val="clear" w:color="auto" w:fill="auto"/>
          </w:tcPr>
          <w:p>
            <w:pPr>
              <w:pStyle w:val="nTable"/>
              <w:keepNext/>
              <w:keepLines/>
              <w:spacing w:after="40"/>
            </w:pPr>
            <w:r>
              <w:t>SL 2022/185 8 Nov 2022</w:t>
            </w:r>
          </w:p>
        </w:tc>
        <w:tc>
          <w:tcPr>
            <w:tcW w:w="2693" w:type="dxa"/>
            <w:tcBorders>
              <w:top w:val="nil"/>
              <w:bottom w:val="nil"/>
            </w:tcBorders>
            <w:shd w:val="clear" w:color="auto" w:fill="auto"/>
          </w:tcPr>
          <w:p>
            <w:pPr>
              <w:pStyle w:val="nTable"/>
              <w:keepNext/>
              <w:keepLines/>
              <w:spacing w:after="40"/>
              <w:rPr>
                <w:snapToGrid w:val="0"/>
              </w:rPr>
            </w:pPr>
            <w:r>
              <w:rPr>
                <w:snapToGrid w:val="0"/>
              </w:rPr>
              <w:t>r. 1 and 2: 8 Nov 2022 (see r. 2(a));</w:t>
            </w:r>
            <w:r>
              <w:rPr>
                <w:snapToGrid w:val="0"/>
              </w:rPr>
              <w:br/>
              <w:t>Regulations other than r. 1 and 2: 9 Nov 2022 (see r. 2(b))</w:t>
            </w:r>
          </w:p>
        </w:tc>
      </w:tr>
      <w:tr>
        <w:tc>
          <w:tcPr>
            <w:tcW w:w="3118" w:type="dxa"/>
            <w:tcBorders>
              <w:top w:val="nil"/>
              <w:bottom w:val="nil"/>
            </w:tcBorders>
            <w:shd w:val="clear" w:color="auto" w:fill="auto"/>
          </w:tcPr>
          <w:p>
            <w:pPr>
              <w:pStyle w:val="nTable"/>
              <w:rPr>
                <w:i/>
              </w:rPr>
            </w:pPr>
            <w:r>
              <w:rPr>
                <w:i/>
              </w:rPr>
              <w:t>Local Government Regulations Amendment Regulations (No. 2) 2023</w:t>
            </w:r>
            <w:r>
              <w:t xml:space="preserve"> Pt. 2</w:t>
            </w:r>
          </w:p>
        </w:tc>
        <w:tc>
          <w:tcPr>
            <w:tcW w:w="1276" w:type="dxa"/>
            <w:tcBorders>
              <w:top w:val="nil"/>
              <w:bottom w:val="nil"/>
            </w:tcBorders>
            <w:shd w:val="clear" w:color="auto" w:fill="auto"/>
          </w:tcPr>
          <w:p>
            <w:pPr>
              <w:pStyle w:val="nTable"/>
              <w:keepNext/>
              <w:keepLines/>
              <w:spacing w:after="40"/>
            </w:pPr>
            <w:r>
              <w:t>SL 2023/102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Pt. 2 other than r. 7: 1 Jul 2023 (see r. 2(d));</w:t>
            </w:r>
            <w:r>
              <w:rPr>
                <w:snapToGrid w:val="0"/>
              </w:rPr>
              <w:br/>
              <w:t>r. 7: 1 Jan 2024 (see r. 2(b))</w:t>
            </w:r>
          </w:p>
        </w:tc>
      </w:tr>
      <w:tr>
        <w:tc>
          <w:tcPr>
            <w:tcW w:w="3118" w:type="dxa"/>
            <w:tcBorders>
              <w:top w:val="nil"/>
              <w:bottom w:val="nil"/>
            </w:tcBorders>
            <w:shd w:val="clear" w:color="auto" w:fill="auto"/>
          </w:tcPr>
          <w:p>
            <w:pPr>
              <w:pStyle w:val="nTable"/>
              <w:rPr>
                <w:i/>
              </w:rPr>
            </w:pPr>
            <w:r>
              <w:rPr>
                <w:i/>
              </w:rPr>
              <w:t>Local Government Regulations Amendment Regulations 2023</w:t>
            </w:r>
            <w:r>
              <w:t xml:space="preserve"> Pt. 3</w:t>
            </w:r>
          </w:p>
        </w:tc>
        <w:tc>
          <w:tcPr>
            <w:tcW w:w="1276" w:type="dxa"/>
            <w:tcBorders>
              <w:top w:val="nil"/>
              <w:bottom w:val="nil"/>
            </w:tcBorders>
            <w:shd w:val="clear" w:color="auto" w:fill="auto"/>
          </w:tcPr>
          <w:p>
            <w:pPr>
              <w:pStyle w:val="nTable"/>
              <w:keepNext/>
              <w:keepLines/>
              <w:spacing w:after="40"/>
            </w:pPr>
            <w:r>
              <w:t>SL 2023/106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1 Jul 2023 (see r. 2(c))</w:t>
            </w:r>
          </w:p>
        </w:tc>
      </w:tr>
      <w:tr>
        <w:tc>
          <w:tcPr>
            <w:tcW w:w="3118" w:type="dxa"/>
            <w:tcBorders>
              <w:top w:val="nil"/>
              <w:bottom w:val="single" w:sz="4" w:space="0" w:color="auto"/>
            </w:tcBorders>
            <w:shd w:val="clear" w:color="auto" w:fill="auto"/>
          </w:tcPr>
          <w:p>
            <w:pPr>
              <w:pStyle w:val="nTable"/>
            </w:pPr>
            <w:r>
              <w:rPr>
                <w:i/>
              </w:rPr>
              <w:t xml:space="preserve">Local Government Regulations Amendment Regulations (No. 3) 2023 </w:t>
            </w:r>
            <w:r>
              <w:t>Pt. 2</w:t>
            </w:r>
          </w:p>
        </w:tc>
        <w:tc>
          <w:tcPr>
            <w:tcW w:w="1276" w:type="dxa"/>
            <w:tcBorders>
              <w:top w:val="nil"/>
              <w:bottom w:val="single" w:sz="4" w:space="0" w:color="auto"/>
            </w:tcBorders>
            <w:shd w:val="clear" w:color="auto" w:fill="auto"/>
          </w:tcPr>
          <w:p>
            <w:pPr>
              <w:pStyle w:val="nTable"/>
              <w:keepNext/>
              <w:keepLines/>
              <w:spacing w:after="40"/>
            </w:pPr>
            <w:r>
              <w:t>SL 2023/158 18 Oct 2023</w:t>
            </w:r>
          </w:p>
        </w:tc>
        <w:tc>
          <w:tcPr>
            <w:tcW w:w="2693" w:type="dxa"/>
            <w:tcBorders>
              <w:top w:val="nil"/>
              <w:bottom w:val="single" w:sz="4" w:space="0" w:color="auto"/>
            </w:tcBorders>
            <w:shd w:val="clear" w:color="auto" w:fill="auto"/>
          </w:tcPr>
          <w:p>
            <w:pPr>
              <w:pStyle w:val="nTable"/>
              <w:keepNext/>
              <w:keepLines/>
              <w:spacing w:after="40"/>
              <w:rPr>
                <w:snapToGrid w:val="0"/>
              </w:rPr>
            </w:pPr>
            <w:r>
              <w:rPr>
                <w:snapToGrid w:val="0"/>
              </w:rPr>
              <w:t>Pt. 2 Div. 1: 19 Oct 2023 (see r. 2(c));</w:t>
            </w:r>
            <w:r>
              <w:rPr>
                <w:snapToGrid w:val="0"/>
              </w:rPr>
              <w:br/>
              <w:t>Pt. 2 Div. 2: 1 Jan 2024 (see r. 2(b))</w:t>
            </w:r>
          </w:p>
        </w:tc>
      </w:tr>
    </w:tbl>
    <w:p>
      <w:pPr>
        <w:pStyle w:val="nHeading3"/>
      </w:pPr>
      <w:bookmarkStart w:id="191" w:name="_Toc188005534"/>
      <w:r>
        <w:lastRenderedPageBreak/>
        <w:t>Uncommenced provisions table</w:t>
      </w:r>
      <w:bookmarkEnd w:id="19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Local Government Regulations Amendment Regulations (No. 2) 2025 </w:t>
            </w:r>
            <w:r>
              <w:t>Pt. 2</w:t>
            </w:r>
          </w:p>
        </w:tc>
        <w:tc>
          <w:tcPr>
            <w:tcW w:w="1276" w:type="dxa"/>
          </w:tcPr>
          <w:p>
            <w:pPr>
              <w:pStyle w:val="nTable"/>
              <w:spacing w:after="40"/>
            </w:pPr>
            <w:r>
              <w:t>SL 2025/7 22 Jan 2025</w:t>
            </w:r>
          </w:p>
        </w:tc>
        <w:tc>
          <w:tcPr>
            <w:tcW w:w="2693" w:type="dxa"/>
          </w:tcPr>
          <w:p>
            <w:pPr>
              <w:pStyle w:val="nTable"/>
              <w:spacing w:after="40"/>
            </w:pPr>
            <w:r>
              <w:t xml:space="preserve">1 Feb 2025 </w:t>
            </w:r>
            <w:r>
              <w:rPr>
                <w:snapToGrid w:val="0"/>
              </w:rPr>
              <w:t>(see r. 2(b))</w:t>
            </w:r>
          </w:p>
        </w:tc>
      </w:tr>
    </w:tbl>
    <w:p>
      <w:pPr>
        <w:pStyle w:val="nHeading3"/>
      </w:pPr>
      <w:bookmarkStart w:id="192" w:name="_Toc188005535"/>
      <w:r>
        <w:t>Other notes</w:t>
      </w:r>
      <w:bookmarkEnd w:id="192"/>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94" w:name="_Toc187998600"/>
      <w:bookmarkStart w:id="195" w:name="_Toc188001278"/>
      <w:bookmarkStart w:id="196" w:name="_Toc188005536"/>
      <w:r>
        <w:rPr>
          <w:sz w:val="28"/>
        </w:rPr>
        <w:lastRenderedPageBreak/>
        <w:t>Defined terms</w:t>
      </w:r>
      <w:bookmarkEnd w:id="194"/>
      <w:bookmarkEnd w:id="195"/>
      <w:bookmarkEnd w:id="1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2 cl. 2(1)</w:t>
      </w:r>
    </w:p>
    <w:p>
      <w:pPr>
        <w:pStyle w:val="DefinedTerms"/>
      </w:pPr>
      <w:r>
        <w:t>activity involving a local government discretion</w:t>
      </w:r>
      <w:r>
        <w:tab/>
        <w:t>19AA</w:t>
      </w:r>
    </w:p>
    <w:p>
      <w:pPr>
        <w:pStyle w:val="DefinedTerms"/>
      </w:pPr>
      <w:r>
        <w:t>additional performance criteria</w:t>
      </w:r>
      <w:r>
        <w:tab/>
        <w:t>Sch. 2 cl. 2(1)</w:t>
      </w:r>
    </w:p>
    <w:p>
      <w:pPr>
        <w:pStyle w:val="DefinedTerms"/>
      </w:pPr>
      <w:r>
        <w:t>adopted standards</w:t>
      </w:r>
      <w:r>
        <w:tab/>
        <w:t>18FB(1), 18FC(1)</w:t>
      </w:r>
    </w:p>
    <w:p>
      <w:pPr>
        <w:pStyle w:val="DefinedTerms"/>
      </w:pPr>
      <w:r>
        <w:t>annual return</w:t>
      </w:r>
      <w:r>
        <w:tab/>
        <w:t>29C(1)</w:t>
      </w:r>
    </w:p>
    <w:p>
      <w:pPr>
        <w:pStyle w:val="DefinedTerms"/>
      </w:pPr>
      <w:r>
        <w:t>applicant</w:t>
      </w:r>
      <w:r>
        <w:tab/>
        <w:t>Sch. 2 cl. 2(1)</w:t>
      </w:r>
    </w:p>
    <w:p>
      <w:pPr>
        <w:pStyle w:val="DefinedTerms"/>
      </w:pPr>
      <w:r>
        <w:t>associated person</w:t>
      </w:r>
      <w:r>
        <w:tab/>
        <w:t>19AA</w:t>
      </w:r>
    </w:p>
    <w:p>
      <w:pPr>
        <w:pStyle w:val="DefinedTerms"/>
      </w:pPr>
      <w:r>
        <w:t>broadcast technology</w:t>
      </w:r>
      <w:r>
        <w:tab/>
        <w:t>14G(1)</w:t>
      </w:r>
    </w:p>
    <w:p>
      <w:pPr>
        <w:pStyle w:val="DefinedTerms"/>
      </w:pPr>
      <w:r>
        <w:t>class 3 or 4 council or committee</w:t>
      </w:r>
      <w:r>
        <w:tab/>
        <w:t>14E(1)</w:t>
      </w:r>
    </w:p>
    <w:p>
      <w:pPr>
        <w:pStyle w:val="DefinedTerms"/>
      </w:pPr>
      <w:r>
        <w:t>client or adviser</w:t>
      </w:r>
      <w:r>
        <w:tab/>
        <w:t>20(1)</w:t>
      </w:r>
    </w:p>
    <w:p>
      <w:pPr>
        <w:pStyle w:val="DefinedTerms"/>
      </w:pPr>
      <w:r>
        <w:t>closed proceedings</w:t>
      </w:r>
      <w:r>
        <w:tab/>
        <w:t>14G(1)</w:t>
      </w:r>
    </w:p>
    <w:p>
      <w:pPr>
        <w:pStyle w:val="DefinedTerms"/>
      </w:pPr>
      <w:r>
        <w:t>code of conduct</w:t>
      </w:r>
      <w:r>
        <w:tab/>
        <w:t>3(1), 19AA</w:t>
      </w:r>
    </w:p>
    <w:p>
      <w:pPr>
        <w:pStyle w:val="DefinedTerms"/>
      </w:pPr>
      <w:r>
        <w:t>commencement day</w:t>
      </w:r>
      <w:r>
        <w:tab/>
        <w:t>28B(1), Sch. 2 cl. 13(1)</w:t>
      </w:r>
    </w:p>
    <w:p>
      <w:pPr>
        <w:pStyle w:val="DefinedTerms"/>
      </w:pPr>
      <w:r>
        <w:t>committee</w:t>
      </w:r>
      <w:r>
        <w:tab/>
        <w:t>3(1)</w:t>
      </w:r>
    </w:p>
    <w:p>
      <w:pPr>
        <w:pStyle w:val="DefinedTerms"/>
      </w:pPr>
      <w:r>
        <w:t>contract of employment</w:t>
      </w:r>
      <w:r>
        <w:tab/>
        <w:t>Sch. 2 cl. 2(1)</w:t>
      </w:r>
    </w:p>
    <w:p>
      <w:pPr>
        <w:pStyle w:val="DefinedTerms"/>
      </w:pPr>
      <w:r>
        <w:t>contractual performance criteria</w:t>
      </w:r>
      <w:r>
        <w:tab/>
        <w:t>Sch. 2 cl. 2(1)</w:t>
      </w:r>
    </w:p>
    <w:p>
      <w:pPr>
        <w:pStyle w:val="DefinedTerms"/>
      </w:pPr>
      <w:r>
        <w:t>corporate business plan</w:t>
      </w:r>
      <w:r>
        <w:tab/>
        <w:t>19BA</w:t>
      </w:r>
    </w:p>
    <w:p>
      <w:pPr>
        <w:pStyle w:val="DefinedTerms"/>
      </w:pPr>
      <w:r>
        <w:t>electronic meeting</w:t>
      </w:r>
      <w:r>
        <w:tab/>
        <w:t>14E(1), 14G(1)</w:t>
      </w:r>
    </w:p>
    <w:p>
      <w:pPr>
        <w:pStyle w:val="DefinedTerms"/>
      </w:pPr>
      <w:r>
        <w:t>final annual remuneration</w:t>
      </w:r>
      <w:r>
        <w:tab/>
        <w:t>19A(2)</w:t>
      </w:r>
    </w:p>
    <w:p>
      <w:pPr>
        <w:pStyle w:val="DefinedTerms"/>
      </w:pPr>
      <w:r>
        <w:t>former Form 4</w:t>
      </w:r>
      <w:r>
        <w:tab/>
        <w:t>28B(1)</w:t>
      </w:r>
    </w:p>
    <w:p>
      <w:pPr>
        <w:pStyle w:val="DefinedTerms"/>
      </w:pPr>
      <w:r>
        <w:t xml:space="preserve">former record of disclosures </w:t>
      </w:r>
      <w:r>
        <w:tab/>
        <w:t>28B(1)</w:t>
      </w:r>
    </w:p>
    <w:p>
      <w:pPr>
        <w:pStyle w:val="DefinedTerms"/>
      </w:pPr>
      <w:r>
        <w:t>former regulation 19C</w:t>
      </w:r>
      <w:r>
        <w:tab/>
        <w:t>19DB(1)</w:t>
      </w:r>
    </w:p>
    <w:p>
      <w:pPr>
        <w:pStyle w:val="DefinedTerms"/>
      </w:pPr>
      <w:r>
        <w:t>former regulation 19D</w:t>
      </w:r>
      <w:r>
        <w:tab/>
        <w:t>19DB(1)</w:t>
      </w:r>
    </w:p>
    <w:p>
      <w:pPr>
        <w:pStyle w:val="DefinedTerms"/>
      </w:pPr>
      <w:r>
        <w:t>gift</w:t>
      </w:r>
      <w:r>
        <w:tab/>
        <w:t>19AA</w:t>
      </w:r>
    </w:p>
    <w:p>
      <w:pPr>
        <w:pStyle w:val="DefinedTerms"/>
      </w:pPr>
      <w:r>
        <w:t>improvised recording</w:t>
      </w:r>
      <w:r>
        <w:tab/>
        <w:t>14G(1), 14I(4)</w:t>
      </w:r>
    </w:p>
    <w:p>
      <w:pPr>
        <w:pStyle w:val="DefinedTerms"/>
      </w:pPr>
      <w:r>
        <w:t>income statement</w:t>
      </w:r>
      <w:r>
        <w:tab/>
        <w:t>19BB(1)</w:t>
      </w:r>
    </w:p>
    <w:p>
      <w:pPr>
        <w:pStyle w:val="DefinedTerms"/>
      </w:pPr>
      <w:r>
        <w:t>incumbent CEO</w:t>
      </w:r>
      <w:r>
        <w:tab/>
        <w:t>Sch. 2 cl. 13(2)</w:t>
      </w:r>
    </w:p>
    <w:p>
      <w:pPr>
        <w:pStyle w:val="DefinedTerms"/>
      </w:pPr>
      <w:r>
        <w:t>independent person</w:t>
      </w:r>
      <w:r>
        <w:tab/>
        <w:t>Sch. 2 cl. 8(1)</w:t>
      </w:r>
    </w:p>
    <w:p>
      <w:pPr>
        <w:pStyle w:val="DefinedTerms"/>
      </w:pPr>
      <w:r>
        <w:t>interest</w:t>
      </w:r>
      <w:r>
        <w:tab/>
        <w:t>19AA</w:t>
      </w:r>
    </w:p>
    <w:p>
      <w:pPr>
        <w:pStyle w:val="DefinedTerms"/>
      </w:pPr>
      <w:r>
        <w:t>job description form</w:t>
      </w:r>
      <w:r>
        <w:tab/>
        <w:t>Sch. 2 cl. 2(1)</w:t>
      </w:r>
    </w:p>
    <w:p>
      <w:pPr>
        <w:pStyle w:val="DefinedTerms"/>
      </w:pPr>
      <w:r>
        <w:t>local government</w:t>
      </w:r>
      <w:r>
        <w:tab/>
        <w:t>Sch. 2 cl. 2(1)</w:t>
      </w:r>
    </w:p>
    <w:p>
      <w:pPr>
        <w:pStyle w:val="DefinedTerms"/>
      </w:pPr>
      <w:r>
        <w:t>local government employee</w:t>
      </w:r>
      <w:r>
        <w:tab/>
        <w:t>19AA, 19AB(1), 19AC(1)</w:t>
      </w:r>
    </w:p>
    <w:p>
      <w:pPr>
        <w:pStyle w:val="DefinedTerms"/>
      </w:pPr>
      <w:r>
        <w:t>local law as to conduct</w:t>
      </w:r>
      <w:r>
        <w:tab/>
        <w:t>34D(1)</w:t>
      </w:r>
    </w:p>
    <w:p>
      <w:pPr>
        <w:pStyle w:val="DefinedTerms"/>
      </w:pPr>
      <w:r>
        <w:t>major land transaction</w:t>
      </w:r>
      <w:r>
        <w:tab/>
        <w:t>19BC(1)</w:t>
      </w:r>
    </w:p>
    <w:p>
      <w:pPr>
        <w:pStyle w:val="DefinedTerms"/>
      </w:pPr>
      <w:r>
        <w:t>major trading undertaking</w:t>
      </w:r>
      <w:r>
        <w:tab/>
        <w:t>19BB(1)</w:t>
      </w:r>
    </w:p>
    <w:p>
      <w:pPr>
        <w:pStyle w:val="DefinedTerms"/>
      </w:pPr>
      <w:r>
        <w:t>meeting</w:t>
      </w:r>
      <w:r>
        <w:tab/>
        <w:t>14C(1), 14CA(1), 14D(1)</w:t>
      </w:r>
    </w:p>
    <w:p>
      <w:pPr>
        <w:pStyle w:val="DefinedTerms"/>
      </w:pPr>
      <w:r>
        <w:t>meeting day</w:t>
      </w:r>
      <w:r>
        <w:tab/>
        <w:t>14G(1)</w:t>
      </w:r>
    </w:p>
    <w:p>
      <w:pPr>
        <w:pStyle w:val="DefinedTerms"/>
      </w:pPr>
      <w:r>
        <w:t>meeting details</w:t>
      </w:r>
      <w:r>
        <w:tab/>
        <w:t>12(1)</w:t>
      </w:r>
    </w:p>
    <w:p>
      <w:pPr>
        <w:pStyle w:val="DefinedTerms"/>
      </w:pPr>
      <w:r>
        <w:t>natural disaster</w:t>
      </w:r>
      <w:r>
        <w:tab/>
        <w:t>14C(1)</w:t>
      </w:r>
    </w:p>
    <w:p>
      <w:pPr>
        <w:pStyle w:val="DefinedTerms"/>
      </w:pPr>
      <w:r>
        <w:lastRenderedPageBreak/>
        <w:t>nature classification</w:t>
      </w:r>
      <w:r>
        <w:tab/>
        <w:t>19BC(1)</w:t>
      </w:r>
    </w:p>
    <w:p>
      <w:pPr>
        <w:pStyle w:val="DefinedTerms"/>
      </w:pPr>
      <w:r>
        <w:t>negotiated contract</w:t>
      </w:r>
      <w:r>
        <w:tab/>
        <w:t>Sch. 2 cl. 12(1)</w:t>
      </w:r>
    </w:p>
    <w:p>
      <w:pPr>
        <w:pStyle w:val="DefinedTerms"/>
      </w:pPr>
      <w:r>
        <w:t>oversight entity</w:t>
      </w:r>
      <w:r>
        <w:tab/>
        <w:t>29C(1)</w:t>
      </w:r>
    </w:p>
    <w:p>
      <w:pPr>
        <w:pStyle w:val="DefinedTerms"/>
      </w:pPr>
      <w:r>
        <w:t>performance issues</w:t>
      </w:r>
      <w:r>
        <w:tab/>
        <w:t>Sch. 2 cl. 22(2)</w:t>
      </w:r>
    </w:p>
    <w:p>
      <w:pPr>
        <w:pStyle w:val="DefinedTerms"/>
      </w:pPr>
      <w:r>
        <w:t>plan for the future</w:t>
      </w:r>
      <w:r>
        <w:tab/>
        <w:t>19DB(1)</w:t>
      </w:r>
    </w:p>
    <w:p>
      <w:pPr>
        <w:pStyle w:val="DefinedTerms"/>
      </w:pPr>
      <w:r>
        <w:t>primary return</w:t>
      </w:r>
      <w:r>
        <w:tab/>
        <w:t>29C(1)</w:t>
      </w:r>
    </w:p>
    <w:p>
      <w:pPr>
        <w:pStyle w:val="DefinedTerms"/>
      </w:pPr>
      <w:r>
        <w:t>prohibited gift</w:t>
      </w:r>
      <w:r>
        <w:tab/>
        <w:t>19AA</w:t>
      </w:r>
    </w:p>
    <w:p>
      <w:pPr>
        <w:pStyle w:val="DefinedTerms"/>
      </w:pPr>
      <w:r>
        <w:t>proposed meeting</w:t>
      </w:r>
      <w:r>
        <w:tab/>
        <w:t>14C(3), 14D(2A)</w:t>
      </w:r>
    </w:p>
    <w:p>
      <w:pPr>
        <w:pStyle w:val="DefinedTerms"/>
      </w:pPr>
      <w:r>
        <w:t>public health emergency</w:t>
      </w:r>
      <w:r>
        <w:tab/>
        <w:t>3(1)</w:t>
      </w:r>
    </w:p>
    <w:p>
      <w:pPr>
        <w:pStyle w:val="DefinedTerms"/>
      </w:pPr>
      <w:r>
        <w:t>publicly available</w:t>
      </w:r>
      <w:r>
        <w:tab/>
        <w:t>14G(1), (2) and (3)</w:t>
      </w:r>
    </w:p>
    <w:p>
      <w:pPr>
        <w:pStyle w:val="DefinedTerms"/>
      </w:pPr>
      <w:r>
        <w:t>recording</w:t>
      </w:r>
      <w:r>
        <w:tab/>
        <w:t>14G(1)</w:t>
      </w:r>
    </w:p>
    <w:p>
      <w:pPr>
        <w:pStyle w:val="DefinedTerms"/>
      </w:pPr>
      <w:r>
        <w:t>recording technology</w:t>
      </w:r>
      <w:r>
        <w:tab/>
        <w:t>14G(1)</w:t>
      </w:r>
    </w:p>
    <w:p>
      <w:pPr>
        <w:pStyle w:val="DefinedTerms"/>
      </w:pPr>
      <w:r>
        <w:t>relevant period</w:t>
      </w:r>
      <w:r>
        <w:tab/>
        <w:t>14C(1), 14D(1), 34AE(1)</w:t>
      </w:r>
    </w:p>
    <w:p>
      <w:pPr>
        <w:pStyle w:val="DefinedTerms"/>
      </w:pPr>
      <w:r>
        <w:t>relevant person</w:t>
      </w:r>
      <w:r>
        <w:tab/>
        <w:t>3(1)</w:t>
      </w:r>
    </w:p>
    <w:p>
      <w:pPr>
        <w:pStyle w:val="DefinedTerms"/>
      </w:pPr>
      <w:r>
        <w:t>remuneration</w:t>
      </w:r>
      <w:r>
        <w:tab/>
        <w:t>19B(1)</w:t>
      </w:r>
    </w:p>
    <w:p>
      <w:pPr>
        <w:pStyle w:val="DefinedTerms"/>
      </w:pPr>
      <w:r>
        <w:t>renew</w:t>
      </w:r>
      <w:r>
        <w:tab/>
        <w:t>19BE(1)</w:t>
      </w:r>
    </w:p>
    <w:p>
      <w:pPr>
        <w:pStyle w:val="DefinedTerms"/>
      </w:pPr>
      <w:r>
        <w:t>replace</w:t>
      </w:r>
      <w:r>
        <w:tab/>
        <w:t>19BE(1)</w:t>
      </w:r>
    </w:p>
    <w:p>
      <w:pPr>
        <w:pStyle w:val="DefinedTerms"/>
      </w:pPr>
      <w:r>
        <w:t>resources of the local government</w:t>
      </w:r>
      <w:r>
        <w:tab/>
        <w:t>19AE(1)</w:t>
      </w:r>
    </w:p>
    <w:p>
      <w:pPr>
        <w:pStyle w:val="DefinedTerms"/>
      </w:pPr>
      <w:r>
        <w:t>Schedule</w:t>
      </w:r>
      <w:r>
        <w:tab/>
        <w:t>3(1)</w:t>
      </w:r>
    </w:p>
    <w:p>
      <w:pPr>
        <w:pStyle w:val="DefinedTerms"/>
      </w:pPr>
      <w:r>
        <w:t>section</w:t>
      </w:r>
      <w:r>
        <w:tab/>
        <w:t>3(1)</w:t>
      </w:r>
    </w:p>
    <w:p>
      <w:pPr>
        <w:pStyle w:val="DefinedTerms"/>
      </w:pPr>
      <w:r>
        <w:t>selection criteria</w:t>
      </w:r>
      <w:r>
        <w:tab/>
        <w:t>Sch. 2 cl. 2(1)</w:t>
      </w:r>
    </w:p>
    <w:p>
      <w:pPr>
        <w:pStyle w:val="DefinedTerms"/>
      </w:pPr>
      <w:r>
        <w:t>selection panel</w:t>
      </w:r>
      <w:r>
        <w:tab/>
        <w:t>Sch. 2 cl. 2(1)</w:t>
      </w:r>
    </w:p>
    <w:p>
      <w:pPr>
        <w:pStyle w:val="DefinedTerms"/>
      </w:pPr>
      <w:r>
        <w:t>statement of financial position</w:t>
      </w:r>
      <w:r>
        <w:tab/>
        <w:t>19BB(1)</w:t>
      </w:r>
    </w:p>
    <w:p>
      <w:pPr>
        <w:pStyle w:val="DefinedTerms"/>
      </w:pPr>
      <w:r>
        <w:t>state of emergency</w:t>
      </w:r>
      <w:r>
        <w:tab/>
        <w:t>3(1)</w:t>
      </w:r>
    </w:p>
    <w:p>
      <w:pPr>
        <w:pStyle w:val="DefinedTerms"/>
      </w:pPr>
      <w:r>
        <w:t>strategic community plan</w:t>
      </w:r>
      <w:r>
        <w:tab/>
        <w:t>19BA</w:t>
      </w:r>
    </w:p>
    <w:p>
      <w:pPr>
        <w:pStyle w:val="DefinedTerms"/>
      </w:pPr>
      <w:r>
        <w:t>threshold amount</w:t>
      </w:r>
      <w:r>
        <w:tab/>
        <w:t>19AA</w:t>
      </w:r>
    </w:p>
    <w:p>
      <w:pPr>
        <w:pStyle w:val="DefinedTerms"/>
      </w:pPr>
      <w:r>
        <w:t>trading undertaking</w:t>
      </w:r>
      <w:r>
        <w:tab/>
        <w:t>19BB(1)</w:t>
      </w:r>
    </w:p>
    <w:p>
      <w:pPr>
        <w:pStyle w:val="DefinedTerms"/>
      </w:pPr>
      <w:r>
        <w:t>transitional period</w:t>
      </w:r>
      <w:r>
        <w:tab/>
        <w:t>34ACA(5)</w:t>
      </w:r>
    </w:p>
    <w:p>
      <w:pPr>
        <w:pStyle w:val="DefinedTerms"/>
      </w:pPr>
      <w:r>
        <w:t>usual meeting place</w:t>
      </w:r>
      <w:r>
        <w:tab/>
        <w:t>14G(1)</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7" w:name="Schedule"/>
    <w:bookmarkEnd w:id="1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3" w:name="Compilation"/>
    <w:bookmarkEnd w:id="19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7" w:name="DefinedTerms"/>
    <w:bookmarkEnd w:id="19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092553"/>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 w:name="WAFER_202211031428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42852_GUID" w:val="dba3e352-ba56-41a0-a905-63aeb716a473"/>
    <w:docVar w:name="WAFER_20230628105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628105503_GUID" w:val="59283de6-86ed-40c7-9f6e-7ea92519a60c"/>
    <w:docVar w:name="WAFER_20231013145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3145912_GUID" w:val="4ecfa8b8-e5c2-4346-99ac-f59df497490e"/>
    <w:docVar w:name="WAFER_20231220134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34431_GUID" w:val="79e54d7f-9fa3-43e4-97a4-9f7be164dcda"/>
    <w:docVar w:name="WAFER_20241025170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70214_GUID" w:val="6615e0c6-83ac-4268-b52f-c42adf460e21"/>
    <w:docVar w:name="WAFER_20250117092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92534_GUID" w:val="5be563da-2326-4ab2-899e-00ed1e85ed55"/>
    <w:docVar w:name="WAFER_20250117092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92553_GUID" w:val="19e84502-dae2-49c1-b88b-8129e7d21a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B37C9-34D2-4611-8740-C0A4D2729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22120</Words>
  <Characters>113260</Characters>
  <Application>Microsoft Office Word</Application>
  <DocSecurity>0</DocSecurity>
  <Lines>3539</Lines>
  <Paragraphs>1962</Paragraphs>
  <ScaleCrop>false</ScaleCrop>
  <HeadingPairs>
    <vt:vector size="2" baseType="variant">
      <vt:variant>
        <vt:lpstr>Title</vt:lpstr>
      </vt:variant>
      <vt:variant>
        <vt:i4>1</vt:i4>
      </vt:variant>
    </vt:vector>
  </HeadingPairs>
  <TitlesOfParts>
    <vt:vector size="1" baseType="lpstr">
      <vt:lpstr>Local Government (Administration) Regulations 1996 - 03-o0-00</vt:lpstr>
    </vt:vector>
  </TitlesOfParts>
  <Manager/>
  <Company/>
  <LinksUpToDate>false</LinksUpToDate>
  <CharactersWithSpaces>133418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1996 - 03-t0-00</dc:title>
  <dc:subject/>
  <dc:creator/>
  <cp:keywords/>
  <dc:description/>
  <cp:lastModifiedBy>Master Repository Process</cp:lastModifiedBy>
  <cp:revision>4</cp:revision>
  <cp:lastPrinted>2019-10-17T07:04:00Z</cp:lastPrinted>
  <dcterms:created xsi:type="dcterms:W3CDTF">2025-07-04T07:12:00Z</dcterms:created>
  <dcterms:modified xsi:type="dcterms:W3CDTF">2025-07-04T07:12:00Z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OwlsUID">
    <vt:i4>4572</vt:i4>
  </property>
  <property fmtid="{D5CDD505-2E9C-101B-9397-08002B2CF9AE}" pid="4" name="ReprintNo">
    <vt:lpwstr>3</vt:lpwstr>
  </property>
  <property fmtid="{D5CDD505-2E9C-101B-9397-08002B2CF9AE}" pid="5" name="ReprintedAsAt">
    <vt:filetime>2012-02-02T16:00:00Z</vt:filetime>
  </property>
  <property fmtid="{D5CDD505-2E9C-101B-9397-08002B2CF9AE}" pid="6" name="DocumentType">
    <vt:lpwstr>Reg</vt:lpwstr>
  </property>
  <property fmtid="{D5CDD505-2E9C-101B-9397-08002B2CF9AE}" pid="7" name="AsAtDate">
    <vt:lpwstr>22 Jan 2025</vt:lpwstr>
  </property>
  <property fmtid="{D5CDD505-2E9C-101B-9397-08002B2CF9AE}" pid="8" name="Suffix">
    <vt:lpwstr>03-t0-00</vt:lpwstr>
  </property>
  <property fmtid="{D5CDD505-2E9C-101B-9397-08002B2CF9AE}" pid="9" name="Official">
    <vt:lpwstr/>
  </property>
  <property fmtid="{D5CDD505-2E9C-101B-9397-08002B2CF9AE}" pid="10" name="CommencementDate">
    <vt:lpwstr>20250122</vt:lpwstr>
  </property>
  <property fmtid="{D5CDD505-2E9C-101B-9397-08002B2CF9AE}" pid="11" name="CommencementAsAt">
    <vt:filetime>2025-01-21T16:00:00Z</vt:filetime>
  </property>
  <property fmtid="{D5CDD505-2E9C-101B-9397-08002B2CF9AE}" pid="12" name="CommencementYear">
    <vt:lpwstr>2025</vt:lpwstr>
  </property>
</Properties>
</file>