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_Toc187935345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_Toc187935346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_Toc187935347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_Toc187935349 \h </w:instrText>
      </w:r>
      <w:r>
        <w:fldChar w:fldCharType="separate"/>
      </w:r>
      <w:r>
        <w:t>3</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_Toc187935350 \h </w:instrText>
      </w:r>
      <w:r>
        <w:fldChar w:fldCharType="separate"/>
      </w:r>
      <w:r>
        <w:t>3</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_Toc187935351 \h </w:instrText>
      </w:r>
      <w:r>
        <w:fldChar w:fldCharType="separate"/>
      </w:r>
      <w:r>
        <w:t>4</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_Toc187935352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_Toc187935354 \h </w:instrText>
      </w:r>
      <w:r>
        <w:fldChar w:fldCharType="separate"/>
      </w:r>
      <w:r>
        <w:t>6</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_Toc187935355 \h </w:instrText>
      </w:r>
      <w:r>
        <w:fldChar w:fldCharType="separate"/>
      </w:r>
      <w:r>
        <w:t>6</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_Toc187935356 \h </w:instrText>
      </w:r>
      <w:r>
        <w:fldChar w:fldCharType="separate"/>
      </w:r>
      <w:r>
        <w:t>7</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_Toc187935357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2B — Restricted decisions (Act s. 41)</w:t>
      </w:r>
    </w:p>
    <w:p>
      <w:pPr>
        <w:pStyle w:val="TOC8"/>
        <w:rPr>
          <w:rFonts w:asciiTheme="minorHAnsi" w:eastAsiaTheme="minorEastAsia" w:hAnsiTheme="minorHAnsi" w:cstheme="minorBidi"/>
          <w:szCs w:val="22"/>
        </w:rPr>
      </w:pPr>
      <w:r>
        <w:t>3E.</w:t>
      </w:r>
      <w:r>
        <w:tab/>
        <w:t>Application of Part</w:t>
      </w:r>
      <w:r>
        <w:tab/>
      </w:r>
      <w:r>
        <w:fldChar w:fldCharType="begin"/>
      </w:r>
      <w:r>
        <w:instrText xml:space="preserve"> PAGEREF _Toc187935359 \h </w:instrText>
      </w:r>
      <w:r>
        <w:fldChar w:fldCharType="separate"/>
      </w:r>
      <w:r>
        <w:t>10</w:t>
      </w:r>
      <w:r>
        <w:fldChar w:fldCharType="end"/>
      </w:r>
    </w:p>
    <w:p>
      <w:pPr>
        <w:pStyle w:val="TOC8"/>
        <w:rPr>
          <w:rFonts w:asciiTheme="minorHAnsi" w:eastAsiaTheme="minorEastAsia" w:hAnsiTheme="minorHAnsi" w:cstheme="minorBidi"/>
          <w:szCs w:val="22"/>
        </w:rPr>
      </w:pPr>
      <w:r>
        <w:t>3F.</w:t>
      </w:r>
      <w:r>
        <w:tab/>
        <w:t>Term used: petroleum activity involving hydraulic fracturing</w:t>
      </w:r>
      <w:r>
        <w:tab/>
      </w:r>
      <w:r>
        <w:fldChar w:fldCharType="begin"/>
      </w:r>
      <w:r>
        <w:instrText xml:space="preserve"> PAGEREF _Toc187935360 \h </w:instrText>
      </w:r>
      <w:r>
        <w:fldChar w:fldCharType="separate"/>
      </w:r>
      <w:r>
        <w:t>10</w:t>
      </w:r>
      <w:r>
        <w:fldChar w:fldCharType="end"/>
      </w:r>
    </w:p>
    <w:p>
      <w:pPr>
        <w:pStyle w:val="TOC8"/>
        <w:rPr>
          <w:rFonts w:asciiTheme="minorHAnsi" w:eastAsiaTheme="minorEastAsia" w:hAnsiTheme="minorHAnsi" w:cstheme="minorBidi"/>
          <w:szCs w:val="22"/>
        </w:rPr>
      </w:pPr>
      <w:r>
        <w:t>3G.</w:t>
      </w:r>
      <w:r>
        <w:tab/>
        <w:t>Hydraulic fracturing</w:t>
      </w:r>
      <w:r>
        <w:tab/>
      </w:r>
      <w:r>
        <w:fldChar w:fldCharType="begin"/>
      </w:r>
      <w:r>
        <w:instrText xml:space="preserve"> PAGEREF _Toc187935361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3H.</w:t>
      </w:r>
      <w:r>
        <w:tab/>
        <w:t>Planning and development</w:t>
      </w:r>
      <w:r>
        <w:tab/>
      </w:r>
      <w:r>
        <w:fldChar w:fldCharType="begin"/>
      </w:r>
      <w:r>
        <w:instrText xml:space="preserve"> PAGEREF _Toc187935362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_Toc187935364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_Toc187935365 \h </w:instrText>
      </w:r>
      <w:r>
        <w:fldChar w:fldCharType="separate"/>
      </w:r>
      <w:r>
        <w:t>16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_Toc187935366 \h </w:instrText>
      </w:r>
      <w:r>
        <w:fldChar w:fldCharType="separate"/>
      </w:r>
      <w:r>
        <w:t>16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_Toc187935367 \h </w:instrText>
      </w:r>
      <w:r>
        <w:fldChar w:fldCharType="separate"/>
      </w:r>
      <w:r>
        <w:t>18</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_Toc187935368 \h </w:instrText>
      </w:r>
      <w:r>
        <w:fldChar w:fldCharType="separate"/>
      </w:r>
      <w:r>
        <w:t>19</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_Toc187935369 \h </w:instrText>
      </w:r>
      <w:r>
        <w:fldChar w:fldCharType="separate"/>
      </w:r>
      <w:r>
        <w:t>19</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_Toc187935370 \h </w:instrText>
      </w:r>
      <w:r>
        <w:fldChar w:fldCharType="separate"/>
      </w:r>
      <w:r>
        <w:t>20</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_Toc187935371 \h </w:instrText>
      </w:r>
      <w:r>
        <w:fldChar w:fldCharType="separate"/>
      </w:r>
      <w:r>
        <w:t>20</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_Toc187935372 \h </w:instrText>
      </w:r>
      <w:r>
        <w:fldChar w:fldCharType="separate"/>
      </w:r>
      <w:r>
        <w:t>20</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_Toc187935373 \h </w:instrText>
      </w:r>
      <w:r>
        <w:fldChar w:fldCharType="separate"/>
      </w:r>
      <w:r>
        <w:t>21</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_Toc187935374 \h </w:instrText>
      </w:r>
      <w:r>
        <w:fldChar w:fldCharType="separate"/>
      </w:r>
      <w:r>
        <w:t>21</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_Toc187935375 \h </w:instrText>
      </w:r>
      <w:r>
        <w:fldChar w:fldCharType="separate"/>
      </w:r>
      <w:r>
        <w:t>23</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_Toc187935376 \h </w:instrText>
      </w:r>
      <w:r>
        <w:fldChar w:fldCharType="separate"/>
      </w:r>
      <w:r>
        <w:t>25</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_Toc187935377 \h </w:instrText>
      </w:r>
      <w:r>
        <w:fldChar w:fldCharType="separate"/>
      </w:r>
      <w:r>
        <w:t>26</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_Toc187935378 \h </w:instrText>
      </w:r>
      <w:r>
        <w:fldChar w:fldCharType="separate"/>
      </w:r>
      <w:r>
        <w:t>26</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_Toc187935379 \h </w:instrText>
      </w:r>
      <w:r>
        <w:fldChar w:fldCharType="separate"/>
      </w:r>
      <w:r>
        <w:t>26</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_Toc187935380 \h </w:instrText>
      </w:r>
      <w:r>
        <w:fldChar w:fldCharType="separate"/>
      </w:r>
      <w:r>
        <w:t>27</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_Toc187935381 \h </w:instrText>
      </w:r>
      <w:r>
        <w:fldChar w:fldCharType="separate"/>
      </w:r>
      <w:r>
        <w:t>30</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_Toc187935382 \h </w:instrText>
      </w:r>
      <w:r>
        <w:fldChar w:fldCharType="separate"/>
      </w:r>
      <w:r>
        <w:t>31</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_Toc187935383 \h </w:instrText>
      </w:r>
      <w:r>
        <w:fldChar w:fldCharType="separate"/>
      </w:r>
      <w:r>
        <w:t>32</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_Toc187935384 \h </w:instrText>
      </w:r>
      <w:r>
        <w:fldChar w:fldCharType="separate"/>
      </w:r>
      <w:r>
        <w:t>32</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_Toc187935385 \h </w:instrText>
      </w:r>
      <w:r>
        <w:fldChar w:fldCharType="separate"/>
      </w:r>
      <w:r>
        <w:t>33</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_Toc187935386 \h </w:instrText>
      </w:r>
      <w:r>
        <w:fldChar w:fldCharType="separate"/>
      </w:r>
      <w:r>
        <w:t>33</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_Toc187935387 \h </w:instrText>
      </w:r>
      <w:r>
        <w:fldChar w:fldCharType="separate"/>
      </w:r>
      <w:r>
        <w:t>34</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_Toc187935388 \h </w:instrText>
      </w:r>
      <w:r>
        <w:fldChar w:fldCharType="separate"/>
      </w:r>
      <w:r>
        <w:t>34</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_Toc187935389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_Toc187935391 \h </w:instrText>
      </w:r>
      <w:r>
        <w:fldChar w:fldCharType="separate"/>
      </w:r>
      <w:r>
        <w:t>36</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_Toc187935392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_Toc187935394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_Toc187935396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_Toc187935397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_Toc187935398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_Toc187935400 \h </w:instrText>
      </w:r>
      <w:r>
        <w:fldChar w:fldCharType="separate"/>
      </w:r>
      <w:r>
        <w:t>43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_Toc187935401 \h </w:instrText>
      </w:r>
      <w:r>
        <w:fldChar w:fldCharType="separate"/>
      </w:r>
      <w:r>
        <w:t>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_Toc187935402 \h </w:instrText>
      </w:r>
      <w:r>
        <w:fldChar w:fldCharType="separate"/>
      </w:r>
      <w:r>
        <w:t>44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_Toc187935403 \h </w:instrText>
      </w:r>
      <w:r>
        <w:fldChar w:fldCharType="separate"/>
      </w:r>
      <w:r>
        <w:t>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_Toc187935404 \h </w:instrText>
      </w:r>
      <w:r>
        <w:fldChar w:fldCharType="separate"/>
      </w:r>
      <w:r>
        <w:t>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_Toc187935405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_Toc187935407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_Toc187935409 \h </w:instrText>
      </w:r>
      <w:r>
        <w:fldChar w:fldCharType="separate"/>
      </w:r>
      <w:r>
        <w:t>50</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_Toc187935410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_Toc187935412 \h </w:instrText>
      </w:r>
      <w:r>
        <w:fldChar w:fldCharType="separate"/>
      </w:r>
      <w:r>
        <w:t>51</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_Toc187935413 \h </w:instrText>
      </w:r>
      <w:r>
        <w:fldChar w:fldCharType="separate"/>
      </w:r>
      <w:r>
        <w:t>51</w:t>
      </w:r>
      <w:r>
        <w:fldChar w:fldCharType="end"/>
      </w:r>
    </w:p>
    <w:p>
      <w:pPr>
        <w:pStyle w:val="TOC8"/>
        <w:rPr>
          <w:rFonts w:asciiTheme="minorHAnsi" w:eastAsiaTheme="minorEastAsia" w:hAnsiTheme="minorHAnsi" w:cstheme="minorBidi"/>
          <w:szCs w:val="22"/>
        </w:rPr>
      </w:pPr>
      <w:r>
        <w:lastRenderedPageBreak/>
        <w:t>19.</w:t>
      </w:r>
      <w:r>
        <w:tab/>
        <w:t>Approved monitoring equipment, to be used in specified monitoring programmes</w:t>
      </w:r>
      <w:r>
        <w:tab/>
      </w:r>
      <w:r>
        <w:fldChar w:fldCharType="begin"/>
      </w:r>
      <w:r>
        <w:instrText xml:space="preserve"> PAGEREF _Toc187935414 \h </w:instrText>
      </w:r>
      <w:r>
        <w:fldChar w:fldCharType="separate"/>
      </w:r>
      <w:r>
        <w:t>52</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_Toc187935415 \h </w:instrText>
      </w:r>
      <w:r>
        <w:fldChar w:fldCharType="separate"/>
      </w:r>
      <w:r>
        <w:t>52</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_Toc187935416 \h </w:instrText>
      </w:r>
      <w:r>
        <w:fldChar w:fldCharType="separate"/>
      </w:r>
      <w:r>
        <w:t>53</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_Toc187935417 \h </w:instrText>
      </w:r>
      <w:r>
        <w:fldChar w:fldCharType="separate"/>
      </w:r>
      <w:r>
        <w:t>53</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_Toc187935418 \h </w:instrText>
      </w:r>
      <w:r>
        <w:fldChar w:fldCharType="separate"/>
      </w:r>
      <w:r>
        <w:t>54</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_Toc187935419 \h </w:instrText>
      </w:r>
      <w:r>
        <w:fldChar w:fldCharType="separate"/>
      </w:r>
      <w:r>
        <w:t>54</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_Toc187935420 \h </w:instrText>
      </w:r>
      <w:r>
        <w:fldChar w:fldCharType="separate"/>
      </w:r>
      <w:r>
        <w:t>55</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_Toc187935421 \h </w:instrText>
      </w:r>
      <w:r>
        <w:fldChar w:fldCharType="separate"/>
      </w:r>
      <w:r>
        <w:t>55</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_Toc187935422 \h </w:instrText>
      </w:r>
      <w:r>
        <w:fldChar w:fldCharType="separate"/>
      </w:r>
      <w:r>
        <w:t>57</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_Toc187935423 \h </w:instrText>
      </w:r>
      <w:r>
        <w:fldChar w:fldCharType="separate"/>
      </w:r>
      <w:r>
        <w:t>57</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_Toc187935424 \h </w:instrText>
      </w:r>
      <w:r>
        <w:fldChar w:fldCharType="separate"/>
      </w:r>
      <w:r>
        <w:t>58</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_Toc187935425 \h </w:instrText>
      </w:r>
      <w:r>
        <w:fldChar w:fldCharType="separate"/>
      </w:r>
      <w:r>
        <w:t>59</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_Toc187935426 \h </w:instrText>
      </w:r>
      <w:r>
        <w:fldChar w:fldCharType="separate"/>
      </w:r>
      <w:r>
        <w:t>60</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_Toc187935427 \h </w:instrText>
      </w:r>
      <w:r>
        <w:fldChar w:fldCharType="separate"/>
      </w:r>
      <w:r>
        <w:t>60</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_Toc187935428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_Toc187935430 \h </w:instrText>
      </w:r>
      <w:r>
        <w:fldChar w:fldCharType="separate"/>
      </w:r>
      <w:r>
        <w:t>62</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_Toc187935431 \h </w:instrText>
      </w:r>
      <w:r>
        <w:fldChar w:fldCharType="separate"/>
      </w:r>
      <w:r>
        <w:t>63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_Toc187935432 \h </w:instrText>
      </w:r>
      <w:r>
        <w:fldChar w:fldCharType="separate"/>
      </w:r>
      <w:r>
        <w:t>64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_Toc187935433 \h </w:instrText>
      </w:r>
      <w:r>
        <w:fldChar w:fldCharType="separate"/>
      </w:r>
      <w:r>
        <w:t>65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_Toc187935434 \h </w:instrText>
      </w:r>
      <w:r>
        <w:fldChar w:fldCharType="separate"/>
      </w:r>
      <w:r>
        <w:t>67</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_Toc187935435 \h </w:instrText>
      </w:r>
      <w:r>
        <w:fldChar w:fldCharType="separate"/>
      </w:r>
      <w:r>
        <w:t>67</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_Toc187935436 \h </w:instrText>
      </w:r>
      <w:r>
        <w:fldChar w:fldCharType="separate"/>
      </w:r>
      <w:r>
        <w:t>69</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_Toc187935437 \h </w:instrText>
      </w:r>
      <w:r>
        <w:fldChar w:fldCharType="separate"/>
      </w:r>
      <w:r>
        <w:t>70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_Toc187935438 \h </w:instrText>
      </w:r>
      <w:r>
        <w:fldChar w:fldCharType="separate"/>
      </w:r>
      <w:r>
        <w:t>71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_Toc187935439 \h </w:instrText>
      </w:r>
      <w:r>
        <w:fldChar w:fldCharType="separate"/>
      </w:r>
      <w:r>
        <w:t>73</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Levy, payment of; returns to be lodged</w:t>
      </w:r>
      <w:r>
        <w:tab/>
      </w:r>
      <w:r>
        <w:fldChar w:fldCharType="begin"/>
      </w:r>
      <w:r>
        <w:instrText xml:space="preserve"> PAGEREF _Toc187935440 \h </w:instrText>
      </w:r>
      <w:r>
        <w:fldChar w:fldCharType="separate"/>
      </w:r>
      <w:r>
        <w:t>74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_Toc187935441 \h </w:instrText>
      </w:r>
      <w:r>
        <w:fldChar w:fldCharType="separate"/>
      </w:r>
      <w:r>
        <w:t>74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_Toc187935442 \h </w:instrText>
      </w:r>
      <w:r>
        <w:fldChar w:fldCharType="separate"/>
      </w:r>
      <w:r>
        <w:t>75</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_Toc187935443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9A — Prescribed classes of relevant schemes</w:t>
      </w:r>
    </w:p>
    <w:p>
      <w:pPr>
        <w:pStyle w:val="TOC8"/>
        <w:rPr>
          <w:rFonts w:asciiTheme="minorHAnsi" w:eastAsiaTheme="minorEastAsia" w:hAnsiTheme="minorHAnsi" w:cstheme="minorBidi"/>
          <w:szCs w:val="22"/>
        </w:rPr>
      </w:pPr>
      <w:r>
        <w:t>33A.</w:t>
      </w:r>
      <w:r>
        <w:tab/>
        <w:t>Terms used</w:t>
      </w:r>
      <w:r>
        <w:tab/>
      </w:r>
      <w:r>
        <w:fldChar w:fldCharType="begin"/>
      </w:r>
      <w:r>
        <w:instrText xml:space="preserve"> PAGEREF _Toc187935445 \h </w:instrText>
      </w:r>
      <w:r>
        <w:fldChar w:fldCharType="separate"/>
      </w:r>
      <w:r>
        <w:t>77</w:t>
      </w:r>
      <w:r>
        <w:fldChar w:fldCharType="end"/>
      </w:r>
    </w:p>
    <w:p>
      <w:pPr>
        <w:pStyle w:val="TOC8"/>
        <w:rPr>
          <w:rFonts w:asciiTheme="minorHAnsi" w:eastAsiaTheme="minorEastAsia" w:hAnsiTheme="minorHAnsi" w:cstheme="minorBidi"/>
          <w:szCs w:val="22"/>
        </w:rPr>
      </w:pPr>
      <w:r>
        <w:t>33B.</w:t>
      </w:r>
      <w:r>
        <w:tab/>
        <w:t>Prescribed classes of amendments to region planning schemes (Act s. 48AAA(2))</w:t>
      </w:r>
      <w:r>
        <w:tab/>
      </w:r>
      <w:r>
        <w:fldChar w:fldCharType="begin"/>
      </w:r>
      <w:r>
        <w:instrText xml:space="preserve"> PAGEREF _Toc187935446 \h </w:instrText>
      </w:r>
      <w:r>
        <w:fldChar w:fldCharType="separate"/>
      </w:r>
      <w:r>
        <w:t>77</w:t>
      </w:r>
      <w:r>
        <w:fldChar w:fldCharType="end"/>
      </w:r>
    </w:p>
    <w:p>
      <w:pPr>
        <w:pStyle w:val="TOC8"/>
        <w:rPr>
          <w:rFonts w:asciiTheme="minorHAnsi" w:eastAsiaTheme="minorEastAsia" w:hAnsiTheme="minorHAnsi" w:cstheme="minorBidi"/>
          <w:szCs w:val="22"/>
        </w:rPr>
      </w:pPr>
      <w:r>
        <w:t>33C.</w:t>
      </w:r>
      <w:r>
        <w:tab/>
        <w:t>Prescribed classes of amendments to local planning schemes (Act s. 48AAA(2))</w:t>
      </w:r>
      <w:r>
        <w:tab/>
      </w:r>
      <w:r>
        <w:fldChar w:fldCharType="begin"/>
      </w:r>
      <w:r>
        <w:instrText xml:space="preserve"> PAGEREF _Toc187935447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_Toc187935449 \h </w:instrText>
      </w:r>
      <w:r>
        <w:fldChar w:fldCharType="separate"/>
      </w:r>
      <w:r>
        <w:t>83</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_Toc187935450 \h </w:instrText>
      </w:r>
      <w:r>
        <w:fldChar w:fldCharType="separate"/>
      </w:r>
      <w:r>
        <w:t>83</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_Toc187935451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_Toc187935453 \h </w:instrText>
      </w:r>
      <w:r>
        <w:fldChar w:fldCharType="separate"/>
      </w:r>
      <w:r>
        <w:t>85</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_Toc187935454 \h </w:instrText>
      </w:r>
      <w:r>
        <w:fldChar w:fldCharType="separate"/>
      </w:r>
      <w:r>
        <w:t>85</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_Toc187935455 \h </w:instrText>
      </w:r>
      <w:r>
        <w:fldChar w:fldCharType="separate"/>
      </w:r>
      <w:r>
        <w:t>85</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_Toc187935456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_Toc187935458 \h </w:instrText>
      </w:r>
      <w:r>
        <w:fldChar w:fldCharType="separate"/>
      </w:r>
      <w:r>
        <w:t>87</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_Toc187935459 \h </w:instrText>
      </w:r>
      <w:r>
        <w:fldChar w:fldCharType="separate"/>
      </w:r>
      <w:r>
        <w:t>88</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_Toc187935460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_Toc187935462 \h </w:instrText>
      </w:r>
      <w:r>
        <w:fldChar w:fldCharType="separate"/>
      </w:r>
      <w:r>
        <w:t>89</w:t>
      </w:r>
      <w:r>
        <w:fldChar w:fldCharType="end"/>
      </w:r>
    </w:p>
    <w:p>
      <w:pPr>
        <w:pStyle w:val="TOC8"/>
        <w:rPr>
          <w:rFonts w:asciiTheme="minorHAnsi" w:eastAsiaTheme="minorEastAsia" w:hAnsiTheme="minorHAnsi" w:cstheme="minorBidi"/>
          <w:szCs w:val="22"/>
        </w:rPr>
      </w:pPr>
      <w:r>
        <w:t>45.</w:t>
      </w:r>
      <w:r>
        <w:tab/>
        <w:t>Image data sources (Act s. 116B(1))</w:t>
      </w:r>
      <w:r>
        <w:tab/>
      </w:r>
      <w:r>
        <w:fldChar w:fldCharType="begin"/>
      </w:r>
      <w:r>
        <w:instrText xml:space="preserve"> PAGEREF _Toc187935463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_Toc187935474 \h </w:instrText>
      </w:r>
      <w:r>
        <w:fldChar w:fldCharType="separate"/>
      </w:r>
      <w:r>
        <w:t>119</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_Toc187935475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_Toc187935479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_Toc187935480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87931023"/>
      <w:bookmarkStart w:id="3" w:name="_Toc187931581"/>
      <w:bookmarkStart w:id="4" w:name="_Toc18793534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rPr>
          <w:snapToGrid w:val="0"/>
        </w:rPr>
      </w:pPr>
      <w:r>
        <w:rPr>
          <w:snapToGrid w:val="0"/>
        </w:rPr>
        <w:tab/>
        <w:t>[Heading inserted: Gazette 13 Sep 1996 p. 4545.]</w:t>
      </w:r>
    </w:p>
    <w:p>
      <w:pPr>
        <w:pStyle w:val="Heading5"/>
        <w:spacing w:before="180"/>
        <w:rPr>
          <w:snapToGrid w:val="0"/>
        </w:rPr>
      </w:pPr>
      <w:bookmarkStart w:id="5" w:name="_Toc187935345"/>
      <w:r>
        <w:rPr>
          <w:rStyle w:val="CharSectno"/>
        </w:rPr>
        <w:t>1</w:t>
      </w:r>
      <w:r>
        <w:rPr>
          <w:snapToGrid w:val="0"/>
        </w:rPr>
        <w:t>.</w:t>
      </w:r>
      <w:r>
        <w:rPr>
          <w:snapToGrid w:val="0"/>
        </w:rPr>
        <w:tab/>
        <w:t>Citation</w:t>
      </w:r>
      <w:bookmarkEnd w:id="5"/>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6" w:name="_Toc187935346"/>
      <w:r>
        <w:rPr>
          <w:rStyle w:val="CharSectno"/>
        </w:rPr>
        <w:t>2</w:t>
      </w:r>
      <w:r>
        <w:rPr>
          <w:snapToGrid w:val="0"/>
        </w:rPr>
        <w:t>.</w:t>
      </w:r>
      <w:r>
        <w:rPr>
          <w:snapToGrid w:val="0"/>
        </w:rPr>
        <w:tab/>
        <w:t>Commencement</w:t>
      </w:r>
      <w:bookmarkEnd w:id="6"/>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7" w:name="_Toc187935347"/>
      <w:r>
        <w:rPr>
          <w:rStyle w:val="CharSectno"/>
        </w:rPr>
        <w:t>2AA</w:t>
      </w:r>
      <w:r>
        <w:t>.</w:t>
      </w:r>
      <w:r>
        <w:tab/>
        <w:t>Terms used</w:t>
      </w:r>
      <w:bookmarkEnd w:id="7"/>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pPr>
      <w:r>
        <w:tab/>
      </w:r>
      <w:r>
        <w:rPr>
          <w:rStyle w:val="CharDefText"/>
        </w:rPr>
        <w:t>hydraulic fracturing</w:t>
      </w:r>
      <w:r>
        <w:t xml:space="preserve"> has the meaning given in the </w:t>
      </w:r>
      <w:r>
        <w:rPr>
          <w:i/>
          <w:iCs/>
        </w:rPr>
        <w:t>Petroleum and Geothermal Energy Resources (Hydraulic Fracturing) Regulations 2017</w:t>
      </w:r>
      <w:r>
        <w:t xml:space="preserve"> regulation 3;</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Defstart"/>
      </w:pPr>
      <w:r>
        <w:tab/>
      </w:r>
      <w:r>
        <w:rPr>
          <w:rStyle w:val="CharDefText"/>
        </w:rPr>
        <w:t>petroleum activity</w:t>
      </w:r>
      <w:r>
        <w:t xml:space="preserve"> has the meaning given in the PGER Environment Regulations regulation 4;</w:t>
      </w:r>
    </w:p>
    <w:p>
      <w:pPr>
        <w:pStyle w:val="Defstart"/>
        <w:rPr>
          <w:i/>
          <w:iCs/>
        </w:rPr>
      </w:pPr>
      <w:r>
        <w:tab/>
      </w:r>
      <w:r>
        <w:rPr>
          <w:rStyle w:val="CharDefText"/>
        </w:rPr>
        <w:t>PGER Environment Regulations</w:t>
      </w:r>
      <w:r>
        <w:t xml:space="preserve"> means the </w:t>
      </w:r>
      <w:r>
        <w:rPr>
          <w:i/>
          <w:iCs/>
        </w:rPr>
        <w:t>Petroleum and Geothermal Energy Resources (Environment) Regulations 2012.</w:t>
      </w:r>
    </w:p>
    <w:p>
      <w:pPr>
        <w:pStyle w:val="Footnotesection"/>
      </w:pPr>
      <w:r>
        <w:tab/>
        <w:t>[Regulation 2AA inserted: Gazette 29 Sep 2006 p. 4261; amended: Gazette 28 Jun 2016 p. 2629; 27 Apr 2018 p. 1389</w:t>
      </w:r>
      <w:r>
        <w:noBreakHyphen/>
        <w:t>90; SL 2024/244 r. 4.]</w:t>
      </w:r>
    </w:p>
    <w:p>
      <w:pPr>
        <w:pStyle w:val="Heading2"/>
      </w:pPr>
      <w:bookmarkStart w:id="8" w:name="_Toc187931027"/>
      <w:bookmarkStart w:id="9" w:name="_Toc187931585"/>
      <w:bookmarkStart w:id="10" w:name="_Toc187935348"/>
      <w:r>
        <w:rPr>
          <w:rStyle w:val="CharPartNo"/>
        </w:rPr>
        <w:lastRenderedPageBreak/>
        <w:t>Part 2</w:t>
      </w:r>
      <w:r>
        <w:rPr>
          <w:rStyle w:val="CharDivNo"/>
        </w:rPr>
        <w:t> </w:t>
      </w:r>
      <w:r>
        <w:t>—</w:t>
      </w:r>
      <w:r>
        <w:rPr>
          <w:rStyle w:val="CharDivText"/>
        </w:rPr>
        <w:t> </w:t>
      </w:r>
      <w:r>
        <w:rPr>
          <w:rStyle w:val="CharPartText"/>
        </w:rPr>
        <w:t>Administrative matters</w:t>
      </w:r>
      <w:bookmarkEnd w:id="8"/>
      <w:bookmarkEnd w:id="9"/>
      <w:bookmarkEnd w:id="10"/>
    </w:p>
    <w:p>
      <w:pPr>
        <w:pStyle w:val="Footnoteheading"/>
        <w:rPr>
          <w:snapToGrid w:val="0"/>
        </w:rPr>
      </w:pPr>
      <w:r>
        <w:rPr>
          <w:snapToGrid w:val="0"/>
        </w:rPr>
        <w:tab/>
        <w:t>[Heading inserted: Gazette 13 Sep 1996 p. 4545.]</w:t>
      </w:r>
    </w:p>
    <w:p>
      <w:pPr>
        <w:pStyle w:val="Heading5"/>
        <w:spacing w:before="180"/>
        <w:rPr>
          <w:snapToGrid w:val="0"/>
        </w:rPr>
      </w:pPr>
      <w:bookmarkStart w:id="11" w:name="_Toc187935349"/>
      <w:r>
        <w:rPr>
          <w:rStyle w:val="CharSectno"/>
        </w:rPr>
        <w:t>2A</w:t>
      </w:r>
      <w:r>
        <w:rPr>
          <w:snapToGrid w:val="0"/>
        </w:rPr>
        <w:t>.</w:t>
      </w:r>
      <w:r>
        <w:rPr>
          <w:snapToGrid w:val="0"/>
        </w:rPr>
        <w:tab/>
        <w:t>Draft policies, where and when public may inspect (Act s. 26(1)(d))</w:t>
      </w:r>
      <w:bookmarkEnd w:id="1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2" w:name="_Toc187935350"/>
      <w:r>
        <w:rPr>
          <w:rStyle w:val="CharSectno"/>
        </w:rPr>
        <w:t>2B</w:t>
      </w:r>
      <w:r>
        <w:t>.</w:t>
      </w:r>
      <w:r>
        <w:tab/>
        <w:t>Publication of Authority minutes and records</w:t>
      </w:r>
      <w:bookmarkEnd w:id="12"/>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3" w:name="_Toc187935351"/>
      <w:r>
        <w:rPr>
          <w:rStyle w:val="CharSectno"/>
        </w:rPr>
        <w:t>2C</w:t>
      </w:r>
      <w:r>
        <w:t>.</w:t>
      </w:r>
      <w:r>
        <w:tab/>
        <w:t>Proposals of prescribed class (Act s. 38)</w:t>
      </w:r>
      <w:bookmarkEnd w:id="13"/>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lastRenderedPageBreak/>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 amended: SL 2024/244 r. 5.]</w:t>
      </w:r>
    </w:p>
    <w:p>
      <w:pPr>
        <w:pStyle w:val="Heading5"/>
      </w:pPr>
      <w:bookmarkStart w:id="14" w:name="_Toc187935352"/>
      <w:r>
        <w:rPr>
          <w:rStyle w:val="CharSectno"/>
        </w:rPr>
        <w:t>3</w:t>
      </w:r>
      <w:r>
        <w:t>.</w:t>
      </w:r>
      <w:r>
        <w:tab/>
        <w:t>Details prescribed for records of referred proposals</w:t>
      </w:r>
      <w:bookmarkEnd w:id="14"/>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5" w:name="_Toc187931032"/>
      <w:bookmarkStart w:id="16" w:name="_Toc187931590"/>
      <w:bookmarkStart w:id="17" w:name="_Toc187935353"/>
      <w:r>
        <w:rPr>
          <w:rStyle w:val="CharPartNo"/>
        </w:rPr>
        <w:lastRenderedPageBreak/>
        <w:t>Part 2A</w:t>
      </w:r>
      <w:r>
        <w:t> — </w:t>
      </w:r>
      <w:r>
        <w:rPr>
          <w:rStyle w:val="CharPartText"/>
        </w:rPr>
        <w:t>Publication and confidentiality</w:t>
      </w:r>
      <w:bookmarkEnd w:id="15"/>
      <w:bookmarkEnd w:id="16"/>
      <w:bookmarkEnd w:id="17"/>
    </w:p>
    <w:p>
      <w:pPr>
        <w:pStyle w:val="Footnoteheading"/>
      </w:pPr>
      <w:r>
        <w:tab/>
        <w:t>[Heading inserted: SL 2021/178 r. 11.]</w:t>
      </w:r>
    </w:p>
    <w:p>
      <w:pPr>
        <w:pStyle w:val="Heading5"/>
      </w:pPr>
      <w:bookmarkStart w:id="18" w:name="_Toc187935354"/>
      <w:r>
        <w:rPr>
          <w:rStyle w:val="CharSectno"/>
        </w:rPr>
        <w:t>3A</w:t>
      </w:r>
      <w:r>
        <w:t>.</w:t>
      </w:r>
      <w:r>
        <w:tab/>
        <w:t>Terms used</w:t>
      </w:r>
      <w:bookmarkEnd w:id="18"/>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19" w:name="_Toc187935355"/>
      <w:r>
        <w:rPr>
          <w:rStyle w:val="CharSectno"/>
        </w:rPr>
        <w:t>3B</w:t>
      </w:r>
      <w:r>
        <w:t>.</w:t>
      </w:r>
      <w:r>
        <w:tab/>
        <w:t>Authority may keep documentation relating to proposals confidential on request</w:t>
      </w:r>
      <w:bookmarkEnd w:id="19"/>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0" w:name="_Toc187935356"/>
      <w:r>
        <w:rPr>
          <w:rStyle w:val="CharSectno"/>
        </w:rPr>
        <w:t>3C</w:t>
      </w:r>
      <w:r>
        <w:t>.</w:t>
      </w:r>
      <w:r>
        <w:tab/>
        <w:t>Authority must keep certain matters confidential</w:t>
      </w:r>
      <w:bookmarkEnd w:id="20"/>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1" w:name="_Toc187935357"/>
      <w:r>
        <w:rPr>
          <w:rStyle w:val="CharSectno"/>
        </w:rPr>
        <w:t>3D</w:t>
      </w:r>
      <w:r>
        <w:t>.</w:t>
      </w:r>
      <w:r>
        <w:tab/>
        <w:t>Authority may keep certain matters relating to proposals confidential</w:t>
      </w:r>
      <w:bookmarkEnd w:id="21"/>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22" w:name="_Toc187931037"/>
      <w:bookmarkStart w:id="23" w:name="_Toc187931595"/>
      <w:bookmarkStart w:id="24" w:name="_Toc187935358"/>
      <w:r>
        <w:rPr>
          <w:rStyle w:val="CharPartNo"/>
        </w:rPr>
        <w:lastRenderedPageBreak/>
        <w:t>Part 2B</w:t>
      </w:r>
      <w:r>
        <w:t> — </w:t>
      </w:r>
      <w:r>
        <w:rPr>
          <w:rStyle w:val="CharPartText"/>
        </w:rPr>
        <w:t>Restricted decisions (Act s. 41)</w:t>
      </w:r>
      <w:bookmarkEnd w:id="22"/>
      <w:bookmarkEnd w:id="23"/>
      <w:bookmarkEnd w:id="24"/>
    </w:p>
    <w:p>
      <w:pPr>
        <w:pStyle w:val="Footnoteheading"/>
      </w:pPr>
      <w:r>
        <w:tab/>
        <w:t>[Heading inserted: SL 2024/244 r. 6.]</w:t>
      </w:r>
    </w:p>
    <w:p>
      <w:pPr>
        <w:pStyle w:val="Heading5"/>
      </w:pPr>
      <w:bookmarkStart w:id="25" w:name="_Toc187935359"/>
      <w:r>
        <w:rPr>
          <w:rStyle w:val="CharSectno"/>
        </w:rPr>
        <w:t>3E</w:t>
      </w:r>
      <w:r>
        <w:t>.</w:t>
      </w:r>
      <w:r>
        <w:tab/>
        <w:t>Application of Part</w:t>
      </w:r>
      <w:bookmarkEnd w:id="25"/>
    </w:p>
    <w:p>
      <w:pPr>
        <w:pStyle w:val="Subsection"/>
      </w:pPr>
      <w:r>
        <w:tab/>
      </w:r>
      <w:r>
        <w:tab/>
        <w:t xml:space="preserve">This Part applies for the purposes of the definition of </w:t>
      </w:r>
      <w:r>
        <w:rPr>
          <w:b/>
          <w:bCs/>
          <w:i/>
          <w:iCs/>
        </w:rPr>
        <w:t>restricted decision</w:t>
      </w:r>
      <w:r>
        <w:t xml:space="preserve"> in section 41(1A) of the Act.</w:t>
      </w:r>
    </w:p>
    <w:p>
      <w:pPr>
        <w:pStyle w:val="Footnotesection"/>
      </w:pPr>
      <w:r>
        <w:tab/>
        <w:t>[Regulation 3E inserted: SL 2024/244 r. 6.]</w:t>
      </w:r>
    </w:p>
    <w:p>
      <w:pPr>
        <w:pStyle w:val="Heading5"/>
      </w:pPr>
      <w:bookmarkStart w:id="26" w:name="_Toc187935360"/>
      <w:r>
        <w:rPr>
          <w:rStyle w:val="CharSectno"/>
        </w:rPr>
        <w:t>3F</w:t>
      </w:r>
      <w:r>
        <w:t>.</w:t>
      </w:r>
      <w:r>
        <w:tab/>
        <w:t>Term used: petroleum activity involving hydraulic fracturing</w:t>
      </w:r>
      <w:bookmarkEnd w:id="26"/>
    </w:p>
    <w:p>
      <w:pPr>
        <w:pStyle w:val="Subsection"/>
      </w:pPr>
      <w:r>
        <w:tab/>
      </w:r>
      <w:r>
        <w:tab/>
        <w:t>In this Part —</w:t>
      </w:r>
    </w:p>
    <w:p>
      <w:pPr>
        <w:pStyle w:val="Defstart"/>
      </w:pPr>
      <w:r>
        <w:tab/>
      </w:r>
      <w:r>
        <w:rPr>
          <w:rStyle w:val="CharDefText"/>
        </w:rPr>
        <w:t>petroleum activity involving hydraulic fracturing</w:t>
      </w:r>
      <w:r>
        <w:t> —</w:t>
      </w:r>
    </w:p>
    <w:p>
      <w:pPr>
        <w:pStyle w:val="Defpara"/>
      </w:pPr>
      <w:r>
        <w:tab/>
        <w:t>(a)</w:t>
      </w:r>
      <w:r>
        <w:tab/>
        <w:t>means a petroleum activity that is or includes hydraulic fracturing; and</w:t>
      </w:r>
    </w:p>
    <w:p>
      <w:pPr>
        <w:pStyle w:val="Defpara"/>
      </w:pPr>
      <w:r>
        <w:tab/>
        <w:t>(b)</w:t>
      </w:r>
      <w:r>
        <w:tab/>
        <w:t>includes a proposed activity and any stage of an activity.</w:t>
      </w:r>
    </w:p>
    <w:p>
      <w:pPr>
        <w:pStyle w:val="Footnotesection"/>
      </w:pPr>
      <w:r>
        <w:tab/>
        <w:t>[Regulation 3F inserted: SL 2024/244 r. 6.]</w:t>
      </w:r>
    </w:p>
    <w:p>
      <w:pPr>
        <w:pStyle w:val="Heading5"/>
      </w:pPr>
      <w:bookmarkStart w:id="27" w:name="_Toc187935361"/>
      <w:r>
        <w:rPr>
          <w:rStyle w:val="CharSectno"/>
        </w:rPr>
        <w:t>3G</w:t>
      </w:r>
      <w:r>
        <w:t>.</w:t>
      </w:r>
      <w:r>
        <w:tab/>
        <w:t>Hydraulic fracturing</w:t>
      </w:r>
      <w:bookmarkEnd w:id="27"/>
    </w:p>
    <w:p>
      <w:pPr>
        <w:pStyle w:val="Subsection"/>
      </w:pPr>
      <w:r>
        <w:tab/>
      </w:r>
      <w:r>
        <w:tab/>
        <w:t xml:space="preserve">A decision is a restricted decision if it — </w:t>
      </w:r>
    </w:p>
    <w:p>
      <w:pPr>
        <w:pStyle w:val="Indenta"/>
      </w:pPr>
      <w:r>
        <w:tab/>
        <w:t>(a)</w:t>
      </w:r>
      <w:r>
        <w:tab/>
        <w:t>relates to a petroleum activity involving hydraulic fracturing; and</w:t>
      </w:r>
    </w:p>
    <w:p>
      <w:pPr>
        <w:pStyle w:val="Indenta"/>
      </w:pPr>
      <w:r>
        <w:tab/>
        <w:t>(b)</w:t>
      </w:r>
      <w:r>
        <w:tab/>
        <w:t xml:space="preserve">is made under any of the following provisions — </w:t>
      </w:r>
    </w:p>
    <w:p>
      <w:pPr>
        <w:pStyle w:val="Indenti"/>
      </w:pPr>
      <w:r>
        <w:tab/>
        <w:t>(i)</w:t>
      </w:r>
      <w:r>
        <w:tab/>
        <w:t>the PGER Environment Regulations regulations 10, 11, 12, 22 and 23;</w:t>
      </w:r>
    </w:p>
    <w:p>
      <w:pPr>
        <w:pStyle w:val="Indenti"/>
      </w:pPr>
      <w:r>
        <w:tab/>
        <w:t>(ii)</w:t>
      </w:r>
      <w:r>
        <w:tab/>
        <w:t xml:space="preserve">the </w:t>
      </w:r>
      <w:r>
        <w:rPr>
          <w:i/>
          <w:iCs/>
        </w:rPr>
        <w:t>Petroleum and Geothermal Energy Resources (Resource Management and Administration) Regulations 2015</w:t>
      </w:r>
      <w:r>
        <w:t xml:space="preserve"> regulations 13, 16, 44, 47, 51 and 59;</w:t>
      </w:r>
    </w:p>
    <w:p>
      <w:pPr>
        <w:pStyle w:val="Indenti"/>
      </w:pPr>
      <w:r>
        <w:tab/>
        <w:t>(iii)</w:t>
      </w:r>
      <w:r>
        <w:tab/>
        <w:t xml:space="preserve">the </w:t>
      </w:r>
      <w:r>
        <w:rPr>
          <w:i/>
          <w:iCs/>
        </w:rPr>
        <w:t>Petroleum Pipelines (Environment) Regulations 2012</w:t>
      </w:r>
      <w:r>
        <w:t xml:space="preserve"> regulations 10, 11, 12, 22 and 23;</w:t>
      </w:r>
    </w:p>
    <w:p>
      <w:pPr>
        <w:pStyle w:val="Indenti"/>
      </w:pPr>
      <w:r>
        <w:lastRenderedPageBreak/>
        <w:tab/>
        <w:t>(iv)</w:t>
      </w:r>
      <w:r>
        <w:tab/>
        <w:t xml:space="preserve">the </w:t>
      </w:r>
      <w:r>
        <w:rPr>
          <w:i/>
          <w:iCs/>
        </w:rPr>
        <w:t>Petroleum (Submerged Lands) (Environment) Regulations 2012</w:t>
      </w:r>
      <w:r>
        <w:t xml:space="preserve"> regulations 10, 11, 12, 22 and 23;</w:t>
      </w:r>
    </w:p>
    <w:p>
      <w:pPr>
        <w:pStyle w:val="Indenti"/>
      </w:pPr>
      <w:r>
        <w:tab/>
        <w:t>(v)</w:t>
      </w:r>
      <w:r>
        <w:tab/>
        <w:t xml:space="preserve">the </w:t>
      </w:r>
      <w:r>
        <w:rPr>
          <w:i/>
          <w:iCs/>
        </w:rPr>
        <w:t>Petroleum (Submerged Lands) (Resource Management and Administration) Regulations 2015</w:t>
      </w:r>
      <w:r>
        <w:t xml:space="preserve"> regulations 13, 16, 21, 44, 47, 51 and 59.</w:t>
      </w:r>
    </w:p>
    <w:p>
      <w:pPr>
        <w:pStyle w:val="Footnotesection"/>
      </w:pPr>
      <w:r>
        <w:tab/>
        <w:t>[Regulation 3G inserted: SL 2024/244 r. 6.]</w:t>
      </w:r>
    </w:p>
    <w:p>
      <w:pPr>
        <w:pStyle w:val="Heading5"/>
      </w:pPr>
      <w:bookmarkStart w:id="28" w:name="_Toc187935362"/>
      <w:r>
        <w:rPr>
          <w:rStyle w:val="CharSectno"/>
        </w:rPr>
        <w:t>3H</w:t>
      </w:r>
      <w:r>
        <w:t>.</w:t>
      </w:r>
      <w:r>
        <w:tab/>
        <w:t>Planning and development</w:t>
      </w:r>
      <w:bookmarkEnd w:id="28"/>
    </w:p>
    <w:p>
      <w:pPr>
        <w:pStyle w:val="Subsection"/>
      </w:pPr>
      <w:r>
        <w:tab/>
        <w:t>(1)</w:t>
      </w:r>
      <w:r>
        <w:tab/>
        <w:t xml:space="preserve">In this regulation — </w:t>
      </w:r>
    </w:p>
    <w:p>
      <w:pPr>
        <w:pStyle w:val="Defstart"/>
      </w:pPr>
      <w:r>
        <w:tab/>
      </w:r>
      <w:r>
        <w:rPr>
          <w:rStyle w:val="CharDefText"/>
        </w:rPr>
        <w:t>enabling Act</w:t>
      </w:r>
      <w:r>
        <w:t>,</w:t>
      </w:r>
      <w:r>
        <w:rPr>
          <w:b/>
          <w:bCs/>
        </w:rPr>
        <w:t xml:space="preserve"> </w:t>
      </w:r>
      <w:r>
        <w:rPr>
          <w:rStyle w:val="CharDefText"/>
        </w:rPr>
        <w:t>original jurisdiction</w:t>
      </w:r>
      <w:r>
        <w:t xml:space="preserve">, </w:t>
      </w:r>
      <w:r>
        <w:rPr>
          <w:rStyle w:val="CharDefText"/>
        </w:rPr>
        <w:t>review jurisdiction</w:t>
      </w:r>
      <w:r>
        <w:t xml:space="preserve"> and </w:t>
      </w:r>
      <w:r>
        <w:rPr>
          <w:rStyle w:val="CharDefText"/>
        </w:rPr>
        <w:t>Tribunal</w:t>
      </w:r>
      <w:r>
        <w:t xml:space="preserve"> have the meanings given in the </w:t>
      </w:r>
      <w:r>
        <w:rPr>
          <w:i/>
          <w:iCs/>
        </w:rPr>
        <w:t>State Administrative Tribunal Act 2004</w:t>
      </w:r>
      <w:r>
        <w:t xml:space="preserve"> section 3(1);</w:t>
      </w:r>
    </w:p>
    <w:p>
      <w:pPr>
        <w:pStyle w:val="Defstart"/>
      </w:pPr>
      <w:r>
        <w:tab/>
      </w:r>
      <w:r>
        <w:rPr>
          <w:rStyle w:val="CharDefText"/>
        </w:rPr>
        <w:t>planning legislation</w:t>
      </w:r>
      <w:r>
        <w:t xml:space="preserve"> means any of the following — </w:t>
      </w:r>
    </w:p>
    <w:p>
      <w:pPr>
        <w:pStyle w:val="Defpara"/>
      </w:pPr>
      <w:r>
        <w:tab/>
        <w:t>(a)</w:t>
      </w:r>
      <w:r>
        <w:tab/>
        <w:t xml:space="preserve">the </w:t>
      </w:r>
      <w:r>
        <w:rPr>
          <w:i/>
          <w:iCs/>
        </w:rPr>
        <w:t>Community Titles Act 2018</w:t>
      </w:r>
      <w:r>
        <w:t>;</w:t>
      </w:r>
    </w:p>
    <w:p>
      <w:pPr>
        <w:pStyle w:val="Defpara"/>
      </w:pPr>
      <w:r>
        <w:tab/>
        <w:t>(b)</w:t>
      </w:r>
      <w:r>
        <w:tab/>
        <w:t xml:space="preserve">the </w:t>
      </w:r>
      <w:r>
        <w:rPr>
          <w:i/>
          <w:iCs/>
        </w:rPr>
        <w:t>Forrest Place and City Station Development Act 1985</w:t>
      </w:r>
      <w:r>
        <w:t>;</w:t>
      </w:r>
    </w:p>
    <w:p>
      <w:pPr>
        <w:pStyle w:val="Defpara"/>
      </w:pPr>
      <w:r>
        <w:tab/>
        <w:t>(c)</w:t>
      </w:r>
      <w:r>
        <w:tab/>
        <w:t xml:space="preserve">the </w:t>
      </w:r>
      <w:r>
        <w:rPr>
          <w:i/>
          <w:iCs/>
        </w:rPr>
        <w:t>Hope Valley</w:t>
      </w:r>
      <w:r>
        <w:rPr>
          <w:i/>
          <w:iCs/>
        </w:rPr>
        <w:noBreakHyphen/>
        <w:t>Wattleup Redevelopment Act 2000</w:t>
      </w:r>
      <w:r>
        <w:t>;</w:t>
      </w:r>
    </w:p>
    <w:p>
      <w:pPr>
        <w:pStyle w:val="Defpara"/>
      </w:pPr>
      <w:r>
        <w:tab/>
        <w:t>(d)</w:t>
      </w:r>
      <w:r>
        <w:tab/>
        <w:t xml:space="preserve">the </w:t>
      </w:r>
      <w:r>
        <w:rPr>
          <w:i/>
          <w:iCs/>
        </w:rPr>
        <w:t>Metropolitan Redevelopment Authority Act 2011</w:t>
      </w:r>
      <w:r>
        <w:t>;</w:t>
      </w:r>
    </w:p>
    <w:p>
      <w:pPr>
        <w:pStyle w:val="Defpara"/>
      </w:pPr>
      <w:r>
        <w:tab/>
        <w:t>(e)</w:t>
      </w:r>
      <w:r>
        <w:tab/>
        <w:t xml:space="preserve">the </w:t>
      </w:r>
      <w:r>
        <w:rPr>
          <w:i/>
          <w:iCs/>
        </w:rPr>
        <w:t>Perry Lakes Redevelopment Act 2005</w:t>
      </w:r>
      <w:r>
        <w:t>;</w:t>
      </w:r>
    </w:p>
    <w:p>
      <w:pPr>
        <w:pStyle w:val="Defpara"/>
      </w:pPr>
      <w:r>
        <w:tab/>
        <w:t>(f)</w:t>
      </w:r>
      <w:r>
        <w:tab/>
        <w:t xml:space="preserve">the </w:t>
      </w:r>
      <w:r>
        <w:rPr>
          <w:i/>
          <w:iCs/>
        </w:rPr>
        <w:t>Planning and Development Act 2005</w:t>
      </w:r>
      <w:r>
        <w:t>;</w:t>
      </w:r>
    </w:p>
    <w:p>
      <w:pPr>
        <w:pStyle w:val="Defpara"/>
      </w:pPr>
      <w:r>
        <w:tab/>
        <w:t>(g)</w:t>
      </w:r>
      <w:r>
        <w:tab/>
        <w:t xml:space="preserve">the </w:t>
      </w:r>
      <w:r>
        <w:rPr>
          <w:i/>
          <w:iCs/>
        </w:rPr>
        <w:t>Port Authorities Act 1999</w:t>
      </w:r>
      <w:r>
        <w:t>;</w:t>
      </w:r>
    </w:p>
    <w:p>
      <w:pPr>
        <w:pStyle w:val="Defpara"/>
      </w:pPr>
      <w:r>
        <w:tab/>
        <w:t>(h)</w:t>
      </w:r>
      <w:r>
        <w:tab/>
        <w:t xml:space="preserve">the </w:t>
      </w:r>
      <w:r>
        <w:rPr>
          <w:i/>
          <w:iCs/>
        </w:rPr>
        <w:t>Strata Titles Act 1985</w:t>
      </w:r>
      <w:r>
        <w:t>;</w:t>
      </w:r>
    </w:p>
    <w:p>
      <w:pPr>
        <w:pStyle w:val="Defpara"/>
      </w:pPr>
      <w:r>
        <w:tab/>
        <w:t>(i)</w:t>
      </w:r>
      <w:r>
        <w:tab/>
        <w:t xml:space="preserve">the </w:t>
      </w:r>
      <w:r>
        <w:rPr>
          <w:i/>
          <w:iCs/>
        </w:rPr>
        <w:t>Swan and Canning Rivers Management Act 2006</w:t>
      </w:r>
      <w:r>
        <w:t xml:space="preserve"> Part 5;</w:t>
      </w:r>
    </w:p>
    <w:p>
      <w:pPr>
        <w:pStyle w:val="Defpara"/>
      </w:pPr>
      <w:r>
        <w:tab/>
        <w:t>(j)</w:t>
      </w:r>
      <w:r>
        <w:tab/>
        <w:t xml:space="preserve">the </w:t>
      </w:r>
      <w:r>
        <w:rPr>
          <w:i/>
          <w:iCs/>
        </w:rPr>
        <w:t>Swan Valley Planning Act 2020</w:t>
      </w:r>
      <w:r>
        <w:t>;</w:t>
      </w:r>
    </w:p>
    <w:p>
      <w:pPr>
        <w:pStyle w:val="Defpara"/>
      </w:pPr>
      <w:r>
        <w:tab/>
        <w:t>(k)</w:t>
      </w:r>
      <w:r>
        <w:tab/>
        <w:t xml:space="preserve">without limiting the application of the </w:t>
      </w:r>
      <w:r>
        <w:rPr>
          <w:i/>
          <w:iCs/>
        </w:rPr>
        <w:t>Interpretation Act 1984</w:t>
      </w:r>
      <w:r>
        <w:t xml:space="preserve"> section 46(1) to paragraphs (a) to (j), a plan or scheme referred to in paragraph (c), (d), (f), (g), (i) or (j) of the definition of </w:t>
      </w:r>
      <w:r>
        <w:rPr>
          <w:b/>
          <w:bCs/>
          <w:i/>
          <w:iCs/>
        </w:rPr>
        <w:t>scheme</w:t>
      </w:r>
      <w:r>
        <w:t xml:space="preserve"> in section 3(1) of the Act.</w:t>
      </w:r>
    </w:p>
    <w:p>
      <w:pPr>
        <w:pStyle w:val="Subsection"/>
      </w:pPr>
      <w:r>
        <w:lastRenderedPageBreak/>
        <w:tab/>
        <w:t>(2)</w:t>
      </w:r>
      <w:r>
        <w:tab/>
        <w:t>A decision made under planning legislation is a restricted decision.</w:t>
      </w:r>
    </w:p>
    <w:p>
      <w:pPr>
        <w:pStyle w:val="Subsection"/>
      </w:pPr>
      <w:r>
        <w:tab/>
        <w:t>(3)</w:t>
      </w:r>
      <w:r>
        <w:tab/>
        <w:t xml:space="preserve">A decision of the Tribunal is a restricted decision if — </w:t>
      </w:r>
    </w:p>
    <w:p>
      <w:pPr>
        <w:pStyle w:val="Indenta"/>
      </w:pPr>
      <w:r>
        <w:tab/>
        <w:t>(a)</w:t>
      </w:r>
      <w:r>
        <w:tab/>
        <w:t>the enabling Act in respect of the decision is planning legislation (or a portion of planning legislation); or</w:t>
      </w:r>
    </w:p>
    <w:p>
      <w:pPr>
        <w:pStyle w:val="Indenta"/>
      </w:pPr>
      <w:r>
        <w:tab/>
        <w:t>(b)</w:t>
      </w:r>
      <w:r>
        <w:tab/>
        <w:t xml:space="preserve">the decision otherwise relates to — </w:t>
      </w:r>
    </w:p>
    <w:p>
      <w:pPr>
        <w:pStyle w:val="Indenti"/>
      </w:pPr>
      <w:r>
        <w:tab/>
        <w:t>(i)</w:t>
      </w:r>
      <w:r>
        <w:tab/>
        <w:t>a decision of another public authority made under planning legislation (including in a case where the other public authority is taken to have made the decision); or</w:t>
      </w:r>
    </w:p>
    <w:p>
      <w:pPr>
        <w:pStyle w:val="Indenti"/>
      </w:pPr>
      <w:r>
        <w:tab/>
        <w:t>(ii)</w:t>
      </w:r>
      <w:r>
        <w:tab/>
        <w:t>a failure or omission by another public authority to make a decision under planning legislation.</w:t>
      </w:r>
    </w:p>
    <w:p>
      <w:pPr>
        <w:pStyle w:val="Subsection"/>
      </w:pPr>
      <w:r>
        <w:tab/>
        <w:t>(4)</w:t>
      </w:r>
      <w:r>
        <w:tab/>
        <w:t xml:space="preserve">Subregulation (3) applies whether the Tribunal is acting — </w:t>
      </w:r>
    </w:p>
    <w:p>
      <w:pPr>
        <w:pStyle w:val="Indenta"/>
      </w:pPr>
      <w:r>
        <w:tab/>
        <w:t>(a)</w:t>
      </w:r>
      <w:r>
        <w:tab/>
        <w:t>in the exercise of its original jurisdiction or review jurisdiction; or</w:t>
      </w:r>
    </w:p>
    <w:p>
      <w:pPr>
        <w:pStyle w:val="Indenta"/>
      </w:pPr>
      <w:r>
        <w:tab/>
        <w:t>(b)</w:t>
      </w:r>
      <w:r>
        <w:tab/>
        <w:t>in any other case.</w:t>
      </w:r>
    </w:p>
    <w:p>
      <w:pPr>
        <w:pStyle w:val="Subsection"/>
      </w:pPr>
      <w:r>
        <w:tab/>
        <w:t>(5)</w:t>
      </w:r>
      <w:r>
        <w:tab/>
        <w:t>Subregulation (3) does not limit the application of subregulation (2) to decisions of the Tribunal.</w:t>
      </w:r>
    </w:p>
    <w:p>
      <w:pPr>
        <w:pStyle w:val="Footnotesection"/>
      </w:pPr>
      <w:r>
        <w:tab/>
        <w:t>[Regulation 3H inserted: SL 2024/244 r. 6.]</w:t>
      </w:r>
    </w:p>
    <w:p>
      <w:pPr>
        <w:pStyle w:val="Heading2"/>
      </w:pPr>
      <w:bookmarkStart w:id="29" w:name="_Toc187931042"/>
      <w:bookmarkStart w:id="30" w:name="_Toc187931600"/>
      <w:bookmarkStart w:id="31" w:name="_Toc187935363"/>
      <w:r>
        <w:rPr>
          <w:rStyle w:val="CharPartNo"/>
        </w:rPr>
        <w:lastRenderedPageBreak/>
        <w:t>Part 3</w:t>
      </w:r>
      <w:r>
        <w:rPr>
          <w:rStyle w:val="CharDivNo"/>
        </w:rPr>
        <w:t> </w:t>
      </w:r>
      <w:r>
        <w:t>—</w:t>
      </w:r>
      <w:r>
        <w:rPr>
          <w:rStyle w:val="CharDivText"/>
        </w:rPr>
        <w:t> </w:t>
      </w:r>
      <w:r>
        <w:rPr>
          <w:rStyle w:val="CharPartText"/>
        </w:rPr>
        <w:t>Control of pollution generally</w:t>
      </w:r>
      <w:bookmarkEnd w:id="29"/>
      <w:bookmarkEnd w:id="30"/>
      <w:bookmarkEnd w:id="31"/>
    </w:p>
    <w:p>
      <w:pPr>
        <w:pStyle w:val="Footnoteheading"/>
        <w:rPr>
          <w:snapToGrid w:val="0"/>
        </w:rPr>
      </w:pPr>
      <w:r>
        <w:rPr>
          <w:snapToGrid w:val="0"/>
        </w:rPr>
        <w:tab/>
        <w:t>[Heading inserted: Gazette 13 Sep 1996 p. 4545.]</w:t>
      </w:r>
    </w:p>
    <w:p>
      <w:pPr>
        <w:pStyle w:val="Heading5"/>
        <w:spacing w:before="240"/>
        <w:rPr>
          <w:snapToGrid w:val="0"/>
        </w:rPr>
      </w:pPr>
      <w:bookmarkStart w:id="32" w:name="_Toc187935364"/>
      <w:r>
        <w:rPr>
          <w:rStyle w:val="CharSectno"/>
        </w:rPr>
        <w:t>4</w:t>
      </w:r>
      <w:r>
        <w:rPr>
          <w:snapToGrid w:val="0"/>
        </w:rPr>
        <w:t>.</w:t>
      </w:r>
      <w:r>
        <w:rPr>
          <w:snapToGrid w:val="0"/>
        </w:rPr>
        <w:tab/>
        <w:t>Terms used; amounts of units for fees</w:t>
      </w:r>
      <w:bookmarkEnd w:id="32"/>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33" w:name="_Toc187935365"/>
      <w:r>
        <w:rPr>
          <w:rStyle w:val="CharSectno"/>
        </w:rPr>
        <w:t>5</w:t>
      </w:r>
      <w:r>
        <w:rPr>
          <w:snapToGrid w:val="0"/>
        </w:rPr>
        <w:t>.</w:t>
      </w:r>
      <w:r>
        <w:rPr>
          <w:snapToGrid w:val="0"/>
        </w:rPr>
        <w:tab/>
        <w:t>Premises prescribed (Act Part V)</w:t>
      </w:r>
      <w:bookmarkEnd w:id="33"/>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34" w:name="_Toc187935366"/>
      <w:r>
        <w:rPr>
          <w:rStyle w:val="CharSectno"/>
        </w:rPr>
        <w:t>5A</w:t>
      </w:r>
      <w:r>
        <w:rPr>
          <w:snapToGrid w:val="0"/>
        </w:rPr>
        <w:t>.</w:t>
      </w:r>
      <w:r>
        <w:rPr>
          <w:snapToGrid w:val="0"/>
        </w:rPr>
        <w:tab/>
        <w:t>Registration of Sch. 1 Part 2 premises, effect and cancellation of etc.</w:t>
      </w:r>
      <w:bookmarkEnd w:id="34"/>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35" w:name="_Toc187935367"/>
      <w:r>
        <w:rPr>
          <w:rStyle w:val="CharSectno"/>
        </w:rPr>
        <w:t>5B</w:t>
      </w:r>
      <w:r>
        <w:rPr>
          <w:snapToGrid w:val="0"/>
        </w:rPr>
        <w:t>.</w:t>
      </w:r>
      <w:r>
        <w:rPr>
          <w:snapToGrid w:val="0"/>
        </w:rPr>
        <w:tab/>
        <w:t>Registration of premises, application for etc.</w:t>
      </w:r>
      <w:bookmarkEnd w:id="35"/>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6" w:name="_Toc187935368"/>
      <w:r>
        <w:rPr>
          <w:rStyle w:val="CharSectno"/>
        </w:rPr>
        <w:t>5BA</w:t>
      </w:r>
      <w:r>
        <w:t>.</w:t>
      </w:r>
      <w:r>
        <w:tab/>
        <w:t>Fees prescribed for works approval (Act s. 54(1))</w:t>
      </w:r>
      <w:bookmarkEnd w:id="36"/>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7" w:name="_Toc187935369"/>
      <w:r>
        <w:rPr>
          <w:rStyle w:val="CharSectno"/>
        </w:rPr>
        <w:t>5BB</w:t>
      </w:r>
      <w:r>
        <w:t>.</w:t>
      </w:r>
      <w:r>
        <w:tab/>
        <w:t>Fees prescribed for amending works approval or licence (Act s. 59B(1))</w:t>
      </w:r>
      <w:bookmarkEnd w:id="37"/>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38" w:name="_Toc187935370"/>
      <w:r>
        <w:rPr>
          <w:rStyle w:val="CharSectno"/>
        </w:rPr>
        <w:t>5C</w:t>
      </w:r>
      <w:r>
        <w:t>.</w:t>
      </w:r>
      <w:r>
        <w:tab/>
        <w:t>Fees prescribed for transfer of works approval or licence (Act s. 64(1))</w:t>
      </w:r>
      <w:bookmarkEnd w:id="38"/>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39" w:name="_Toc187935371"/>
      <w:r>
        <w:rPr>
          <w:rStyle w:val="CharSectno"/>
        </w:rPr>
        <w:t>5CA</w:t>
      </w:r>
      <w:r>
        <w:t>.</w:t>
      </w:r>
      <w:r>
        <w:tab/>
        <w:t>Fee for works approval, CEO may waive</w:t>
      </w:r>
      <w:bookmarkEnd w:id="39"/>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40" w:name="_Toc187935372"/>
      <w:r>
        <w:rPr>
          <w:rStyle w:val="CharSectno"/>
        </w:rPr>
        <w:t>5CAA</w:t>
      </w:r>
      <w:r>
        <w:t>.</w:t>
      </w:r>
      <w:r>
        <w:tab/>
        <w:t>Manner of advertising prescribed</w:t>
      </w:r>
      <w:r>
        <w:rPr>
          <w:snapToGrid w:val="0"/>
        </w:rPr>
        <w:t xml:space="preserve"> (Act s. 54(2a))</w:t>
      </w:r>
      <w:bookmarkEnd w:id="40"/>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41" w:name="_Toc187935373"/>
      <w:r>
        <w:rPr>
          <w:rStyle w:val="CharSectno"/>
        </w:rPr>
        <w:t>5CB</w:t>
      </w:r>
      <w:r>
        <w:t>.</w:t>
      </w:r>
      <w:r>
        <w:tab/>
        <w:t>Replacement of expiring licence, application for</w:t>
      </w:r>
      <w:bookmarkEnd w:id="4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42" w:name="_Toc187935374"/>
      <w:r>
        <w:rPr>
          <w:rStyle w:val="CharSectno"/>
        </w:rPr>
        <w:t>5D</w:t>
      </w:r>
      <w:r>
        <w:rPr>
          <w:snapToGrid w:val="0"/>
        </w:rPr>
        <w:t>.</w:t>
      </w:r>
      <w:r>
        <w:rPr>
          <w:snapToGrid w:val="0"/>
        </w:rPr>
        <w:tab/>
        <w:t>Prescribed premises, fee for licence for</w:t>
      </w:r>
      <w:bookmarkEnd w:id="42"/>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43" w:name="_Toc187935375"/>
      <w:r>
        <w:rPr>
          <w:rStyle w:val="CharSectno"/>
        </w:rPr>
        <w:t>5DA</w:t>
      </w:r>
      <w:r>
        <w:t>.</w:t>
      </w:r>
      <w:r>
        <w:tab/>
        <w:t>Payment of licence fees</w:t>
      </w:r>
      <w:bookmarkEnd w:id="43"/>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keepNext/>
      </w:pPr>
      <w:r>
        <w:lastRenderedPageBreak/>
        <w:tab/>
        <w:t>(4)</w:t>
      </w:r>
      <w:r>
        <w:tab/>
        <w:t xml:space="preserve">If the licence holder does not pay a fee under subregulation (3) on time, the licence holder must pay, in addition to the fee under subregulation (3) — </w:t>
      </w:r>
    </w:p>
    <w:p>
      <w:pPr>
        <w:pStyle w:val="Indenta"/>
      </w:pPr>
      <w:r>
        <w:tab/>
        <w:t>(a)</w:t>
      </w:r>
      <w:r>
        <w:tab/>
        <w:t>if the licence holder pays the fee under subregulation (3) before the end of the period of 30 days after the anniversary before which the fee should have been paid — a late payment fee of 10 units; or</w:t>
      </w:r>
    </w:p>
    <w:p>
      <w:pPr>
        <w:pStyle w:val="Indenta"/>
      </w:pPr>
      <w:r>
        <w:tab/>
        <w:t>(b)</w:t>
      </w:r>
      <w:r>
        <w:tab/>
        <w:t>otherwise — a late payment fee of 20 units.</w:t>
      </w:r>
    </w:p>
    <w:p>
      <w:pPr>
        <w:pStyle w:val="Subsection"/>
      </w:pPr>
      <w:r>
        <w:tab/>
        <w:t>(5)</w:t>
      </w:r>
      <w:r>
        <w:tab/>
        <w:t xml:space="preserve">For the purposes of section 59A(1) of the Act, each of the following is a ground for revocation or suspension of a licence — </w:t>
      </w:r>
    </w:p>
    <w:p>
      <w:pPr>
        <w:pStyle w:val="Indenta"/>
      </w:pPr>
      <w:r>
        <w:tab/>
        <w:t>(a)</w:t>
      </w:r>
      <w:r>
        <w:tab/>
        <w:t>the licence holder does not pay a fee under subregulation (3) before the end of the period of 60 days after the anniversary before which the fee should have been paid;</w:t>
      </w:r>
    </w:p>
    <w:p>
      <w:pPr>
        <w:pStyle w:val="Indenta"/>
      </w:pPr>
      <w:r>
        <w:tab/>
        <w:t>(b)</w:t>
      </w:r>
      <w:r>
        <w:tab/>
        <w:t>the licence holder does not pay a late payment fee under subregulation (4)(a) or (b) before the end of the period of 60 days after the anniversary before which the fee under subregulation (3) should have been paid.</w:t>
      </w:r>
    </w:p>
    <w:p>
      <w:pPr>
        <w:pStyle w:val="Subsection"/>
      </w:pPr>
      <w:r>
        <w:tab/>
        <w:t>(6)</w:t>
      </w:r>
      <w:r>
        <w:tab/>
        <w:t>Subregulations (4) and (5)</w:t>
      </w:r>
      <w:r>
        <w:rPr>
          <w:iCs/>
        </w:rPr>
        <w:t xml:space="preserve"> apply only if the anniversary before which the fee under subregulation (3) should have been paid is after validation day.</w:t>
      </w:r>
    </w:p>
    <w:p>
      <w:pPr>
        <w:pStyle w:val="Subsection"/>
      </w:pPr>
      <w:r>
        <w:tab/>
        <w:t>(7)</w:t>
      </w:r>
      <w:r>
        <w:tab/>
        <w:t xml:space="preserve">On and after validation day, subregulation (4) (but not subregulation (5)), as deleted by the </w:t>
      </w:r>
      <w:r>
        <w:rPr>
          <w:i/>
        </w:rPr>
        <w:t>Environmental Protection Amendment Act 2024</w:t>
      </w:r>
      <w:r>
        <w:t xml:space="preserve"> section 49, continues to apply as if that subregulation (4) were still in force for cases where — </w:t>
      </w:r>
    </w:p>
    <w:p>
      <w:pPr>
        <w:pStyle w:val="Indenta"/>
      </w:pPr>
      <w:r>
        <w:tab/>
        <w:t>(a)</w:t>
      </w:r>
      <w:r>
        <w:tab/>
        <w:t>a licence holder does not pay a fee under subregulation (3) on time; and</w:t>
      </w:r>
    </w:p>
    <w:p>
      <w:pPr>
        <w:pStyle w:val="Indenta"/>
      </w:pPr>
      <w:r>
        <w:tab/>
        <w:t>(b)</w:t>
      </w:r>
      <w:r>
        <w:tab/>
      </w:r>
      <w:r>
        <w:rPr>
          <w:iCs/>
        </w:rPr>
        <w:t>the anniversary before which the fee should have been paid is on or before validation day.</w:t>
      </w:r>
    </w:p>
    <w:p>
      <w:pPr>
        <w:pStyle w:val="Subsection"/>
        <w:keepNext/>
      </w:pPr>
      <w:r>
        <w:lastRenderedPageBreak/>
        <w:tab/>
        <w:t>(8)</w:t>
      </w:r>
      <w:r>
        <w:tab/>
        <w:t xml:space="preserve">In subregulations (6) and (7) — </w:t>
      </w:r>
    </w:p>
    <w:p>
      <w:pPr>
        <w:pStyle w:val="Defstart"/>
        <w:keepNext/>
      </w:pPr>
      <w:r>
        <w:tab/>
      </w:r>
      <w:r>
        <w:rPr>
          <w:rStyle w:val="CharDefText"/>
        </w:rPr>
        <w:t>validation day</w:t>
      </w:r>
      <w:r>
        <w:t xml:space="preserve"> has the meaning given in section 138 of the Act.</w:t>
      </w:r>
    </w:p>
    <w:p>
      <w:pPr>
        <w:pStyle w:val="Footnotesection"/>
      </w:pPr>
      <w:r>
        <w:tab/>
        <w:t>[Regulation 5DA inserted: Gazette 22 Jun 2004 p. 2145</w:t>
      </w:r>
      <w:r>
        <w:noBreakHyphen/>
        <w:t>6; amended: No. 36 of 2024 s. 49.]</w:t>
      </w:r>
    </w:p>
    <w:p>
      <w:pPr>
        <w:pStyle w:val="Heading5"/>
        <w:rPr>
          <w:snapToGrid w:val="0"/>
        </w:rPr>
      </w:pPr>
      <w:bookmarkStart w:id="44" w:name="_Toc187935376"/>
      <w:r>
        <w:rPr>
          <w:rStyle w:val="CharSectno"/>
        </w:rPr>
        <w:t>5E</w:t>
      </w:r>
      <w:r>
        <w:rPr>
          <w:snapToGrid w:val="0"/>
        </w:rPr>
        <w:t>.</w:t>
      </w:r>
      <w:r>
        <w:rPr>
          <w:snapToGrid w:val="0"/>
        </w:rPr>
        <w:tab/>
        <w:t>Amount in r. 5D(1a)(c), calculation of</w:t>
      </w:r>
      <w:bookmarkEnd w:id="44"/>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45" w:name="_Toc187935377"/>
      <w:r>
        <w:rPr>
          <w:rStyle w:val="CharSectno"/>
        </w:rPr>
        <w:t>5EA</w:t>
      </w:r>
      <w:r>
        <w:rPr>
          <w:snapToGrid w:val="0"/>
        </w:rPr>
        <w:t>.</w:t>
      </w:r>
      <w:r>
        <w:rPr>
          <w:snapToGrid w:val="0"/>
        </w:rPr>
        <w:tab/>
        <w:t>Fees under r. 5D(1a)(b) and (c), CEO may waive</w:t>
      </w:r>
      <w:bookmarkEnd w:id="4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6" w:name="_Toc187935378"/>
      <w:r>
        <w:rPr>
          <w:rStyle w:val="CharSectno"/>
        </w:rPr>
        <w:t>5EB</w:t>
      </w:r>
      <w:r>
        <w:t>.</w:t>
      </w:r>
      <w:r>
        <w:tab/>
        <w:t>Fees under r. 5D, CEO may waive</w:t>
      </w:r>
      <w:bookmarkEnd w:id="46"/>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7" w:name="_Toc187935379"/>
      <w:r>
        <w:rPr>
          <w:rStyle w:val="CharSectno"/>
        </w:rPr>
        <w:t>5F</w:t>
      </w:r>
      <w:r>
        <w:rPr>
          <w:snapToGrid w:val="0"/>
        </w:rPr>
        <w:t>.</w:t>
      </w:r>
      <w:r>
        <w:rPr>
          <w:snapToGrid w:val="0"/>
        </w:rPr>
        <w:tab/>
        <w:t>Fee under r. 5D(1a)(c) if discharged waste harmless</w:t>
      </w:r>
      <w:bookmarkEnd w:id="47"/>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8" w:name="_Toc187935380"/>
      <w:r>
        <w:rPr>
          <w:rStyle w:val="CharSectno"/>
        </w:rPr>
        <w:t>5G</w:t>
      </w:r>
      <w:r>
        <w:t>.</w:t>
      </w:r>
      <w:r>
        <w:tab/>
        <w:t>Maximum fees under r. 5D(1a)</w:t>
      </w:r>
      <w:bookmarkEnd w:id="48"/>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49" w:name="_Toc187935381"/>
      <w:r>
        <w:rPr>
          <w:rStyle w:val="CharSectno"/>
        </w:rPr>
        <w:t>5H</w:t>
      </w:r>
      <w:r>
        <w:rPr>
          <w:snapToGrid w:val="0"/>
        </w:rPr>
        <w:t>.</w:t>
      </w:r>
      <w:r>
        <w:rPr>
          <w:snapToGrid w:val="0"/>
        </w:rPr>
        <w:tab/>
        <w:t>Partial refunds of fees for licences</w:t>
      </w:r>
      <w:bookmarkEnd w:id="49"/>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50" w:name="_Toc187935382"/>
      <w:r>
        <w:rPr>
          <w:rStyle w:val="CharSectno"/>
        </w:rPr>
        <w:t>5I</w:t>
      </w:r>
      <w:r>
        <w:rPr>
          <w:snapToGrid w:val="0"/>
        </w:rPr>
        <w:t>.</w:t>
      </w:r>
      <w:r>
        <w:rPr>
          <w:snapToGrid w:val="0"/>
        </w:rPr>
        <w:tab/>
        <w:t>Certain matters relevant to fees to be determined by CEO</w:t>
      </w:r>
      <w:bookmarkEnd w:id="50"/>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51" w:name="_Toc187935383"/>
      <w:r>
        <w:rPr>
          <w:rStyle w:val="CharSectno"/>
        </w:rPr>
        <w:t>5IA</w:t>
      </w:r>
      <w:r>
        <w:rPr>
          <w:snapToGrid w:val="0"/>
        </w:rPr>
        <w:t>.</w:t>
      </w:r>
      <w:r>
        <w:rPr>
          <w:snapToGrid w:val="0"/>
        </w:rPr>
        <w:tab/>
        <w:t>Compliance with best practice criteria may be condition of licence (Act s. 62(2))</w:t>
      </w:r>
      <w:bookmarkEnd w:id="5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52" w:name="_Toc187935384"/>
      <w:r>
        <w:rPr>
          <w:rStyle w:val="CharSectno"/>
        </w:rPr>
        <w:t>5J</w:t>
      </w:r>
      <w:r>
        <w:t>.</w:t>
      </w:r>
      <w:r>
        <w:tab/>
        <w:t>Manner of advertising prescribed</w:t>
      </w:r>
      <w:r>
        <w:rPr>
          <w:snapToGrid w:val="0"/>
        </w:rPr>
        <w:t xml:space="preserve"> (Act s. 57(2a))</w:t>
      </w:r>
      <w:bookmarkEnd w:id="52"/>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53" w:name="_Toc187935385"/>
      <w:r>
        <w:rPr>
          <w:rStyle w:val="CharSectno"/>
        </w:rPr>
        <w:lastRenderedPageBreak/>
        <w:t>5K</w:t>
      </w:r>
      <w:r>
        <w:t>.</w:t>
      </w:r>
      <w:r>
        <w:tab/>
        <w:t xml:space="preserve">Details of discharge prescribed </w:t>
      </w:r>
      <w:r>
        <w:rPr>
          <w:snapToGrid w:val="0"/>
        </w:rPr>
        <w:t>(Act s. 72(1))</w:t>
      </w:r>
      <w:bookmarkEnd w:id="53"/>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54" w:name="_Toc187935386"/>
      <w:r>
        <w:rPr>
          <w:rStyle w:val="CharSectno"/>
        </w:rPr>
        <w:t>5L</w:t>
      </w:r>
      <w:r>
        <w:t>.</w:t>
      </w:r>
      <w:r>
        <w:tab/>
        <w:t>Manner of notifying prescribed</w:t>
      </w:r>
      <w:r>
        <w:rPr>
          <w:snapToGrid w:val="0"/>
        </w:rPr>
        <w:t xml:space="preserve"> (Act s. 72)</w:t>
      </w:r>
      <w:bookmarkEnd w:id="54"/>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55" w:name="_Toc187935387"/>
      <w:r>
        <w:rPr>
          <w:rStyle w:val="CharSectno"/>
        </w:rPr>
        <w:lastRenderedPageBreak/>
        <w:t>5M</w:t>
      </w:r>
      <w:r>
        <w:t>.</w:t>
      </w:r>
      <w:r>
        <w:tab/>
        <w:t>Changes in information given to Department, occupier etc. to notify Department of</w:t>
      </w:r>
      <w:bookmarkEnd w:id="5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6" w:name="_Toc187935388"/>
      <w:r>
        <w:rPr>
          <w:rStyle w:val="CharSectno"/>
        </w:rPr>
        <w:t>5N</w:t>
      </w:r>
      <w:r>
        <w:t>.</w:t>
      </w:r>
      <w:r>
        <w:tab/>
        <w:t>Transitional provision (reduced fees)</w:t>
      </w:r>
      <w:bookmarkEnd w:id="56"/>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7" w:name="_Toc187935389"/>
      <w:r>
        <w:rPr>
          <w:rStyle w:val="CharSectno"/>
        </w:rPr>
        <w:t>5O</w:t>
      </w:r>
      <w:r>
        <w:t>.</w:t>
      </w:r>
      <w:r>
        <w:tab/>
        <w:t>Reduction, waiver, or refund of fees, CEO’s powers as to</w:t>
      </w:r>
      <w:bookmarkEnd w:id="57"/>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8" w:name="_Toc187931069"/>
      <w:bookmarkStart w:id="59" w:name="_Toc187931627"/>
      <w:bookmarkStart w:id="60" w:name="_Toc187935390"/>
      <w:r>
        <w:rPr>
          <w:rStyle w:val="CharPartNo"/>
        </w:rPr>
        <w:lastRenderedPageBreak/>
        <w:t>Part 3A</w:t>
      </w:r>
      <w:r>
        <w:rPr>
          <w:rStyle w:val="CharDivNo"/>
        </w:rPr>
        <w:t> </w:t>
      </w:r>
      <w:r>
        <w:t>—</w:t>
      </w:r>
      <w:r>
        <w:rPr>
          <w:rStyle w:val="CharDivText"/>
        </w:rPr>
        <w:t> </w:t>
      </w:r>
      <w:r>
        <w:rPr>
          <w:rStyle w:val="CharPartText"/>
        </w:rPr>
        <w:t>Use of mercury in manufacturing</w:t>
      </w:r>
      <w:bookmarkEnd w:id="58"/>
      <w:bookmarkEnd w:id="59"/>
      <w:bookmarkEnd w:id="60"/>
    </w:p>
    <w:p>
      <w:pPr>
        <w:pStyle w:val="Footnoteheading"/>
        <w:rPr>
          <w:snapToGrid w:val="0"/>
        </w:rPr>
      </w:pPr>
      <w:r>
        <w:rPr>
          <w:snapToGrid w:val="0"/>
        </w:rPr>
        <w:tab/>
        <w:t>[Heading inserted: SL 2021/190 r. 4.]</w:t>
      </w:r>
    </w:p>
    <w:p>
      <w:pPr>
        <w:pStyle w:val="Heading5"/>
      </w:pPr>
      <w:bookmarkStart w:id="61" w:name="_Toc187935391"/>
      <w:r>
        <w:rPr>
          <w:rStyle w:val="CharSectno"/>
        </w:rPr>
        <w:t>5P</w:t>
      </w:r>
      <w:r>
        <w:t>.</w:t>
      </w:r>
      <w:r>
        <w:tab/>
        <w:t>Terms used</w:t>
      </w:r>
      <w:bookmarkEnd w:id="61"/>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62" w:name="_Toc187935392"/>
      <w:r>
        <w:rPr>
          <w:rStyle w:val="CharSectno"/>
        </w:rPr>
        <w:lastRenderedPageBreak/>
        <w:t>5Q</w:t>
      </w:r>
      <w:r>
        <w:t>.</w:t>
      </w:r>
      <w:r>
        <w:tab/>
        <w:t>Offence to conduct a prohibited manufacturing process</w:t>
      </w:r>
      <w:bookmarkEnd w:id="62"/>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63" w:name="_Toc187931072"/>
      <w:bookmarkStart w:id="64" w:name="_Toc187931630"/>
      <w:bookmarkStart w:id="65" w:name="_Toc187935393"/>
      <w:r>
        <w:rPr>
          <w:rStyle w:val="CharPartNo"/>
        </w:rPr>
        <w:lastRenderedPageBreak/>
        <w:t>Part 4</w:t>
      </w:r>
      <w:r>
        <w:rPr>
          <w:rStyle w:val="CharDivNo"/>
        </w:rPr>
        <w:t> </w:t>
      </w:r>
      <w:r>
        <w:t>—</w:t>
      </w:r>
      <w:r>
        <w:rPr>
          <w:rStyle w:val="CharDivText"/>
        </w:rPr>
        <w:t> </w:t>
      </w:r>
      <w:r>
        <w:rPr>
          <w:rStyle w:val="CharPartText"/>
        </w:rPr>
        <w:t>Audible alarms</w:t>
      </w:r>
      <w:bookmarkEnd w:id="63"/>
      <w:bookmarkEnd w:id="64"/>
      <w:bookmarkEnd w:id="65"/>
    </w:p>
    <w:p>
      <w:pPr>
        <w:pStyle w:val="Footnoteheading"/>
        <w:rPr>
          <w:snapToGrid w:val="0"/>
        </w:rPr>
      </w:pPr>
      <w:r>
        <w:rPr>
          <w:snapToGrid w:val="0"/>
        </w:rPr>
        <w:tab/>
        <w:t>[Heading inserted: Gazette 13 Sep 1996 p. 4545.]</w:t>
      </w:r>
    </w:p>
    <w:p>
      <w:pPr>
        <w:pStyle w:val="Heading5"/>
        <w:rPr>
          <w:snapToGrid w:val="0"/>
        </w:rPr>
      </w:pPr>
      <w:bookmarkStart w:id="66" w:name="_Toc187935394"/>
      <w:r>
        <w:rPr>
          <w:rStyle w:val="CharSectno"/>
        </w:rPr>
        <w:t>6</w:t>
      </w:r>
      <w:r>
        <w:rPr>
          <w:snapToGrid w:val="0"/>
        </w:rPr>
        <w:t>.</w:t>
      </w:r>
      <w:r>
        <w:rPr>
          <w:snapToGrid w:val="0"/>
        </w:rPr>
        <w:tab/>
        <w:t>Period prescribed for audible alarms (Act s. 99(1)(a))</w:t>
      </w:r>
      <w:bookmarkEnd w:id="66"/>
    </w:p>
    <w:p>
      <w:pPr>
        <w:pStyle w:val="Subsection"/>
        <w:rPr>
          <w:snapToGrid w:val="0"/>
        </w:rPr>
      </w:pPr>
      <w:r>
        <w:rPr>
          <w:snapToGrid w:val="0"/>
        </w:rPr>
        <w:tab/>
      </w:r>
      <w:r>
        <w:rPr>
          <w:snapToGrid w:val="0"/>
        </w:rPr>
        <w:tab/>
        <w:t>For the purposes of section 99(1)(a), the prescribed period is 30 minutes.</w:t>
      </w:r>
    </w:p>
    <w:p>
      <w:pPr>
        <w:pStyle w:val="Heading2"/>
      </w:pPr>
      <w:bookmarkStart w:id="67" w:name="_Toc187931074"/>
      <w:bookmarkStart w:id="68" w:name="_Toc187931632"/>
      <w:bookmarkStart w:id="69" w:name="_Toc187935395"/>
      <w:r>
        <w:rPr>
          <w:rStyle w:val="CharPartNo"/>
        </w:rPr>
        <w:lastRenderedPageBreak/>
        <w:t>Part 5</w:t>
      </w:r>
      <w:r>
        <w:rPr>
          <w:rStyle w:val="CharDivNo"/>
        </w:rPr>
        <w:t> </w:t>
      </w:r>
      <w:r>
        <w:t>—</w:t>
      </w:r>
      <w:r>
        <w:rPr>
          <w:rStyle w:val="CharDivText"/>
        </w:rPr>
        <w:t> </w:t>
      </w:r>
      <w:r>
        <w:rPr>
          <w:rStyle w:val="CharPartText"/>
        </w:rPr>
        <w:t>Appeals</w:t>
      </w:r>
      <w:bookmarkEnd w:id="67"/>
      <w:bookmarkEnd w:id="68"/>
      <w:bookmarkEnd w:id="69"/>
    </w:p>
    <w:p>
      <w:pPr>
        <w:pStyle w:val="Footnoteheading"/>
        <w:rPr>
          <w:snapToGrid w:val="0"/>
        </w:rPr>
      </w:pPr>
      <w:r>
        <w:rPr>
          <w:snapToGrid w:val="0"/>
        </w:rPr>
        <w:tab/>
        <w:t>[Heading inserted: Gazette 13 Sep 1996 p. 4545.]</w:t>
      </w:r>
    </w:p>
    <w:p>
      <w:pPr>
        <w:pStyle w:val="Heading5"/>
        <w:spacing w:before="240"/>
        <w:rPr>
          <w:snapToGrid w:val="0"/>
        </w:rPr>
      </w:pPr>
      <w:bookmarkStart w:id="70" w:name="_Toc187935396"/>
      <w:r>
        <w:rPr>
          <w:rStyle w:val="CharSectno"/>
        </w:rPr>
        <w:t>7</w:t>
      </w:r>
      <w:r>
        <w:rPr>
          <w:snapToGrid w:val="0"/>
        </w:rPr>
        <w:t>.</w:t>
      </w:r>
      <w:r>
        <w:rPr>
          <w:snapToGrid w:val="0"/>
        </w:rPr>
        <w:tab/>
        <w:t>Commencing appeals under Act Part VII, manner of</w:t>
      </w:r>
      <w:bookmarkEnd w:id="70"/>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71" w:name="_Toc187935397"/>
      <w:r>
        <w:rPr>
          <w:rStyle w:val="CharSectno"/>
        </w:rPr>
        <w:t>8</w:t>
      </w:r>
      <w:r>
        <w:rPr>
          <w:snapToGrid w:val="0"/>
        </w:rPr>
        <w:t>.</w:t>
      </w:r>
      <w:r>
        <w:rPr>
          <w:snapToGrid w:val="0"/>
        </w:rPr>
        <w:tab/>
        <w:t>Decisions on appeals, Minister to publish</w:t>
      </w:r>
      <w:bookmarkEnd w:id="71"/>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72" w:name="_Toc187935398"/>
      <w:r>
        <w:rPr>
          <w:rStyle w:val="CharSectno"/>
        </w:rPr>
        <w:t>9</w:t>
      </w:r>
      <w:r>
        <w:rPr>
          <w:snapToGrid w:val="0"/>
        </w:rPr>
        <w:t>.</w:t>
      </w:r>
      <w:r>
        <w:rPr>
          <w:snapToGrid w:val="0"/>
        </w:rPr>
        <w:tab/>
        <w:t>Decisions on appeals, persons to be notified of</w:t>
      </w:r>
      <w:bookmarkEnd w:id="72"/>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73" w:name="_Toc187931078"/>
      <w:bookmarkStart w:id="74" w:name="_Toc187931636"/>
      <w:bookmarkStart w:id="75" w:name="_Toc187935399"/>
      <w:r>
        <w:rPr>
          <w:rStyle w:val="CharPartNo"/>
        </w:rPr>
        <w:lastRenderedPageBreak/>
        <w:t>Part 6</w:t>
      </w:r>
      <w:r>
        <w:rPr>
          <w:rStyle w:val="CharDivNo"/>
        </w:rPr>
        <w:t> </w:t>
      </w:r>
      <w:r>
        <w:t>—</w:t>
      </w:r>
      <w:r>
        <w:rPr>
          <w:rStyle w:val="CharDivText"/>
        </w:rPr>
        <w:t> </w:t>
      </w:r>
      <w:r>
        <w:rPr>
          <w:rStyle w:val="CharPartText"/>
        </w:rPr>
        <w:t>Tyres</w:t>
      </w:r>
      <w:bookmarkEnd w:id="73"/>
      <w:bookmarkEnd w:id="74"/>
      <w:bookmarkEnd w:id="75"/>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76" w:name="_Toc187935400"/>
      <w:r>
        <w:rPr>
          <w:rStyle w:val="CharSectno"/>
        </w:rPr>
        <w:t>11</w:t>
      </w:r>
      <w:r>
        <w:rPr>
          <w:snapToGrid w:val="0"/>
        </w:rPr>
        <w:t>.</w:t>
      </w:r>
      <w:r>
        <w:rPr>
          <w:snapToGrid w:val="0"/>
        </w:rPr>
        <w:tab/>
        <w:t>Terms used; calculating quantity of used tyres</w:t>
      </w:r>
      <w:bookmarkEnd w:id="7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77" w:name="_Toc187935401"/>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7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78" w:name="_Toc187935402"/>
      <w:r>
        <w:rPr>
          <w:rStyle w:val="CharSectno"/>
        </w:rPr>
        <w:t>13</w:t>
      </w:r>
      <w:r>
        <w:rPr>
          <w:snapToGrid w:val="0"/>
        </w:rPr>
        <w:t>.</w:t>
      </w:r>
      <w:r>
        <w:rPr>
          <w:snapToGrid w:val="0"/>
        </w:rPr>
        <w:tab/>
        <w:t>Transport of used tyres for reward etc., when permitted</w:t>
      </w:r>
      <w:bookmarkEnd w:id="78"/>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79" w:name="_Toc187935403"/>
      <w:r>
        <w:rPr>
          <w:rStyle w:val="CharSectno"/>
        </w:rPr>
        <w:t>13A</w:t>
      </w:r>
      <w:r>
        <w:rPr>
          <w:snapToGrid w:val="0"/>
        </w:rPr>
        <w:t>.</w:t>
      </w:r>
      <w:r>
        <w:rPr>
          <w:snapToGrid w:val="0"/>
        </w:rPr>
        <w:tab/>
        <w:t>Tyre retailer not to damage used tyres</w:t>
      </w:r>
      <w:bookmarkEnd w:id="7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80" w:name="_Toc187935404"/>
      <w:r>
        <w:rPr>
          <w:rStyle w:val="CharSectno"/>
        </w:rPr>
        <w:t>14</w:t>
      </w:r>
      <w:r>
        <w:rPr>
          <w:snapToGrid w:val="0"/>
        </w:rPr>
        <w:t>.</w:t>
      </w:r>
      <w:r>
        <w:rPr>
          <w:snapToGrid w:val="0"/>
        </w:rPr>
        <w:tab/>
        <w:t>Disposal of tyres, permitted means for</w:t>
      </w:r>
      <w:bookmarkEnd w:id="80"/>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81" w:name="_Toc187935405"/>
      <w:r>
        <w:rPr>
          <w:rStyle w:val="CharSectno"/>
        </w:rPr>
        <w:t>15</w:t>
      </w:r>
      <w:r>
        <w:rPr>
          <w:snapToGrid w:val="0"/>
        </w:rPr>
        <w:t>.</w:t>
      </w:r>
      <w:r>
        <w:rPr>
          <w:snapToGrid w:val="0"/>
        </w:rPr>
        <w:tab/>
        <w:t>Used tyres, storage of on licensed premises</w:t>
      </w:r>
      <w:bookmarkEnd w:id="81"/>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82" w:name="_Toc187931085"/>
      <w:bookmarkStart w:id="83" w:name="_Toc187931643"/>
      <w:bookmarkStart w:id="84" w:name="_Toc187935406"/>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82"/>
      <w:bookmarkEnd w:id="83"/>
      <w:bookmarkEnd w:id="84"/>
    </w:p>
    <w:p>
      <w:pPr>
        <w:pStyle w:val="Footnoteheading"/>
        <w:rPr>
          <w:snapToGrid w:val="0"/>
        </w:rPr>
      </w:pPr>
      <w:r>
        <w:rPr>
          <w:snapToGrid w:val="0"/>
        </w:rPr>
        <w:tab/>
        <w:t>[Heading inserted: Gazette 13 Sep 1996 p. 4545.]</w:t>
      </w:r>
    </w:p>
    <w:p>
      <w:pPr>
        <w:pStyle w:val="Heading5"/>
        <w:rPr>
          <w:snapToGrid w:val="0"/>
        </w:rPr>
      </w:pPr>
      <w:bookmarkStart w:id="85" w:name="_Toc187935407"/>
      <w:r>
        <w:rPr>
          <w:rStyle w:val="CharSectno"/>
        </w:rPr>
        <w:t>16</w:t>
      </w:r>
      <w:r>
        <w:rPr>
          <w:snapToGrid w:val="0"/>
        </w:rPr>
        <w:t>.</w:t>
      </w:r>
      <w:r>
        <w:rPr>
          <w:snapToGrid w:val="0"/>
        </w:rPr>
        <w:tab/>
        <w:t>Organotin anti</w:t>
      </w:r>
      <w:r>
        <w:rPr>
          <w:snapToGrid w:val="0"/>
        </w:rPr>
        <w:noBreakHyphen/>
        <w:t>fouling paint, restrictions on use, sale etc. of</w:t>
      </w:r>
      <w:bookmarkEnd w:id="85"/>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86" w:name="_Toc187931087"/>
      <w:bookmarkStart w:id="87" w:name="_Toc187931645"/>
      <w:bookmarkStart w:id="88" w:name="_Toc187935408"/>
      <w:r>
        <w:rPr>
          <w:rStyle w:val="CharPartNo"/>
        </w:rPr>
        <w:lastRenderedPageBreak/>
        <w:t>Part 7A</w:t>
      </w:r>
      <w:r>
        <w:t> — </w:t>
      </w:r>
      <w:r>
        <w:rPr>
          <w:rStyle w:val="CharPartText"/>
        </w:rPr>
        <w:t>Burning on development sites</w:t>
      </w:r>
      <w:bookmarkEnd w:id="86"/>
      <w:bookmarkEnd w:id="87"/>
      <w:bookmarkEnd w:id="88"/>
    </w:p>
    <w:p>
      <w:pPr>
        <w:pStyle w:val="Footnoteheading"/>
      </w:pPr>
      <w:r>
        <w:tab/>
        <w:t>[Heading inserted: Gazette 19 Dec 2000 p. 7283.]</w:t>
      </w:r>
    </w:p>
    <w:p>
      <w:pPr>
        <w:pStyle w:val="Heading5"/>
      </w:pPr>
      <w:bookmarkStart w:id="89" w:name="_Toc187935409"/>
      <w:r>
        <w:rPr>
          <w:rStyle w:val="CharSectno"/>
        </w:rPr>
        <w:t>16A</w:t>
      </w:r>
      <w:r>
        <w:t>.</w:t>
      </w:r>
      <w:r>
        <w:tab/>
        <w:t>Terms used</w:t>
      </w:r>
      <w:bookmarkEnd w:id="89"/>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90" w:name="_Toc187935410"/>
      <w:r>
        <w:rPr>
          <w:rStyle w:val="CharSectno"/>
        </w:rPr>
        <w:t>16B</w:t>
      </w:r>
      <w:r>
        <w:t>.</w:t>
      </w:r>
      <w:r>
        <w:tab/>
        <w:t>Burning vegetation etc. on development sites in Sch. 5A areas restricted</w:t>
      </w:r>
      <w:bookmarkEnd w:id="90"/>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91" w:name="_Toc187931090"/>
      <w:bookmarkStart w:id="92" w:name="_Toc187931648"/>
      <w:bookmarkStart w:id="93" w:name="_Toc187935411"/>
      <w:r>
        <w:rPr>
          <w:rStyle w:val="CharPartNo"/>
        </w:rPr>
        <w:lastRenderedPageBreak/>
        <w:t>Part 8</w:t>
      </w:r>
      <w:r>
        <w:t xml:space="preserve"> — </w:t>
      </w:r>
      <w:r>
        <w:rPr>
          <w:rStyle w:val="CharPartText"/>
        </w:rPr>
        <w:t>Monitoring</w:t>
      </w:r>
      <w:bookmarkEnd w:id="91"/>
      <w:bookmarkEnd w:id="92"/>
      <w:bookmarkEnd w:id="93"/>
    </w:p>
    <w:p>
      <w:pPr>
        <w:pStyle w:val="Footnoteheading"/>
        <w:spacing w:before="80"/>
        <w:rPr>
          <w:snapToGrid w:val="0"/>
        </w:rPr>
      </w:pPr>
      <w:r>
        <w:rPr>
          <w:snapToGrid w:val="0"/>
        </w:rPr>
        <w:tab/>
        <w:t>[Heading inserted: Gazette 5 Jan 2001 p. 115.]</w:t>
      </w:r>
    </w:p>
    <w:p>
      <w:pPr>
        <w:pStyle w:val="Heading5"/>
        <w:spacing w:before="180"/>
      </w:pPr>
      <w:bookmarkStart w:id="94" w:name="_Toc187935412"/>
      <w:r>
        <w:rPr>
          <w:rStyle w:val="CharSectno"/>
        </w:rPr>
        <w:t>17</w:t>
      </w:r>
      <w:r>
        <w:t>.</w:t>
      </w:r>
      <w:r>
        <w:tab/>
        <w:t>Terms used</w:t>
      </w:r>
      <w:bookmarkEnd w:id="94"/>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95" w:name="_Toc187935413"/>
      <w:r>
        <w:rPr>
          <w:rStyle w:val="CharSectno"/>
        </w:rPr>
        <w:t>18</w:t>
      </w:r>
      <w:r>
        <w:t>.</w:t>
      </w:r>
      <w:r>
        <w:tab/>
        <w:t>Conditions prescribed (Act s. 62(2))</w:t>
      </w:r>
      <w:bookmarkEnd w:id="95"/>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96" w:name="_Toc187935414"/>
      <w:r>
        <w:rPr>
          <w:rStyle w:val="CharSectno"/>
        </w:rPr>
        <w:lastRenderedPageBreak/>
        <w:t>19</w:t>
      </w:r>
      <w:r>
        <w:t>.</w:t>
      </w:r>
      <w:r>
        <w:tab/>
        <w:t>Approved monitoring equipment, to be used in specified monitoring programmes</w:t>
      </w:r>
      <w:bookmarkEnd w:id="96"/>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7"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98" w:name="_Toc187935415"/>
      <w:r>
        <w:rPr>
          <w:rStyle w:val="CharSectno"/>
        </w:rPr>
        <w:t>20</w:t>
      </w:r>
      <w:r>
        <w:t>.</w:t>
      </w:r>
      <w:r>
        <w:tab/>
        <w:t>Approved monitoring equipment, duty to ensure accuracy of</w:t>
      </w:r>
      <w:bookmarkEnd w:id="9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99"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00" w:name="_Toc187935416"/>
      <w:r>
        <w:rPr>
          <w:rStyle w:val="CharSectno"/>
        </w:rPr>
        <w:lastRenderedPageBreak/>
        <w:t>20A</w:t>
      </w:r>
      <w:r>
        <w:t>.</w:t>
      </w:r>
      <w:r>
        <w:tab/>
        <w:t>Approved monitoring equipment, duty to comply with conditions of approval of</w:t>
      </w:r>
      <w:bookmarkEnd w:id="100"/>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01" w:name="_Toc187935417"/>
      <w:r>
        <w:rPr>
          <w:rStyle w:val="CharSectno"/>
        </w:rPr>
        <w:t>20B</w:t>
      </w:r>
      <w:r>
        <w:t>.</w:t>
      </w:r>
      <w:r>
        <w:tab/>
        <w:t>Approved monitoring equipment, duty to report results of to CEO</w:t>
      </w:r>
      <w:bookmarkEnd w:id="10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02" w:name="_Toc187935418"/>
      <w:r>
        <w:rPr>
          <w:rStyle w:val="CharSectno"/>
        </w:rPr>
        <w:t>20C</w:t>
      </w:r>
      <w:r>
        <w:t>.</w:t>
      </w:r>
      <w:r>
        <w:tab/>
        <w:t>Approved monitoring equipment, presumption of accuracy of</w:t>
      </w:r>
      <w:bookmarkEnd w:id="102"/>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03" w:name="_Toc187935419"/>
      <w:r>
        <w:rPr>
          <w:rStyle w:val="CharSectno"/>
        </w:rPr>
        <w:t>20D</w:t>
      </w:r>
      <w:r>
        <w:t>.</w:t>
      </w:r>
      <w:r>
        <w:tab/>
        <w:t>Report of specified monitoring programme, presumption of accuracy of measurement in</w:t>
      </w:r>
      <w:bookmarkEnd w:id="103"/>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04" w:name="_Toc187935420"/>
      <w:r>
        <w:rPr>
          <w:rStyle w:val="CharSectno"/>
        </w:rPr>
        <w:lastRenderedPageBreak/>
        <w:t>20E</w:t>
      </w:r>
      <w:r>
        <w:t>.</w:t>
      </w:r>
      <w:r>
        <w:tab/>
        <w:t>Inaccurate measurement in r. 20B report, duty to notify CEO of</w:t>
      </w:r>
      <w:bookmarkEnd w:id="10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05" w:name="_Toc187935421"/>
      <w:r>
        <w:rPr>
          <w:rStyle w:val="CharSectno"/>
        </w:rPr>
        <w:t>20F</w:t>
      </w:r>
      <w:r>
        <w:t>.</w:t>
      </w:r>
      <w:r>
        <w:tab/>
        <w:t>Monitoring equipment, approval of</w:t>
      </w:r>
      <w:bookmarkEnd w:id="10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06" w:name="_Toc187935422"/>
      <w:r>
        <w:rPr>
          <w:rStyle w:val="CharSectno"/>
        </w:rPr>
        <w:lastRenderedPageBreak/>
        <w:t>20G</w:t>
      </w:r>
      <w:r>
        <w:t>.</w:t>
      </w:r>
      <w:r>
        <w:tab/>
        <w:t>Monitoring equipment, conditions of approval of</w:t>
      </w:r>
      <w:bookmarkEnd w:id="106"/>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07" w:name="_Toc187935423"/>
      <w:r>
        <w:rPr>
          <w:rStyle w:val="CharSectno"/>
        </w:rPr>
        <w:t>20H</w:t>
      </w:r>
      <w:r>
        <w:t>.</w:t>
      </w:r>
      <w:r>
        <w:tab/>
        <w:t>Approval of monitoring equipment, revoking</w:t>
      </w:r>
      <w:bookmarkEnd w:id="107"/>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08" w:name="_Toc187935424"/>
      <w:r>
        <w:rPr>
          <w:rStyle w:val="CharSectno"/>
        </w:rPr>
        <w:t>20I</w:t>
      </w:r>
      <w:r>
        <w:t>.</w:t>
      </w:r>
      <w:r>
        <w:tab/>
        <w:t>Appeal against r. 20F, 20G or 20H decision</w:t>
      </w:r>
      <w:bookmarkEnd w:id="108"/>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 xml:space="preserve">An appeal lodged under subregulation (1) is to be treated as if it were an appeal under section 102 of the Act, and for that </w:t>
      </w:r>
      <w:r>
        <w:lastRenderedPageBreak/>
        <w:t>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09" w:name="_Toc187935425"/>
      <w:r>
        <w:rPr>
          <w:rStyle w:val="CharSectno"/>
        </w:rPr>
        <w:t>20J</w:t>
      </w:r>
      <w:r>
        <w:t>.</w:t>
      </w:r>
      <w:r>
        <w:tab/>
        <w:t>Revocation of approval, use of monitoring equipment pending determination of appeal against</w:t>
      </w:r>
      <w:bookmarkEnd w:id="109"/>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10" w:name="_Toc187935426"/>
      <w:r>
        <w:rPr>
          <w:rStyle w:val="CharSectno"/>
        </w:rPr>
        <w:lastRenderedPageBreak/>
        <w:t>20K</w:t>
      </w:r>
      <w:r>
        <w:t>.</w:t>
      </w:r>
      <w:r>
        <w:tab/>
        <w:t>CEO’s signature, judicial notice of</w:t>
      </w:r>
      <w:bookmarkEnd w:id="11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11" w:name="_Toc187935427"/>
      <w:r>
        <w:rPr>
          <w:rStyle w:val="CharSectno"/>
        </w:rPr>
        <w:t>20KA</w:t>
      </w:r>
      <w:r>
        <w:t>.</w:t>
      </w:r>
      <w:r>
        <w:tab/>
        <w:t>Guidelines for performance of CEO’s functions, Minister may make etc.</w:t>
      </w:r>
      <w:bookmarkEnd w:id="111"/>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12" w:name="_Toc187935428"/>
      <w:r>
        <w:rPr>
          <w:rStyle w:val="CharSectno"/>
        </w:rPr>
        <w:t>20L</w:t>
      </w:r>
      <w:r>
        <w:t>.</w:t>
      </w:r>
      <w:r>
        <w:tab/>
        <w:t>Review of this Part</w:t>
      </w:r>
      <w:bookmarkEnd w:id="112"/>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lastRenderedPageBreak/>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13" w:name="_Toc187931108"/>
      <w:bookmarkStart w:id="114" w:name="_Toc187931666"/>
      <w:bookmarkStart w:id="115" w:name="_Toc187935429"/>
      <w:r>
        <w:rPr>
          <w:rStyle w:val="CharPartNo"/>
        </w:rPr>
        <w:lastRenderedPageBreak/>
        <w:t>Part 9</w:t>
      </w:r>
      <w:r>
        <w:rPr>
          <w:rStyle w:val="CharDivNo"/>
        </w:rPr>
        <w:t> </w:t>
      </w:r>
      <w:r>
        <w:t>—</w:t>
      </w:r>
      <w:r>
        <w:rPr>
          <w:rStyle w:val="CharDivText"/>
        </w:rPr>
        <w:t> </w:t>
      </w:r>
      <w:r>
        <w:rPr>
          <w:rStyle w:val="CharPartText"/>
        </w:rPr>
        <w:t>Landfill levy</w:t>
      </w:r>
      <w:bookmarkEnd w:id="113"/>
      <w:bookmarkEnd w:id="114"/>
      <w:bookmarkEnd w:id="115"/>
    </w:p>
    <w:p>
      <w:pPr>
        <w:pStyle w:val="Footnoteheading"/>
        <w:rPr>
          <w:snapToGrid w:val="0"/>
        </w:rPr>
      </w:pPr>
      <w:r>
        <w:rPr>
          <w:snapToGrid w:val="0"/>
        </w:rPr>
        <w:tab/>
        <w:t>[Heading inserted: Gazette 26 Jun 1998 p. 3370.]</w:t>
      </w:r>
    </w:p>
    <w:p>
      <w:pPr>
        <w:pStyle w:val="Heading5"/>
        <w:rPr>
          <w:snapToGrid w:val="0"/>
        </w:rPr>
      </w:pPr>
      <w:bookmarkStart w:id="116" w:name="_Toc187935430"/>
      <w:r>
        <w:rPr>
          <w:rStyle w:val="CharSectno"/>
        </w:rPr>
        <w:t>21</w:t>
      </w:r>
      <w:r>
        <w:rPr>
          <w:snapToGrid w:val="0"/>
        </w:rPr>
        <w:t>.</w:t>
      </w:r>
      <w:r>
        <w:rPr>
          <w:snapToGrid w:val="0"/>
        </w:rPr>
        <w:tab/>
        <w:t>Terms used</w:t>
      </w:r>
      <w:bookmarkEnd w:id="116"/>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17" w:name="_Toc187935431"/>
      <w:r>
        <w:rPr>
          <w:rStyle w:val="CharSectno"/>
        </w:rPr>
        <w:t>22</w:t>
      </w:r>
      <w:r>
        <w:rPr>
          <w:snapToGrid w:val="0"/>
        </w:rPr>
        <w:t xml:space="preserve">. </w:t>
      </w:r>
      <w:r>
        <w:rPr>
          <w:snapToGrid w:val="0"/>
        </w:rPr>
        <w:tab/>
        <w:t>Application of this Part</w:t>
      </w:r>
      <w:bookmarkEnd w:id="117"/>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18" w:name="_Toc187935432"/>
      <w:r>
        <w:rPr>
          <w:rStyle w:val="CharSectno"/>
        </w:rPr>
        <w:lastRenderedPageBreak/>
        <w:t>23</w:t>
      </w:r>
      <w:r>
        <w:rPr>
          <w:snapToGrid w:val="0"/>
        </w:rPr>
        <w:t>.</w:t>
      </w:r>
      <w:r>
        <w:rPr>
          <w:snapToGrid w:val="0"/>
        </w:rPr>
        <w:tab/>
        <w:t>Exemptions from this Part; refunds etc. of levy</w:t>
      </w:r>
      <w:bookmarkEnd w:id="118"/>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19" w:name="_Toc187935433"/>
      <w:r>
        <w:rPr>
          <w:rStyle w:val="CharSectno"/>
        </w:rPr>
        <w:t>24</w:t>
      </w:r>
      <w:r>
        <w:rPr>
          <w:snapToGrid w:val="0"/>
        </w:rPr>
        <w:t>.</w:t>
      </w:r>
      <w:r>
        <w:rPr>
          <w:snapToGrid w:val="0"/>
        </w:rPr>
        <w:tab/>
        <w:t>Financial assurance, CEO may require from licensee with r. 23(1)(b) exemption</w:t>
      </w:r>
      <w:bookmarkEnd w:id="11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lastRenderedPageBreak/>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20" w:name="_Toc187935434"/>
      <w:r>
        <w:rPr>
          <w:rStyle w:val="CharSectno"/>
        </w:rPr>
        <w:lastRenderedPageBreak/>
        <w:t>25</w:t>
      </w:r>
      <w:r>
        <w:rPr>
          <w:snapToGrid w:val="0"/>
        </w:rPr>
        <w:t>.</w:t>
      </w:r>
      <w:r>
        <w:rPr>
          <w:snapToGrid w:val="0"/>
        </w:rPr>
        <w:tab/>
        <w:t>Waste received at category 64 or 65 licensed landfill, calculating amount of</w:t>
      </w:r>
      <w:bookmarkEnd w:id="120"/>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21" w:name="_Toc187935435"/>
      <w:r>
        <w:rPr>
          <w:rStyle w:val="CharSectno"/>
        </w:rPr>
        <w:t>26</w:t>
      </w:r>
      <w:r>
        <w:t>.</w:t>
      </w:r>
      <w:r>
        <w:tab/>
        <w:t>Waste disposed of in category 63 licensed landfill, calculating amount of</w:t>
      </w:r>
      <w:bookmarkEnd w:id="121"/>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lastRenderedPageBreak/>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w:t>
      </w:r>
      <w:r>
        <w:lastRenderedPageBreak/>
        <w:t>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22" w:name="_Toc187935436"/>
      <w:r>
        <w:rPr>
          <w:rStyle w:val="CharSectno"/>
        </w:rPr>
        <w:t>26A</w:t>
      </w:r>
      <w:r>
        <w:t>.</w:t>
      </w:r>
      <w:r>
        <w:tab/>
        <w:t>Breach of r. 26, CEO may estimate amount in case of etc.</w:t>
      </w:r>
      <w:bookmarkEnd w:id="122"/>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23" w:name="_Toc187935437"/>
      <w:r>
        <w:rPr>
          <w:rStyle w:val="CharSectno"/>
        </w:rPr>
        <w:t>27</w:t>
      </w:r>
      <w:r>
        <w:t>.</w:t>
      </w:r>
      <w:r>
        <w:tab/>
        <w:t>Levy, determining amount of</w:t>
      </w:r>
      <w:bookmarkEnd w:id="123"/>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24" w:name="_Toc187935438"/>
      <w:r>
        <w:rPr>
          <w:rStyle w:val="CharSectno"/>
        </w:rPr>
        <w:t>28</w:t>
      </w:r>
      <w:r>
        <w:rPr>
          <w:snapToGrid w:val="0"/>
        </w:rPr>
        <w:t>.</w:t>
      </w:r>
      <w:r>
        <w:rPr>
          <w:snapToGrid w:val="0"/>
        </w:rPr>
        <w:tab/>
        <w:t>Financial assurance, licensees to pay</w:t>
      </w:r>
      <w:bookmarkEnd w:id="124"/>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lastRenderedPageBreak/>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25" w:name="_Toc187935439"/>
      <w:r>
        <w:rPr>
          <w:rStyle w:val="CharSectno"/>
        </w:rPr>
        <w:t>29</w:t>
      </w:r>
      <w:r>
        <w:rPr>
          <w:snapToGrid w:val="0"/>
        </w:rPr>
        <w:t>.</w:t>
      </w:r>
      <w:r>
        <w:rPr>
          <w:snapToGrid w:val="0"/>
        </w:rPr>
        <w:tab/>
        <w:t>Records of waste received, licensees’ duties as to</w:t>
      </w:r>
      <w:bookmarkEnd w:id="125"/>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lastRenderedPageBreak/>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26" w:name="_Toc187935440"/>
      <w:r>
        <w:rPr>
          <w:rStyle w:val="CharSectno"/>
        </w:rPr>
        <w:t>30</w:t>
      </w:r>
      <w:r>
        <w:rPr>
          <w:snapToGrid w:val="0"/>
        </w:rPr>
        <w:t>.</w:t>
      </w:r>
      <w:r>
        <w:rPr>
          <w:snapToGrid w:val="0"/>
        </w:rPr>
        <w:tab/>
        <w:t>Levy, payment of; returns to be lodged</w:t>
      </w:r>
      <w:bookmarkEnd w:id="126"/>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27" w:name="_Toc187935441"/>
      <w:r>
        <w:rPr>
          <w:rStyle w:val="CharSectno"/>
        </w:rPr>
        <w:t>31</w:t>
      </w:r>
      <w:r>
        <w:rPr>
          <w:snapToGrid w:val="0"/>
        </w:rPr>
        <w:t>.</w:t>
      </w:r>
      <w:r>
        <w:rPr>
          <w:snapToGrid w:val="0"/>
        </w:rPr>
        <w:tab/>
        <w:t>Audits, CEO’s powers to direct etc.</w:t>
      </w:r>
      <w:bookmarkEnd w:id="127"/>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lastRenderedPageBreak/>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28" w:name="_Toc187935442"/>
      <w:r>
        <w:rPr>
          <w:rStyle w:val="CharSectno"/>
        </w:rPr>
        <w:t>32</w:t>
      </w:r>
      <w:r>
        <w:rPr>
          <w:snapToGrid w:val="0"/>
        </w:rPr>
        <w:t>.</w:t>
      </w:r>
      <w:r>
        <w:rPr>
          <w:snapToGrid w:val="0"/>
        </w:rPr>
        <w:tab/>
        <w:t>CEO’s decisions, review of and appeal against</w:t>
      </w:r>
      <w:bookmarkEnd w:id="128"/>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 xml:space="preserve">If the applicant is dissatisfied with a decision under subregulation (2), the applicant may, within 14 days of notice of </w:t>
      </w:r>
      <w:r>
        <w:rPr>
          <w:snapToGrid w:val="0"/>
        </w:rPr>
        <w:lastRenderedPageBreak/>
        <w:t>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29" w:name="_Toc187935443"/>
      <w:r>
        <w:rPr>
          <w:rStyle w:val="CharSectno"/>
        </w:rPr>
        <w:t>33</w:t>
      </w:r>
      <w:r>
        <w:t>.</w:t>
      </w:r>
      <w:r>
        <w:tab/>
        <w:t>Payment of levies is condition of licence</w:t>
      </w:r>
      <w:bookmarkEnd w:id="129"/>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30" w:name="_Toc187931123"/>
      <w:bookmarkStart w:id="131" w:name="_Toc187931681"/>
      <w:bookmarkStart w:id="132" w:name="_Toc187935444"/>
      <w:r>
        <w:rPr>
          <w:rStyle w:val="CharPartNo"/>
        </w:rPr>
        <w:lastRenderedPageBreak/>
        <w:t>Part 9A</w:t>
      </w:r>
      <w:r>
        <w:t> — </w:t>
      </w:r>
      <w:r>
        <w:rPr>
          <w:rStyle w:val="CharPartText"/>
        </w:rPr>
        <w:t>Prescribed classes of relevant schemes</w:t>
      </w:r>
      <w:bookmarkEnd w:id="130"/>
      <w:bookmarkEnd w:id="131"/>
      <w:bookmarkEnd w:id="132"/>
    </w:p>
    <w:p>
      <w:pPr>
        <w:pStyle w:val="Footnoteheading"/>
      </w:pPr>
      <w:r>
        <w:rPr>
          <w:snapToGrid w:val="0"/>
        </w:rPr>
        <w:tab/>
        <w:t>[Heading inserted: SL 2024/4 r. 4.]</w:t>
      </w:r>
    </w:p>
    <w:p>
      <w:pPr>
        <w:pStyle w:val="Heading5"/>
      </w:pPr>
      <w:bookmarkStart w:id="133" w:name="_Toc187935445"/>
      <w:r>
        <w:rPr>
          <w:rStyle w:val="CharSectno"/>
        </w:rPr>
        <w:t>33A</w:t>
      </w:r>
      <w:r>
        <w:t>.</w:t>
      </w:r>
      <w:r>
        <w:tab/>
        <w:t>Terms used</w:t>
      </w:r>
      <w:bookmarkEnd w:id="133"/>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r>
        <w:tab/>
        <w:t>[Regulation 33A inserted: SL 2024/4 r. 4.]</w:t>
      </w:r>
    </w:p>
    <w:p>
      <w:pPr>
        <w:pStyle w:val="Heading5"/>
      </w:pPr>
      <w:bookmarkStart w:id="134" w:name="_Toc187935446"/>
      <w:r>
        <w:rPr>
          <w:rStyle w:val="CharSectno"/>
        </w:rPr>
        <w:t>33B</w:t>
      </w:r>
      <w:r>
        <w:t>.</w:t>
      </w:r>
      <w:r>
        <w:tab/>
        <w:t>Prescribed classes of amendments to region planning schemes (Act s. 48AAA(2))</w:t>
      </w:r>
      <w:bookmarkEnd w:id="134"/>
    </w:p>
    <w:p>
      <w:pPr>
        <w:pStyle w:val="Subsection"/>
      </w:pPr>
      <w:r>
        <w:tab/>
        <w:t>(1)</w:t>
      </w:r>
      <w:r>
        <w:tab/>
        <w:t xml:space="preserve">In this regulation — </w:t>
      </w:r>
    </w:p>
    <w:p>
      <w:pPr>
        <w:pStyle w:val="Defstart"/>
      </w:pPr>
      <w:r>
        <w:tab/>
      </w:r>
      <w:r>
        <w:rPr>
          <w:rStyle w:val="CharDefText"/>
        </w:rPr>
        <w:t>Bush Forever area</w:t>
      </w:r>
      <w:r>
        <w:t xml:space="preserve"> means land identified as a Bush Forever area in accordance with the Metropolitan Region Scheme;</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pPr>
      <w:r>
        <w:tab/>
        <w:t>(b)</w:t>
      </w:r>
      <w:r>
        <w:tab/>
      </w:r>
      <w:r>
        <w:rPr>
          <w:rFonts w:cstheme="minorHAnsi"/>
        </w:rPr>
        <w:t xml:space="preserve">an amendment </w:t>
      </w:r>
      <w:r>
        <w:t>to correct an error if the error is in, or otherwise relates to, a map, plan or diagram included in the scheme;</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lastRenderedPageBreak/>
        <w:tab/>
        <w:t>(ii)</w:t>
      </w:r>
      <w:r>
        <w:tab/>
        <w:t>regional open space;</w:t>
      </w:r>
    </w:p>
    <w:p>
      <w:pPr>
        <w:pStyle w:val="Indenta"/>
      </w:pPr>
      <w:r>
        <w:tab/>
        <w:t>(ca)</w:t>
      </w:r>
      <w:r>
        <w:tab/>
        <w:t>an amendment to add land to a Bush Forever area;</w:t>
      </w:r>
    </w:p>
    <w:p>
      <w:pPr>
        <w:pStyle w:val="Indenta"/>
      </w:pPr>
      <w:r>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p>
    <w:p>
      <w:pPr>
        <w:pStyle w:val="Footnotesection"/>
      </w:pPr>
      <w:r>
        <w:lastRenderedPageBreak/>
        <w:tab/>
        <w:t>[Regulation 33B inserted: SL 2024/4 r. 4; amended: SL 2024/288 r. 4.]</w:t>
      </w:r>
    </w:p>
    <w:p>
      <w:pPr>
        <w:pStyle w:val="Heading5"/>
        <w:keepNext w:val="0"/>
      </w:pPr>
      <w:bookmarkStart w:id="135" w:name="_Toc187935447"/>
      <w:r>
        <w:rPr>
          <w:rStyle w:val="CharSectno"/>
        </w:rPr>
        <w:t>33C</w:t>
      </w:r>
      <w:r>
        <w:t>.</w:t>
      </w:r>
      <w:r>
        <w:tab/>
        <w:t>Prescribed classes of amendments to local planning schemes (Act s. 48AAA(2))</w:t>
      </w:r>
      <w:bookmarkEnd w:id="135"/>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w:t>
      </w:r>
      <w:r>
        <w:t xml:space="preserve"> has the meaning given in the </w:t>
      </w:r>
      <w:r>
        <w:rPr>
          <w:i/>
          <w:iCs/>
        </w:rPr>
        <w:t>Planning and Development Act 2005</w:t>
      </w:r>
      <w:r>
        <w:t xml:space="preserve"> section 4(1);</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w:t>
      </w:r>
      <w:r>
        <w:t>clause 1.</w:t>
      </w:r>
    </w:p>
    <w:p>
      <w:pPr>
        <w:pStyle w:val="Subsection"/>
      </w:pPr>
      <w:r>
        <w:tab/>
        <w:t>(2)</w:t>
      </w:r>
      <w:r>
        <w:tab/>
        <w:t xml:space="preserve">For the purposes of section 48AAA(2) of the Act, the following classes of amendments to a local planning scheme are prescribed — </w:t>
      </w:r>
    </w:p>
    <w:p>
      <w:pPr>
        <w:pStyle w:val="Indenta"/>
      </w:pPr>
      <w:r>
        <w:lastRenderedPageBreak/>
        <w:tab/>
        <w:t>(a)</w:t>
      </w:r>
      <w:r>
        <w:tab/>
        <w:t xml:space="preserve">an amendment referred to in paragraph(a)(i) to (iv), (vi) or (viii) of the definition of </w:t>
      </w:r>
      <w:bookmarkStart w:id="136" w:name="RuleErr_0001"/>
      <w:r>
        <w:rPr>
          <w:b/>
          <w:bCs/>
          <w:i/>
          <w:iCs/>
        </w:rPr>
        <w:t>basic amendment</w:t>
      </w:r>
      <w:bookmarkEnd w:id="136"/>
      <w:r>
        <w:t xml:space="preserve"> in the </w:t>
      </w:r>
      <w:r>
        <w:rPr>
          <w:i/>
          <w:iCs/>
        </w:rPr>
        <w:t>Planning and Development (Local Planning Schemes) Regulations 2015</w:t>
      </w:r>
      <w:r>
        <w:t xml:space="preserve"> regulation 34;</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 xml:space="preserve">an amendment to classify an area of land as a reserve for the purpose of — </w:t>
      </w:r>
    </w:p>
    <w:p>
      <w:pPr>
        <w:pStyle w:val="Indenti"/>
      </w:pPr>
      <w:r>
        <w:tab/>
        <w:t>(i)</w:t>
      </w:r>
      <w:r>
        <w:tab/>
        <w:t>public open space; or</w:t>
      </w:r>
    </w:p>
    <w:p>
      <w:pPr>
        <w:pStyle w:val="Indenti"/>
      </w:pPr>
      <w:r>
        <w:tab/>
        <w:t>(ii)</w:t>
      </w:r>
      <w:r>
        <w:tab/>
        <w:t>environmental conservation; or</w:t>
      </w:r>
    </w:p>
    <w:p>
      <w:pPr>
        <w:pStyle w:val="Indenti"/>
      </w:pPr>
      <w:r>
        <w:tab/>
        <w:t>(iii)</w:t>
      </w:r>
      <w:r>
        <w:tab/>
        <w:t>State forest;</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lastRenderedPageBreak/>
        <w:tab/>
        <w:t>(i)</w:t>
      </w:r>
      <w:r>
        <w:tab/>
        <w:t>involves carrying out development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an amendment to increase the residential density code and decrease the minimum site area per dwelling as set 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 xml:space="preserve">an amendment to alter any matter required to be set out in a development contribution plan under the </w:t>
      </w:r>
      <w:r>
        <w:rPr>
          <w:i/>
        </w:rPr>
        <w:t xml:space="preserve">Planning </w:t>
      </w:r>
      <w:r>
        <w:rPr>
          <w:i/>
        </w:rPr>
        <w:lastRenderedPageBreak/>
        <w:t>and Development (Local Planning Schemes) Regulations 2015</w:t>
      </w:r>
      <w:r>
        <w:t xml:space="preserve"> regulation 71(4);</w:t>
      </w:r>
    </w:p>
    <w:p>
      <w:pPr>
        <w:pStyle w:val="Indenta"/>
      </w:pPr>
      <w:r>
        <w:tab/>
        <w:t>(m)</w:t>
      </w:r>
      <w:r>
        <w:tab/>
        <w:t>an amendment to the text of Part 1 of the planning scheme if the amendment does not permit a change in land use.</w:t>
      </w:r>
    </w:p>
    <w:p>
      <w:pPr>
        <w:pStyle w:val="Ednotepara"/>
      </w:pPr>
      <w:r>
        <w:tab/>
        <w:t>[(n)</w:t>
      </w:r>
      <w:r>
        <w:tab/>
        <w:t>deleted]</w:t>
      </w:r>
    </w:p>
    <w:p>
      <w:pPr>
        <w:pStyle w:val="Footnotesection"/>
      </w:pPr>
      <w:r>
        <w:tab/>
        <w:t>[Regulation 33C inserted: SL 2024/4 r. 4; amended: SL 2024/288 r. 5; SL 2025/6 r. 4.]</w:t>
      </w:r>
    </w:p>
    <w:p>
      <w:pPr>
        <w:pStyle w:val="Heading2"/>
      </w:pPr>
      <w:bookmarkStart w:id="137" w:name="_Toc187931127"/>
      <w:bookmarkStart w:id="138" w:name="_Toc187931685"/>
      <w:bookmarkStart w:id="139" w:name="_Toc187935448"/>
      <w:r>
        <w:rPr>
          <w:rStyle w:val="CharPartNo"/>
        </w:rPr>
        <w:lastRenderedPageBreak/>
        <w:t>Part 10</w:t>
      </w:r>
      <w:r>
        <w:t xml:space="preserve"> — </w:t>
      </w:r>
      <w:r>
        <w:rPr>
          <w:rStyle w:val="CharPartText"/>
        </w:rPr>
        <w:t>Things seized or forfeited</w:t>
      </w:r>
      <w:bookmarkEnd w:id="137"/>
      <w:bookmarkEnd w:id="138"/>
      <w:bookmarkEnd w:id="139"/>
    </w:p>
    <w:p>
      <w:pPr>
        <w:pStyle w:val="Footnoteheading"/>
      </w:pPr>
      <w:r>
        <w:tab/>
        <w:t>[Heading inserted: Gazette 11 Dec 1998 p. 6601.]</w:t>
      </w:r>
    </w:p>
    <w:p>
      <w:pPr>
        <w:pStyle w:val="Heading5"/>
      </w:pPr>
      <w:bookmarkStart w:id="140" w:name="_Toc187935449"/>
      <w:r>
        <w:rPr>
          <w:rStyle w:val="CharSectno"/>
        </w:rPr>
        <w:t>34</w:t>
      </w:r>
      <w:r>
        <w:t>.</w:t>
      </w:r>
      <w:r>
        <w:tab/>
        <w:t>Ways prescribed of dealing with seized things (Act s. 92B(1))</w:t>
      </w:r>
      <w:bookmarkEnd w:id="140"/>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41" w:name="_Toc187935450"/>
      <w:r>
        <w:rPr>
          <w:rStyle w:val="CharSectno"/>
        </w:rPr>
        <w:t>35</w:t>
      </w:r>
      <w:r>
        <w:t>.</w:t>
      </w:r>
      <w:r>
        <w:tab/>
        <w:t>Manner of giving notice prescribed (Act s. 92D)</w:t>
      </w:r>
      <w:bookmarkEnd w:id="141"/>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42" w:name="_Toc187935451"/>
      <w:r>
        <w:rPr>
          <w:rStyle w:val="CharSectno"/>
        </w:rPr>
        <w:t>36</w:t>
      </w:r>
      <w:r>
        <w:t>.</w:t>
      </w:r>
      <w:r>
        <w:tab/>
        <w:t>Ways prescribed of disposing of thing forfeited to Crown</w:t>
      </w:r>
      <w:r>
        <w:rPr>
          <w:snapToGrid w:val="0"/>
        </w:rPr>
        <w:t xml:space="preserve"> (Act s. 99W(1))</w:t>
      </w:r>
      <w:bookmarkEnd w:id="14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43" w:name="_Toc187931131"/>
      <w:bookmarkStart w:id="144" w:name="_Toc187931689"/>
      <w:bookmarkStart w:id="145" w:name="_Toc187935452"/>
      <w:r>
        <w:rPr>
          <w:rStyle w:val="CharPartNo"/>
        </w:rPr>
        <w:lastRenderedPageBreak/>
        <w:t>Part 11</w:t>
      </w:r>
      <w:r>
        <w:t xml:space="preserve"> — </w:t>
      </w:r>
      <w:r>
        <w:rPr>
          <w:rStyle w:val="CharPartText"/>
        </w:rPr>
        <w:t>Modified penalties and Tier 2 offences</w:t>
      </w:r>
      <w:bookmarkEnd w:id="143"/>
      <w:bookmarkEnd w:id="144"/>
      <w:bookmarkEnd w:id="145"/>
    </w:p>
    <w:p>
      <w:pPr>
        <w:pStyle w:val="Footnoteheading"/>
      </w:pPr>
      <w:r>
        <w:tab/>
        <w:t>[Heading inserted: Gazette 11 Dec 1998 p. 6603.]</w:t>
      </w:r>
    </w:p>
    <w:p>
      <w:pPr>
        <w:pStyle w:val="Heading5"/>
        <w:spacing w:before="180"/>
      </w:pPr>
      <w:bookmarkStart w:id="146" w:name="_Toc187935453"/>
      <w:r>
        <w:rPr>
          <w:rStyle w:val="CharSectno"/>
        </w:rPr>
        <w:t>37</w:t>
      </w:r>
      <w:r>
        <w:t>.</w:t>
      </w:r>
      <w:r>
        <w:tab/>
        <w:t>Form of modified penalty notice prescribed (Act s. 99B(1))</w:t>
      </w:r>
      <w:bookmarkEnd w:id="146"/>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47" w:name="_Toc187935454"/>
      <w:r>
        <w:rPr>
          <w:rStyle w:val="CharSectno"/>
        </w:rPr>
        <w:t>38</w:t>
      </w:r>
      <w:r>
        <w:t>.</w:t>
      </w:r>
      <w:r>
        <w:tab/>
        <w:t>Form of notice of withdrawal prescribed (Act s. 99D(1))</w:t>
      </w:r>
      <w:bookmarkEnd w:id="147"/>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48" w:name="_Toc187935455"/>
      <w:r>
        <w:rPr>
          <w:rStyle w:val="CharSectno"/>
        </w:rPr>
        <w:t>39</w:t>
      </w:r>
      <w:r>
        <w:t>.</w:t>
      </w:r>
      <w:r>
        <w:tab/>
        <w:t>Particulars prescribed (Act s. 99E(3))</w:t>
      </w:r>
      <w:bookmarkEnd w:id="148"/>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49" w:name="_Toc187935456"/>
      <w:r>
        <w:rPr>
          <w:rStyle w:val="CharSectno"/>
        </w:rPr>
        <w:lastRenderedPageBreak/>
        <w:t>40</w:t>
      </w:r>
      <w:r>
        <w:t>.</w:t>
      </w:r>
      <w:r>
        <w:tab/>
        <w:t>Where and when public may inspect register (Act s. 99F(2))</w:t>
      </w:r>
      <w:bookmarkEnd w:id="149"/>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50" w:name="_Toc187931136"/>
      <w:bookmarkStart w:id="151" w:name="_Toc187931694"/>
      <w:bookmarkStart w:id="152" w:name="_Toc187935457"/>
      <w:r>
        <w:rPr>
          <w:rStyle w:val="CharPartNo"/>
        </w:rPr>
        <w:lastRenderedPageBreak/>
        <w:t>Part 12</w:t>
      </w:r>
      <w:r>
        <w:t xml:space="preserve"> — </w:t>
      </w:r>
      <w:r>
        <w:rPr>
          <w:rStyle w:val="CharPartText"/>
        </w:rPr>
        <w:t>Infringement notices and offences</w:t>
      </w:r>
      <w:bookmarkEnd w:id="150"/>
      <w:bookmarkEnd w:id="151"/>
      <w:bookmarkEnd w:id="152"/>
    </w:p>
    <w:p>
      <w:pPr>
        <w:pStyle w:val="Footnoteheading"/>
      </w:pPr>
      <w:r>
        <w:tab/>
        <w:t>[Heading inserted: Gazette 11 Dec 1998 p. 6603.]</w:t>
      </w:r>
    </w:p>
    <w:p>
      <w:pPr>
        <w:pStyle w:val="Heading5"/>
      </w:pPr>
      <w:bookmarkStart w:id="153" w:name="_Toc187935458"/>
      <w:r>
        <w:rPr>
          <w:rStyle w:val="CharSectno"/>
        </w:rPr>
        <w:t>41</w:t>
      </w:r>
      <w:r>
        <w:t>.</w:t>
      </w:r>
      <w:r>
        <w:tab/>
        <w:t>Infringement notice offences and modified penalties prescribed (Act s. 99H and 99K)</w:t>
      </w:r>
      <w:bookmarkEnd w:id="153"/>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54" w:name="_Toc187935459"/>
      <w:r>
        <w:rPr>
          <w:rStyle w:val="CharSectno"/>
        </w:rPr>
        <w:t>42</w:t>
      </w:r>
      <w:r>
        <w:t>.</w:t>
      </w:r>
      <w:r>
        <w:tab/>
        <w:t>Form of infringement notice prescribed (Act s. 99K(1))</w:t>
      </w:r>
      <w:bookmarkEnd w:id="154"/>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55" w:name="_Toc187935460"/>
      <w:r>
        <w:rPr>
          <w:rStyle w:val="CharSectno"/>
        </w:rPr>
        <w:t>43</w:t>
      </w:r>
      <w:r>
        <w:t>.</w:t>
      </w:r>
      <w:r>
        <w:tab/>
        <w:t>Form of notice of withdrawal prescribed (Act s. 99N(1))</w:t>
      </w:r>
      <w:bookmarkEnd w:id="155"/>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56" w:name="_Toc187931140"/>
      <w:bookmarkStart w:id="157" w:name="_Toc187931698"/>
      <w:bookmarkStart w:id="158" w:name="_Toc187935461"/>
      <w:r>
        <w:rPr>
          <w:rStyle w:val="CharPartNo"/>
        </w:rPr>
        <w:lastRenderedPageBreak/>
        <w:t>Part 13</w:t>
      </w:r>
      <w:r>
        <w:t xml:space="preserve"> — </w:t>
      </w:r>
      <w:r>
        <w:rPr>
          <w:rStyle w:val="CharPartText"/>
        </w:rPr>
        <w:t>Miscellaneous</w:t>
      </w:r>
      <w:bookmarkEnd w:id="156"/>
      <w:bookmarkEnd w:id="157"/>
      <w:bookmarkEnd w:id="158"/>
    </w:p>
    <w:p>
      <w:pPr>
        <w:pStyle w:val="Footnoteheading"/>
      </w:pPr>
      <w:r>
        <w:tab/>
        <w:t>[Heading inserted: Gazette 11 Dec 1998 p. 6604.]</w:t>
      </w:r>
    </w:p>
    <w:p>
      <w:pPr>
        <w:pStyle w:val="Heading5"/>
      </w:pPr>
      <w:bookmarkStart w:id="159" w:name="_Toc187935462"/>
      <w:r>
        <w:rPr>
          <w:rStyle w:val="CharSectno"/>
        </w:rPr>
        <w:t>44</w:t>
      </w:r>
      <w:r>
        <w:t>.</w:t>
      </w:r>
      <w:r>
        <w:tab/>
        <w:t>Maximum amount prescribed (Act s. 99Y(1))</w:t>
      </w:r>
      <w:bookmarkEnd w:id="159"/>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160" w:name="_Toc187935463"/>
      <w:r>
        <w:rPr>
          <w:rStyle w:val="CharSectno"/>
        </w:rPr>
        <w:t>45</w:t>
      </w:r>
      <w:r>
        <w:t>.</w:t>
      </w:r>
      <w:r>
        <w:tab/>
        <w:t>Image data sources (Act s. 116B(1))</w:t>
      </w:r>
      <w:bookmarkEnd w:id="160"/>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lastRenderedPageBreak/>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61" w:name="_Toc187931143"/>
      <w:bookmarkStart w:id="162" w:name="_Toc187931701"/>
      <w:bookmarkStart w:id="163" w:name="_Toc187935464"/>
      <w:r>
        <w:rPr>
          <w:rStyle w:val="CharSchNo"/>
        </w:rPr>
        <w:lastRenderedPageBreak/>
        <w:t>Schedule 1</w:t>
      </w:r>
      <w:r>
        <w:t> — </w:t>
      </w:r>
      <w:r>
        <w:rPr>
          <w:rStyle w:val="CharSchText"/>
        </w:rPr>
        <w:t>Prescribed premises</w:t>
      </w:r>
      <w:bookmarkEnd w:id="161"/>
      <w:bookmarkEnd w:id="162"/>
      <w:bookmarkEnd w:id="163"/>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lastRenderedPageBreak/>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lastRenderedPageBreak/>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lastRenderedPageBreak/>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lastRenderedPageBreak/>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64" w:name="_Toc187931144"/>
      <w:bookmarkStart w:id="165" w:name="_Toc187931702"/>
      <w:bookmarkStart w:id="166" w:name="_Toc187935465"/>
      <w:r>
        <w:rPr>
          <w:rStyle w:val="CharSchNo"/>
        </w:rPr>
        <w:lastRenderedPageBreak/>
        <w:t>Schedule 3</w:t>
      </w:r>
      <w:r>
        <w:rPr>
          <w:rStyle w:val="CharSDivNo"/>
        </w:rPr>
        <w:t> </w:t>
      </w:r>
      <w:r>
        <w:t>— </w:t>
      </w:r>
      <w:r>
        <w:rPr>
          <w:rStyle w:val="CharSchText"/>
        </w:rPr>
        <w:t>Works approval fee</w:t>
      </w:r>
      <w:bookmarkEnd w:id="164"/>
      <w:bookmarkEnd w:id="165"/>
      <w:bookmarkEnd w:id="16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67" w:name="_Toc187931145"/>
      <w:bookmarkStart w:id="168" w:name="_Toc187931703"/>
      <w:bookmarkStart w:id="169" w:name="_Toc187935466"/>
      <w:r>
        <w:rPr>
          <w:rStyle w:val="CharSchNo"/>
        </w:rPr>
        <w:lastRenderedPageBreak/>
        <w:t>Schedule 4</w:t>
      </w:r>
      <w:r>
        <w:t> — </w:t>
      </w:r>
      <w:r>
        <w:rPr>
          <w:rStyle w:val="CharSchText"/>
        </w:rPr>
        <w:t>Licence fee</w:t>
      </w:r>
      <w:bookmarkEnd w:id="167"/>
      <w:bookmarkEnd w:id="168"/>
      <w:bookmarkEnd w:id="169"/>
    </w:p>
    <w:p>
      <w:pPr>
        <w:pStyle w:val="yShoulderClause"/>
        <w:rPr>
          <w:snapToGrid w:val="0"/>
        </w:rPr>
      </w:pPr>
      <w:r>
        <w:rPr>
          <w:snapToGrid w:val="0"/>
        </w:rPr>
        <w:t>[r. 5D]</w:t>
      </w:r>
    </w:p>
    <w:p>
      <w:pPr>
        <w:pStyle w:val="yFootnoteheading"/>
      </w:pPr>
      <w:r>
        <w:tab/>
        <w:t>[Heading inserted: Gazette 13 Sep 1996 p. 4560.]</w:t>
      </w:r>
    </w:p>
    <w:p>
      <w:pPr>
        <w:pStyle w:val="yHeading3"/>
      </w:pPr>
      <w:bookmarkStart w:id="170" w:name="_Toc187931146"/>
      <w:bookmarkStart w:id="171" w:name="_Toc187931704"/>
      <w:bookmarkStart w:id="172" w:name="_Toc187935467"/>
      <w:r>
        <w:rPr>
          <w:rStyle w:val="CharSDivNo"/>
          <w:sz w:val="28"/>
        </w:rPr>
        <w:t>Part 1</w:t>
      </w:r>
      <w:r>
        <w:t> — </w:t>
      </w:r>
      <w:r>
        <w:rPr>
          <w:rStyle w:val="CharSDivText"/>
          <w:sz w:val="28"/>
        </w:rPr>
        <w:t>Premises component</w:t>
      </w:r>
      <w:bookmarkEnd w:id="170"/>
      <w:bookmarkEnd w:id="171"/>
      <w:bookmarkEnd w:id="172"/>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 xml:space="preserve">18; 14 Jun 2002 p. 2794; </w:t>
      </w:r>
      <w:r>
        <w:lastRenderedPageBreak/>
        <w:t>13 Dec 2005 p. 5983; 22 Jun 2007 p. 2844; 30 Oct 2007 p. 5878; 23 Jul 2010 p. 3401.]</w:t>
      </w:r>
    </w:p>
    <w:p>
      <w:pPr>
        <w:pStyle w:val="yHeading3"/>
      </w:pPr>
      <w:bookmarkStart w:id="173" w:name="_Toc187931147"/>
      <w:bookmarkStart w:id="174" w:name="_Toc187931705"/>
      <w:bookmarkStart w:id="175" w:name="_Toc187935468"/>
      <w:r>
        <w:rPr>
          <w:rStyle w:val="CharSDivNo"/>
          <w:sz w:val="28"/>
        </w:rPr>
        <w:t>Part 2</w:t>
      </w:r>
      <w:r>
        <w:t> — </w:t>
      </w:r>
      <w:r>
        <w:rPr>
          <w:rStyle w:val="CharSDivText"/>
          <w:sz w:val="28"/>
        </w:rPr>
        <w:t>Part 2 waste</w:t>
      </w:r>
      <w:bookmarkEnd w:id="173"/>
      <w:bookmarkEnd w:id="174"/>
      <w:bookmarkEnd w:id="175"/>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76" w:name="_Toc187931148"/>
      <w:bookmarkStart w:id="177" w:name="_Toc187931706"/>
      <w:bookmarkStart w:id="178" w:name="_Toc187935469"/>
      <w:r>
        <w:rPr>
          <w:rStyle w:val="CharSDivNo"/>
          <w:sz w:val="28"/>
        </w:rPr>
        <w:t>Part 3</w:t>
      </w:r>
      <w:r>
        <w:t> — </w:t>
      </w:r>
      <w:r>
        <w:rPr>
          <w:rStyle w:val="CharSDivText"/>
          <w:sz w:val="28"/>
        </w:rPr>
        <w:t>Discharge component</w:t>
      </w:r>
      <w:bookmarkEnd w:id="176"/>
      <w:bookmarkEnd w:id="177"/>
      <w:bookmarkEnd w:id="178"/>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79" w:name="_Toc187931149"/>
      <w:bookmarkStart w:id="180" w:name="_Toc187931707"/>
      <w:bookmarkStart w:id="181" w:name="_Toc187935470"/>
      <w:r>
        <w:rPr>
          <w:rStyle w:val="CharSchNo"/>
        </w:rPr>
        <w:lastRenderedPageBreak/>
        <w:t>Schedule 5</w:t>
      </w:r>
      <w:r>
        <w:t xml:space="preserve"> — </w:t>
      </w:r>
      <w:r>
        <w:rPr>
          <w:rStyle w:val="CharSchText"/>
        </w:rPr>
        <w:t>Tyre landfill exclusion zone</w:t>
      </w:r>
      <w:bookmarkEnd w:id="179"/>
      <w:bookmarkEnd w:id="180"/>
      <w:bookmarkEnd w:id="181"/>
    </w:p>
    <w:p>
      <w:pPr>
        <w:pStyle w:val="yShoulderClause"/>
        <w:rPr>
          <w:snapToGrid w:val="0"/>
        </w:rPr>
      </w:pPr>
      <w:r>
        <w:rPr>
          <w:snapToGrid w:val="0"/>
        </w:rPr>
        <w:t>[r. 11(1)]</w:t>
      </w:r>
    </w:p>
    <w:p>
      <w:pPr>
        <w:pStyle w:val="yFootnoteheading"/>
      </w:pPr>
      <w:r>
        <w:tab/>
        <w:t>[Heading inserted: Gazette 10 Dec 1996 p. 6879.]</w:t>
      </w:r>
    </w:p>
    <w:p>
      <w:pPr>
        <w:pStyle w:val="yHeading3"/>
      </w:pPr>
      <w:bookmarkStart w:id="182" w:name="_Toc187931150"/>
      <w:bookmarkStart w:id="183" w:name="_Toc187931708"/>
      <w:bookmarkStart w:id="184" w:name="_Toc187935471"/>
      <w:r>
        <w:rPr>
          <w:rStyle w:val="CharSDivNo"/>
          <w:sz w:val="28"/>
        </w:rPr>
        <w:t>Part 1</w:t>
      </w:r>
      <w:r>
        <w:t> — </w:t>
      </w:r>
      <w:r>
        <w:rPr>
          <w:rStyle w:val="CharSDivText"/>
          <w:sz w:val="28"/>
        </w:rPr>
        <w:t>Metropolitan</w:t>
      </w:r>
      <w:bookmarkEnd w:id="182"/>
      <w:bookmarkEnd w:id="183"/>
      <w:bookmarkEnd w:id="18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85" w:name="_Toc187931151"/>
      <w:bookmarkStart w:id="186" w:name="_Toc187931709"/>
      <w:bookmarkStart w:id="187" w:name="_Toc187935472"/>
      <w:r>
        <w:rPr>
          <w:rStyle w:val="CharSDivNo"/>
          <w:sz w:val="28"/>
        </w:rPr>
        <w:t>Part 2</w:t>
      </w:r>
      <w:r>
        <w:t> — </w:t>
      </w:r>
      <w:r>
        <w:rPr>
          <w:rStyle w:val="CharSDivText"/>
          <w:sz w:val="28"/>
        </w:rPr>
        <w:t>Country</w:t>
      </w:r>
      <w:bookmarkEnd w:id="185"/>
      <w:bookmarkEnd w:id="186"/>
      <w:bookmarkEnd w:id="18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189" w:name="_Toc187931152"/>
      <w:bookmarkStart w:id="190" w:name="_Toc187931710"/>
      <w:bookmarkStart w:id="191" w:name="_Toc187935473"/>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189"/>
      <w:bookmarkEnd w:id="190"/>
      <w:bookmarkEnd w:id="191"/>
    </w:p>
    <w:p>
      <w:pPr>
        <w:pStyle w:val="yShoulderClause"/>
      </w:pPr>
      <w:r>
        <w:t>[r. 16B]</w:t>
      </w:r>
    </w:p>
    <w:p>
      <w:pPr>
        <w:pStyle w:val="yFootnoteheading"/>
      </w:pPr>
      <w:r>
        <w:tab/>
        <w:t>[Heading inserted: Gazette 19 Dec 2000 p. 7284.]</w:t>
      </w:r>
    </w:p>
    <w:p>
      <w:pPr>
        <w:pStyle w:val="yHeading5"/>
        <w:outlineLvl w:val="9"/>
      </w:pPr>
      <w:bookmarkStart w:id="192" w:name="_Toc187935474"/>
      <w:r>
        <w:rPr>
          <w:rStyle w:val="CharSClsNo"/>
        </w:rPr>
        <w:t>1</w:t>
      </w:r>
      <w:r>
        <w:t>.</w:t>
      </w:r>
      <w:r>
        <w:tab/>
        <w:t>Perth metropolitan area</w:t>
      </w:r>
      <w:bookmarkEnd w:id="192"/>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93" w:name="_Toc187935475"/>
      <w:r>
        <w:rPr>
          <w:rStyle w:val="CharSClsNo"/>
        </w:rPr>
        <w:t>2</w:t>
      </w:r>
      <w:r>
        <w:t>.</w:t>
      </w:r>
      <w:r>
        <w:tab/>
        <w:t>Mandurah area</w:t>
      </w:r>
      <w:bookmarkEnd w:id="193"/>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94" w:name="_Toc187931155"/>
      <w:bookmarkStart w:id="195" w:name="_Toc187931713"/>
      <w:bookmarkStart w:id="196" w:name="_Toc187935476"/>
      <w:r>
        <w:rPr>
          <w:rStyle w:val="CharSchNo"/>
        </w:rPr>
        <w:lastRenderedPageBreak/>
        <w:t>Schedule 6</w:t>
      </w:r>
      <w:r>
        <w:t xml:space="preserve"> — </w:t>
      </w:r>
      <w:r>
        <w:rPr>
          <w:rStyle w:val="CharSchText"/>
        </w:rPr>
        <w:t>Infringement notice offences</w:t>
      </w:r>
      <w:bookmarkEnd w:id="194"/>
      <w:bookmarkEnd w:id="195"/>
      <w:bookmarkEnd w:id="196"/>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14.</w:t>
            </w:r>
            <w:r>
              <w:tab/>
              <w:t>regulation 18A(2)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 SL 2024/86 r. 6.]</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197" w:name="_Toc187931156"/>
      <w:bookmarkStart w:id="198" w:name="_Toc187931714"/>
      <w:bookmarkStart w:id="199" w:name="_Toc187935477"/>
      <w:r>
        <w:rPr>
          <w:rStyle w:val="CharSchNo"/>
        </w:rPr>
        <w:lastRenderedPageBreak/>
        <w:t>Schedule 7</w:t>
      </w:r>
      <w:r>
        <w:t xml:space="preserve"> — </w:t>
      </w:r>
      <w:r>
        <w:rPr>
          <w:rStyle w:val="CharSchText"/>
        </w:rPr>
        <w:t>Forms</w:t>
      </w:r>
      <w:bookmarkEnd w:id="197"/>
      <w:bookmarkEnd w:id="198"/>
      <w:bookmarkEnd w:id="199"/>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00" w:name="_Toc187931157"/>
      <w:bookmarkStart w:id="201" w:name="_Toc187931715"/>
      <w:bookmarkStart w:id="202" w:name="_Toc187935478"/>
      <w:r>
        <w:lastRenderedPageBreak/>
        <w:t>Notes</w:t>
      </w:r>
      <w:bookmarkEnd w:id="200"/>
      <w:bookmarkEnd w:id="201"/>
      <w:bookmarkEnd w:id="202"/>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203" w:name="_Toc187935479"/>
      <w:r>
        <w:t>Compilation table</w:t>
      </w:r>
      <w:bookmarkEnd w:id="20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286"/>
        <w:gridCol w:w="2693"/>
      </w:tblGrid>
      <w:tr>
        <w:trPr>
          <w:tblHeader/>
        </w:trPr>
        <w:tc>
          <w:tcPr>
            <w:tcW w:w="3108" w:type="dxa"/>
          </w:tcPr>
          <w:p>
            <w:pPr>
              <w:pStyle w:val="nTable"/>
              <w:spacing w:after="40"/>
              <w:rPr>
                <w:b/>
              </w:rPr>
            </w:pPr>
            <w:r>
              <w:rPr>
                <w:b/>
              </w:rPr>
              <w:t>Citation</w:t>
            </w:r>
          </w:p>
        </w:tc>
        <w:tc>
          <w:tcPr>
            <w:tcW w:w="128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Regulations 1987 </w:t>
            </w:r>
          </w:p>
        </w:tc>
        <w:tc>
          <w:tcPr>
            <w:tcW w:w="128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vertAlign w:val="superscript"/>
              </w:rPr>
            </w:pPr>
            <w:r>
              <w:rPr>
                <w:i/>
              </w:rPr>
              <w:t xml:space="preserve">Environmental Protection Amendment Regulations 1988 </w:t>
            </w:r>
          </w:p>
        </w:tc>
        <w:tc>
          <w:tcPr>
            <w:tcW w:w="128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1989</w:t>
            </w:r>
          </w:p>
        </w:tc>
        <w:tc>
          <w:tcPr>
            <w:tcW w:w="128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1989</w:t>
            </w:r>
          </w:p>
        </w:tc>
        <w:tc>
          <w:tcPr>
            <w:tcW w:w="128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1991</w:t>
            </w:r>
          </w:p>
        </w:tc>
        <w:tc>
          <w:tcPr>
            <w:tcW w:w="128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1991</w:t>
            </w:r>
          </w:p>
        </w:tc>
        <w:tc>
          <w:tcPr>
            <w:tcW w:w="128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1992</w:t>
            </w:r>
          </w:p>
        </w:tc>
        <w:tc>
          <w:tcPr>
            <w:tcW w:w="128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1992</w:t>
            </w:r>
          </w:p>
        </w:tc>
        <w:tc>
          <w:tcPr>
            <w:tcW w:w="128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1992</w:t>
            </w:r>
          </w:p>
        </w:tc>
        <w:tc>
          <w:tcPr>
            <w:tcW w:w="128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1993</w:t>
            </w:r>
          </w:p>
        </w:tc>
        <w:tc>
          <w:tcPr>
            <w:tcW w:w="128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2) 1993</w:t>
            </w:r>
          </w:p>
        </w:tc>
        <w:tc>
          <w:tcPr>
            <w:tcW w:w="128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3) 1993</w:t>
            </w:r>
          </w:p>
        </w:tc>
        <w:tc>
          <w:tcPr>
            <w:tcW w:w="128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4) 1993</w:t>
            </w:r>
          </w:p>
        </w:tc>
        <w:tc>
          <w:tcPr>
            <w:tcW w:w="128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(No. 5) 1993</w:t>
            </w:r>
          </w:p>
        </w:tc>
        <w:tc>
          <w:tcPr>
            <w:tcW w:w="128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lastRenderedPageBreak/>
              <w:t>Environmental Protection Amendment Regulations 1994</w:t>
            </w:r>
          </w:p>
        </w:tc>
        <w:tc>
          <w:tcPr>
            <w:tcW w:w="128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rPr>
                <w:i/>
              </w:rPr>
            </w:pPr>
            <w:r>
              <w:rPr>
                <w:i/>
              </w:rPr>
              <w:t>Environmental Protection Amendment Regulations 1995</w:t>
            </w:r>
          </w:p>
        </w:tc>
        <w:tc>
          <w:tcPr>
            <w:tcW w:w="128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1996</w:t>
            </w:r>
            <w:r>
              <w:rPr>
                <w:vertAlign w:val="superscript"/>
              </w:rPr>
              <w:t> 6</w:t>
            </w:r>
          </w:p>
        </w:tc>
        <w:tc>
          <w:tcPr>
            <w:tcW w:w="128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5) 1996</w:t>
            </w:r>
          </w:p>
        </w:tc>
        <w:tc>
          <w:tcPr>
            <w:tcW w:w="128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1996</w:t>
            </w:r>
          </w:p>
        </w:tc>
        <w:tc>
          <w:tcPr>
            <w:tcW w:w="128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6) 1996</w:t>
            </w:r>
          </w:p>
        </w:tc>
        <w:tc>
          <w:tcPr>
            <w:tcW w:w="128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1997</w:t>
            </w:r>
          </w:p>
        </w:tc>
        <w:tc>
          <w:tcPr>
            <w:tcW w:w="128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1998</w:t>
            </w:r>
          </w:p>
        </w:tc>
        <w:tc>
          <w:tcPr>
            <w:tcW w:w="128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1998</w:t>
            </w:r>
          </w:p>
        </w:tc>
        <w:tc>
          <w:tcPr>
            <w:tcW w:w="128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(Miscellaneous Amendments) Regulations 1998 </w:t>
            </w:r>
            <w:r>
              <w:t>Pt. 2</w:t>
            </w:r>
          </w:p>
        </w:tc>
        <w:tc>
          <w:tcPr>
            <w:tcW w:w="128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(Diesel and Petrol) Regulations 1999 </w:t>
            </w:r>
            <w:r>
              <w:t>r. 22</w:t>
            </w:r>
          </w:p>
        </w:tc>
        <w:tc>
          <w:tcPr>
            <w:tcW w:w="128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2000</w:t>
            </w:r>
          </w:p>
        </w:tc>
        <w:tc>
          <w:tcPr>
            <w:tcW w:w="128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4) 2000</w:t>
            </w:r>
          </w:p>
        </w:tc>
        <w:tc>
          <w:tcPr>
            <w:tcW w:w="128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2000</w:t>
            </w:r>
          </w:p>
        </w:tc>
        <w:tc>
          <w:tcPr>
            <w:tcW w:w="128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2000</w:t>
            </w:r>
          </w:p>
        </w:tc>
        <w:tc>
          <w:tcPr>
            <w:tcW w:w="128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lastRenderedPageBreak/>
              <w:t>Environmental Protection Amendment Regulations (No. 5) 2000</w:t>
            </w:r>
            <w:r>
              <w:rPr>
                <w:vertAlign w:val="superscript"/>
              </w:rPr>
              <w:t> 7</w:t>
            </w:r>
          </w:p>
        </w:tc>
        <w:tc>
          <w:tcPr>
            <w:tcW w:w="128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(Abattoirs) Regulations 2001 </w:t>
            </w:r>
            <w:r>
              <w:t>r. 17</w:t>
            </w:r>
          </w:p>
        </w:tc>
        <w:tc>
          <w:tcPr>
            <w:tcW w:w="128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(Liquid Waste) Amendment Regulations 2001 </w:t>
            </w:r>
            <w:r>
              <w:t>r. 34</w:t>
            </w:r>
          </w:p>
        </w:tc>
        <w:tc>
          <w:tcPr>
            <w:tcW w:w="128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(Controlled Waste) Regulations 2001 </w:t>
            </w:r>
            <w:r>
              <w:t>r. 55</w:t>
            </w:r>
          </w:p>
        </w:tc>
        <w:tc>
          <w:tcPr>
            <w:tcW w:w="128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2001</w:t>
            </w:r>
          </w:p>
        </w:tc>
        <w:tc>
          <w:tcPr>
            <w:tcW w:w="128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(Metal Coating) Regulations 2001 </w:t>
            </w:r>
            <w:r>
              <w:t>r. 14</w:t>
            </w:r>
          </w:p>
        </w:tc>
        <w:tc>
          <w:tcPr>
            <w:tcW w:w="128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2002</w:t>
            </w:r>
          </w:p>
        </w:tc>
        <w:tc>
          <w:tcPr>
            <w:tcW w:w="128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2001</w:t>
            </w:r>
          </w:p>
        </w:tc>
        <w:tc>
          <w:tcPr>
            <w:tcW w:w="128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(NEPM </w:t>
            </w:r>
            <w:r>
              <w:rPr>
                <w:i/>
              </w:rPr>
              <w:noBreakHyphen/>
              <w:t> UPM) Regulations 2003</w:t>
            </w:r>
            <w:r>
              <w:t xml:space="preserve"> Pt. 6</w:t>
            </w:r>
          </w:p>
        </w:tc>
        <w:tc>
          <w:tcPr>
            <w:tcW w:w="128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2003</w:t>
            </w:r>
          </w:p>
        </w:tc>
        <w:tc>
          <w:tcPr>
            <w:tcW w:w="128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(Unauthorised Discharges) Regulations 2004</w:t>
            </w:r>
            <w:r>
              <w:t xml:space="preserve"> r. 6</w:t>
            </w:r>
          </w:p>
        </w:tc>
        <w:tc>
          <w:tcPr>
            <w:tcW w:w="128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2004</w:t>
            </w:r>
          </w:p>
        </w:tc>
        <w:tc>
          <w:tcPr>
            <w:tcW w:w="128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Environmental Protection (Controlled Waste) Regulations 2004</w:t>
            </w:r>
            <w:r>
              <w:t xml:space="preserve"> r. 57</w:t>
            </w:r>
          </w:p>
        </w:tc>
        <w:tc>
          <w:tcPr>
            <w:tcW w:w="128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3) 2004</w:t>
            </w:r>
          </w:p>
        </w:tc>
        <w:tc>
          <w:tcPr>
            <w:tcW w:w="128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lastRenderedPageBreak/>
              <w:t>Environmental Protection Amendment Regulations (No. 2) 2004</w:t>
            </w:r>
          </w:p>
        </w:tc>
        <w:tc>
          <w:tcPr>
            <w:tcW w:w="128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2005</w:t>
            </w:r>
          </w:p>
        </w:tc>
        <w:tc>
          <w:tcPr>
            <w:tcW w:w="128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2006</w:t>
            </w:r>
          </w:p>
        </w:tc>
        <w:tc>
          <w:tcPr>
            <w:tcW w:w="128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8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2007</w:t>
            </w:r>
          </w:p>
        </w:tc>
        <w:tc>
          <w:tcPr>
            <w:tcW w:w="128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(No. 2) 2007</w:t>
            </w:r>
          </w:p>
        </w:tc>
        <w:tc>
          <w:tcPr>
            <w:tcW w:w="128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pPr>
            <w:r>
              <w:rPr>
                <w:i/>
              </w:rPr>
              <w:t>Waste Avoidance and Resource Recovery Regulations 2008</w:t>
            </w:r>
            <w:r>
              <w:t xml:space="preserve"> r. 22</w:t>
            </w:r>
          </w:p>
        </w:tc>
        <w:tc>
          <w:tcPr>
            <w:tcW w:w="128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2010</w:t>
            </w:r>
          </w:p>
        </w:tc>
        <w:tc>
          <w:tcPr>
            <w:tcW w:w="128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 xml:space="preserve">Environmental Protection (Packaged Fertiliser) Regulations 2010 </w:t>
            </w:r>
            <w:r>
              <w:rPr>
                <w:iCs/>
              </w:rPr>
              <w:t>r. 18</w:t>
            </w:r>
          </w:p>
        </w:tc>
        <w:tc>
          <w:tcPr>
            <w:tcW w:w="128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08" w:type="dxa"/>
          </w:tcPr>
          <w:p>
            <w:pPr>
              <w:pStyle w:val="nTable"/>
              <w:spacing w:after="40"/>
              <w:ind w:right="113"/>
              <w:rPr>
                <w:i/>
              </w:rPr>
            </w:pPr>
            <w:r>
              <w:rPr>
                <w:i/>
              </w:rPr>
              <w:t>Environmental Protection Amendment Regulations 2012</w:t>
            </w:r>
          </w:p>
        </w:tc>
        <w:tc>
          <w:tcPr>
            <w:tcW w:w="128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2012</w:t>
            </w:r>
          </w:p>
        </w:tc>
        <w:tc>
          <w:tcPr>
            <w:tcW w:w="128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lastRenderedPageBreak/>
              <w:t>Environmental Protection Amendment Regulations (No. 3) 2012</w:t>
            </w:r>
          </w:p>
        </w:tc>
        <w:tc>
          <w:tcPr>
            <w:tcW w:w="128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2013</w:t>
            </w:r>
          </w:p>
        </w:tc>
        <w:tc>
          <w:tcPr>
            <w:tcW w:w="128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2013</w:t>
            </w:r>
          </w:p>
        </w:tc>
        <w:tc>
          <w:tcPr>
            <w:tcW w:w="128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2) 2013</w:t>
            </w:r>
          </w:p>
        </w:tc>
        <w:tc>
          <w:tcPr>
            <w:tcW w:w="128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(No. 3) 2014</w:t>
            </w:r>
          </w:p>
        </w:tc>
        <w:tc>
          <w:tcPr>
            <w:tcW w:w="128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2015</w:t>
            </w:r>
          </w:p>
        </w:tc>
        <w:tc>
          <w:tcPr>
            <w:tcW w:w="128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08" w:type="dxa"/>
            <w:shd w:val="clear" w:color="auto" w:fill="auto"/>
          </w:tcPr>
          <w:p>
            <w:pPr>
              <w:pStyle w:val="nTable"/>
              <w:spacing w:after="40"/>
              <w:ind w:right="113"/>
              <w:rPr>
                <w:i/>
              </w:rPr>
            </w:pPr>
            <w:r>
              <w:rPr>
                <w:i/>
              </w:rPr>
              <w:t>Environmental Protection Amendment Regulations 2016</w:t>
            </w:r>
          </w:p>
        </w:tc>
        <w:tc>
          <w:tcPr>
            <w:tcW w:w="128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08" w:type="dxa"/>
            <w:tcBorders>
              <w:top w:val="nil"/>
              <w:bottom w:val="nil"/>
            </w:tcBorders>
          </w:tcPr>
          <w:p>
            <w:pPr>
              <w:pStyle w:val="nTable"/>
              <w:spacing w:after="40"/>
            </w:pPr>
            <w:r>
              <w:rPr>
                <w:i/>
              </w:rPr>
              <w:t>Environment Regulations Amendment (Public Health) Regulations 2016</w:t>
            </w:r>
            <w:r>
              <w:t xml:space="preserve"> Pt. 7</w:t>
            </w:r>
          </w:p>
        </w:tc>
        <w:tc>
          <w:tcPr>
            <w:tcW w:w="128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08" w:type="dxa"/>
            <w:tcBorders>
              <w:top w:val="nil"/>
              <w:bottom w:val="nil"/>
            </w:tcBorders>
          </w:tcPr>
          <w:p>
            <w:pPr>
              <w:pStyle w:val="nTable"/>
              <w:spacing w:after="40"/>
              <w:rPr>
                <w:i/>
              </w:rPr>
            </w:pPr>
            <w:r>
              <w:rPr>
                <w:i/>
              </w:rPr>
              <w:t>Environmental Protection Amendment Regulations 2018</w:t>
            </w:r>
          </w:p>
        </w:tc>
        <w:tc>
          <w:tcPr>
            <w:tcW w:w="128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08" w:type="dxa"/>
            <w:tcBorders>
              <w:top w:val="nil"/>
              <w:bottom w:val="nil"/>
            </w:tcBorders>
          </w:tcPr>
          <w:p>
            <w:pPr>
              <w:pStyle w:val="nTable"/>
              <w:spacing w:after="40"/>
            </w:pPr>
            <w:r>
              <w:rPr>
                <w:i/>
              </w:rPr>
              <w:lastRenderedPageBreak/>
              <w:t>Environmental Protection Amendment Regulations (No. 2) 2018</w:t>
            </w:r>
          </w:p>
        </w:tc>
        <w:tc>
          <w:tcPr>
            <w:tcW w:w="128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08" w:type="dxa"/>
            <w:tcBorders>
              <w:top w:val="nil"/>
              <w:bottom w:val="nil"/>
            </w:tcBorders>
          </w:tcPr>
          <w:p>
            <w:pPr>
              <w:pStyle w:val="nTable"/>
              <w:spacing w:after="40"/>
            </w:pPr>
            <w:r>
              <w:rPr>
                <w:i/>
              </w:rPr>
              <w:t>Environmental Protection (Plastic Bags) Regulations 2018</w:t>
            </w:r>
            <w:r>
              <w:t xml:space="preserve"> Pt. 3</w:t>
            </w:r>
          </w:p>
        </w:tc>
        <w:tc>
          <w:tcPr>
            <w:tcW w:w="128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08" w:type="dxa"/>
            <w:tcBorders>
              <w:top w:val="nil"/>
              <w:bottom w:val="nil"/>
            </w:tcBorders>
          </w:tcPr>
          <w:p>
            <w:pPr>
              <w:pStyle w:val="nTable"/>
              <w:spacing w:after="40"/>
            </w:pPr>
            <w:r>
              <w:rPr>
                <w:i/>
              </w:rPr>
              <w:t>Environmental Protection (Solid Fuel Heater and Firewood) Regulations 2018</w:t>
            </w:r>
            <w:r>
              <w:t xml:space="preserve"> Pt. 5 Div. 2</w:t>
            </w:r>
          </w:p>
        </w:tc>
        <w:tc>
          <w:tcPr>
            <w:tcW w:w="128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08" w:type="dxa"/>
            <w:tcBorders>
              <w:top w:val="nil"/>
              <w:bottom w:val="nil"/>
            </w:tcBorders>
          </w:tcPr>
          <w:p>
            <w:pPr>
              <w:pStyle w:val="nTable"/>
              <w:spacing w:after="40"/>
              <w:rPr>
                <w:i/>
              </w:rPr>
            </w:pPr>
            <w:r>
              <w:rPr>
                <w:i/>
              </w:rPr>
              <w:t>Environmental Protection Amendment Regulations (No. 3) 2018</w:t>
            </w:r>
          </w:p>
        </w:tc>
        <w:tc>
          <w:tcPr>
            <w:tcW w:w="128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08" w:type="dxa"/>
            <w:tcBorders>
              <w:top w:val="nil"/>
              <w:bottom w:val="nil"/>
            </w:tcBorders>
          </w:tcPr>
          <w:p>
            <w:pPr>
              <w:pStyle w:val="nTable"/>
              <w:spacing w:after="40"/>
              <w:rPr>
                <w:i/>
              </w:rPr>
            </w:pPr>
            <w:r>
              <w:rPr>
                <w:i/>
              </w:rPr>
              <w:t>Environmental Protection Amendment Regulations (No. 2) 2020</w:t>
            </w:r>
          </w:p>
        </w:tc>
        <w:tc>
          <w:tcPr>
            <w:tcW w:w="128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08" w:type="dxa"/>
            <w:tcBorders>
              <w:top w:val="nil"/>
              <w:bottom w:val="nil"/>
            </w:tcBorders>
          </w:tcPr>
          <w:p>
            <w:pPr>
              <w:pStyle w:val="nTable"/>
              <w:spacing w:after="40"/>
              <w:rPr>
                <w:i/>
              </w:rPr>
            </w:pPr>
            <w:r>
              <w:rPr>
                <w:i/>
              </w:rPr>
              <w:t>Environmental Protection Amendment Regulations 2020</w:t>
            </w:r>
          </w:p>
        </w:tc>
        <w:tc>
          <w:tcPr>
            <w:tcW w:w="128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0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8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0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8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08" w:type="dxa"/>
            <w:tcBorders>
              <w:top w:val="nil"/>
              <w:bottom w:val="nil"/>
            </w:tcBorders>
          </w:tcPr>
          <w:p>
            <w:pPr>
              <w:pStyle w:val="nTable"/>
              <w:spacing w:after="40"/>
              <w:rPr>
                <w:i/>
              </w:rPr>
            </w:pPr>
            <w:r>
              <w:rPr>
                <w:i/>
              </w:rPr>
              <w:t>Environmental Protection Amendment Regulations (No. 2) 2021</w:t>
            </w:r>
          </w:p>
        </w:tc>
        <w:tc>
          <w:tcPr>
            <w:tcW w:w="128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8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0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8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08" w:type="dxa"/>
            <w:tcBorders>
              <w:top w:val="nil"/>
              <w:bottom w:val="nil"/>
            </w:tcBorders>
          </w:tcPr>
          <w:p>
            <w:pPr>
              <w:pStyle w:val="nTable"/>
              <w:spacing w:after="40"/>
              <w:rPr>
                <w:i/>
              </w:rPr>
            </w:pPr>
            <w:r>
              <w:rPr>
                <w:i/>
              </w:rPr>
              <w:lastRenderedPageBreak/>
              <w:t>Environmental Protection Amendment Regulations 2022</w:t>
            </w:r>
          </w:p>
        </w:tc>
        <w:tc>
          <w:tcPr>
            <w:tcW w:w="128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0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8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0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8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08" w:type="dxa"/>
            <w:tcBorders>
              <w:top w:val="nil"/>
              <w:bottom w:val="nil"/>
            </w:tcBorders>
          </w:tcPr>
          <w:p>
            <w:pPr>
              <w:pStyle w:val="nTable"/>
              <w:spacing w:after="40"/>
            </w:pPr>
            <w:r>
              <w:rPr>
                <w:i/>
              </w:rPr>
              <w:t>Environmental Protection Amendment Regulations (No. 2) 2023</w:t>
            </w:r>
          </w:p>
        </w:tc>
        <w:tc>
          <w:tcPr>
            <w:tcW w:w="128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0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8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08" w:type="dxa"/>
            <w:tcBorders>
              <w:top w:val="nil"/>
              <w:bottom w:val="nil"/>
            </w:tcBorders>
          </w:tcPr>
          <w:p>
            <w:pPr>
              <w:pStyle w:val="nTable"/>
              <w:spacing w:after="40"/>
              <w:rPr>
                <w:i/>
              </w:rPr>
            </w:pPr>
            <w:r>
              <w:rPr>
                <w:i/>
              </w:rPr>
              <w:t>Environmental Protection Amendment Regulations 2024</w:t>
            </w:r>
          </w:p>
        </w:tc>
        <w:tc>
          <w:tcPr>
            <w:tcW w:w="1286" w:type="dxa"/>
            <w:tcBorders>
              <w:top w:val="nil"/>
              <w:bottom w:val="nil"/>
            </w:tcBorders>
          </w:tcPr>
          <w:p>
            <w:pPr>
              <w:pStyle w:val="nTable"/>
              <w:spacing w:after="40"/>
            </w:pPr>
            <w:r>
              <w:t>SL 2024/4 24 Jan 2024</w:t>
            </w:r>
          </w:p>
        </w:tc>
        <w:tc>
          <w:tcPr>
            <w:tcW w:w="2693" w:type="dxa"/>
            <w:tcBorders>
              <w:top w:val="nil"/>
              <w:bottom w:val="nil"/>
            </w:tcBorders>
          </w:tcPr>
          <w:p>
            <w:pPr>
              <w:pStyle w:val="nTable"/>
              <w:spacing w:after="40"/>
            </w:pPr>
            <w:r>
              <w:t>r. 1 and 2: 24 Jan 2024 (see r. 2(a));</w:t>
            </w:r>
            <w:r>
              <w:br/>
              <w:t>Regulations other than r. 1 and 2: 25 Jan 2024 (see r. 2(b))</w:t>
            </w:r>
          </w:p>
        </w:tc>
      </w:tr>
      <w:tr>
        <w:tc>
          <w:tcPr>
            <w:tcW w:w="3108" w:type="dxa"/>
            <w:tcBorders>
              <w:top w:val="nil"/>
              <w:bottom w:val="nil"/>
            </w:tcBorders>
          </w:tcPr>
          <w:p>
            <w:pPr>
              <w:pStyle w:val="nTable"/>
              <w:spacing w:after="40"/>
              <w:rPr>
                <w:iCs/>
              </w:rPr>
            </w:pPr>
            <w:r>
              <w:rPr>
                <w:i/>
              </w:rPr>
              <w:t xml:space="preserve">Environmental Protection Regulations Amendment (Prohibited Plastics and Balloons) Regulations 2024 </w:t>
            </w:r>
            <w:r>
              <w:rPr>
                <w:iCs/>
              </w:rPr>
              <w:t>Pt. 3</w:t>
            </w:r>
          </w:p>
        </w:tc>
        <w:tc>
          <w:tcPr>
            <w:tcW w:w="128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r>
        <w:tc>
          <w:tcPr>
            <w:tcW w:w="4394" w:type="dxa"/>
            <w:gridSpan w:val="2"/>
            <w:tcBorders>
              <w:top w:val="nil"/>
              <w:bottom w:val="nil"/>
            </w:tcBorders>
          </w:tcPr>
          <w:p>
            <w:pPr>
              <w:pStyle w:val="nTable"/>
              <w:spacing w:after="40"/>
              <w:rPr>
                <w:iCs/>
              </w:rPr>
            </w:pPr>
            <w:r>
              <w:rPr>
                <w:i/>
              </w:rPr>
              <w:t xml:space="preserve">Environmental Protection Amendment Act 2024 </w:t>
            </w:r>
            <w:r>
              <w:rPr>
                <w:iCs/>
              </w:rPr>
              <w:t>Pt. 6 Div. 2</w:t>
            </w:r>
            <w:r>
              <w:rPr>
                <w:i/>
              </w:rPr>
              <w:t xml:space="preserve"> </w:t>
            </w:r>
            <w:r>
              <w:rPr>
                <w:iCs/>
              </w:rPr>
              <w:t>assented to on 22 Oct 2024</w:t>
            </w:r>
          </w:p>
        </w:tc>
        <w:tc>
          <w:tcPr>
            <w:tcW w:w="2693" w:type="dxa"/>
            <w:tcBorders>
              <w:top w:val="nil"/>
              <w:bottom w:val="nil"/>
            </w:tcBorders>
          </w:tcPr>
          <w:p>
            <w:pPr>
              <w:pStyle w:val="nTable"/>
              <w:spacing w:after="40"/>
            </w:pPr>
            <w:r>
              <w:t>23 Oct 2024 (see s. 2(1)(e))</w:t>
            </w:r>
          </w:p>
        </w:tc>
      </w:tr>
      <w:tr>
        <w:tc>
          <w:tcPr>
            <w:tcW w:w="3108" w:type="dxa"/>
            <w:tcBorders>
              <w:top w:val="nil"/>
              <w:bottom w:val="nil"/>
            </w:tcBorders>
          </w:tcPr>
          <w:p>
            <w:pPr>
              <w:pStyle w:val="nTable"/>
              <w:spacing w:after="40"/>
              <w:rPr>
                <w:i/>
              </w:rPr>
            </w:pPr>
            <w:r>
              <w:rPr>
                <w:i/>
              </w:rPr>
              <w:t>Environmental Protection Amendment Regulations (No. 4) 2024</w:t>
            </w:r>
          </w:p>
        </w:tc>
        <w:tc>
          <w:tcPr>
            <w:tcW w:w="1286" w:type="dxa"/>
            <w:tcBorders>
              <w:top w:val="nil"/>
              <w:bottom w:val="nil"/>
            </w:tcBorders>
          </w:tcPr>
          <w:p>
            <w:pPr>
              <w:pStyle w:val="nTable"/>
              <w:spacing w:after="40"/>
              <w:rPr>
                <w:iCs/>
              </w:rPr>
            </w:pPr>
            <w:r>
              <w:rPr>
                <w:iCs/>
              </w:rPr>
              <w:t>SL 2024/244 27 Nov 2024</w:t>
            </w:r>
          </w:p>
        </w:tc>
        <w:tc>
          <w:tcPr>
            <w:tcW w:w="2693" w:type="dxa"/>
            <w:tcBorders>
              <w:top w:val="nil"/>
              <w:bottom w:val="nil"/>
            </w:tcBorders>
          </w:tcPr>
          <w:p>
            <w:pPr>
              <w:pStyle w:val="nTable"/>
              <w:spacing w:after="40"/>
            </w:pPr>
            <w:r>
              <w:t>r. 1 and 2: 27 Nov 2024 (see r. 2(a));</w:t>
            </w:r>
            <w:r>
              <w:br/>
              <w:t>Regulations other than r. 1 and 2: 28 Nov 2024 (see r. 2(b) and SL 2024/239 cl. 2))</w:t>
            </w:r>
          </w:p>
        </w:tc>
      </w:tr>
      <w:tr>
        <w:tc>
          <w:tcPr>
            <w:tcW w:w="3108" w:type="dxa"/>
            <w:tcBorders>
              <w:top w:val="nil"/>
              <w:bottom w:val="nil"/>
            </w:tcBorders>
          </w:tcPr>
          <w:p>
            <w:pPr>
              <w:pStyle w:val="nTable"/>
              <w:spacing w:after="40"/>
              <w:rPr>
                <w:i/>
              </w:rPr>
            </w:pPr>
            <w:r>
              <w:rPr>
                <w:i/>
              </w:rPr>
              <w:t>Environmental Protection Amendment Regulations (No. 2) 2024</w:t>
            </w:r>
          </w:p>
        </w:tc>
        <w:tc>
          <w:tcPr>
            <w:tcW w:w="1286" w:type="dxa"/>
            <w:tcBorders>
              <w:top w:val="nil"/>
              <w:bottom w:val="nil"/>
            </w:tcBorders>
          </w:tcPr>
          <w:p>
            <w:pPr>
              <w:pStyle w:val="nTable"/>
              <w:spacing w:after="40"/>
              <w:rPr>
                <w:iCs/>
              </w:rPr>
            </w:pPr>
            <w:r>
              <w:rPr>
                <w:iCs/>
              </w:rPr>
              <w:t>SL 2024/288 18 Dec 2024</w:t>
            </w:r>
          </w:p>
        </w:tc>
        <w:tc>
          <w:tcPr>
            <w:tcW w:w="2693" w:type="dxa"/>
            <w:tcBorders>
              <w:top w:val="nil"/>
              <w:bottom w:val="nil"/>
            </w:tcBorders>
          </w:tcPr>
          <w:p>
            <w:pPr>
              <w:pStyle w:val="nTable"/>
              <w:spacing w:after="40"/>
            </w:pPr>
            <w:r>
              <w:t>r. 1 and 2: 18 Dec 2024 (see r. 2(a));</w:t>
            </w:r>
            <w:r>
              <w:br/>
              <w:t>Regulations other than r. 1 and 2: 19 Dec 2024 (see r. 2(b))</w:t>
            </w:r>
          </w:p>
        </w:tc>
      </w:tr>
      <w:tr>
        <w:tc>
          <w:tcPr>
            <w:tcW w:w="3108" w:type="dxa"/>
            <w:tcBorders>
              <w:top w:val="nil"/>
              <w:bottom w:val="single" w:sz="4" w:space="0" w:color="auto"/>
            </w:tcBorders>
          </w:tcPr>
          <w:p>
            <w:pPr>
              <w:pStyle w:val="nTable"/>
              <w:spacing w:after="40"/>
              <w:rPr>
                <w:i/>
              </w:rPr>
            </w:pPr>
            <w:r>
              <w:rPr>
                <w:i/>
              </w:rPr>
              <w:t xml:space="preserve">Environmental Protection Amendment Regulations 2025 </w:t>
            </w:r>
          </w:p>
        </w:tc>
        <w:tc>
          <w:tcPr>
            <w:tcW w:w="1286" w:type="dxa"/>
            <w:tcBorders>
              <w:top w:val="nil"/>
              <w:bottom w:val="single" w:sz="4" w:space="0" w:color="auto"/>
            </w:tcBorders>
          </w:tcPr>
          <w:p>
            <w:pPr>
              <w:pStyle w:val="nTable"/>
              <w:spacing w:after="40"/>
              <w:rPr>
                <w:iCs/>
              </w:rPr>
            </w:pPr>
            <w:r>
              <w:rPr>
                <w:iCs/>
              </w:rPr>
              <w:t>SL 2025/6 22 Jan 2025</w:t>
            </w:r>
          </w:p>
        </w:tc>
        <w:tc>
          <w:tcPr>
            <w:tcW w:w="2693" w:type="dxa"/>
            <w:tcBorders>
              <w:top w:val="nil"/>
              <w:bottom w:val="single" w:sz="4" w:space="0" w:color="auto"/>
            </w:tcBorders>
          </w:tcPr>
          <w:p>
            <w:pPr>
              <w:pStyle w:val="nTable"/>
              <w:spacing w:after="40"/>
            </w:pPr>
            <w:r>
              <w:t>r. 1 and 2: 22 Jan 2025 (see r. 2(a);</w:t>
            </w:r>
            <w:r>
              <w:br/>
              <w:t>Regulations other than r. 1 and 2: 23 Jan 2025 (see r. 2(b))</w:t>
            </w:r>
          </w:p>
        </w:tc>
      </w:tr>
    </w:tbl>
    <w:p>
      <w:pPr>
        <w:pStyle w:val="nHeading3"/>
      </w:pPr>
      <w:bookmarkStart w:id="204" w:name="_Toc187935480"/>
      <w:r>
        <w:lastRenderedPageBreak/>
        <w:t>Other notes</w:t>
      </w:r>
      <w:bookmarkEnd w:id="204"/>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206" w:name="_Toc187935481"/>
      <w:r>
        <w:rPr>
          <w:sz w:val="28"/>
        </w:rPr>
        <w:lastRenderedPageBreak/>
        <w:t>Defined terms</w:t>
      </w:r>
      <w:bookmarkEnd w:id="2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redevelopment scheme</w:t>
      </w:r>
      <w:r>
        <w:tab/>
        <w:t>33A</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building envelope</w:t>
      </w:r>
      <w:r>
        <w:tab/>
        <w:t>33B(1)</w:t>
      </w:r>
    </w:p>
    <w:p>
      <w:pPr>
        <w:pStyle w:val="DefinedTerms"/>
      </w:pPr>
      <w:r>
        <w:t>Bush Forever area</w:t>
      </w:r>
      <w:r>
        <w:tab/>
        <w:t>33B(1)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cultural place</w:t>
      </w:r>
      <w:r>
        <w:tab/>
        <w:t>33C(1)</w:t>
      </w:r>
    </w:p>
    <w:p>
      <w:pPr>
        <w:pStyle w:val="DefinedTerms"/>
      </w:pPr>
      <w:r>
        <w:t>department</w:t>
      </w:r>
      <w:r>
        <w:tab/>
        <w:t>3D(1)</w:t>
      </w:r>
    </w:p>
    <w:p>
      <w:pPr>
        <w:pStyle w:val="DefinedTerms"/>
      </w:pPr>
      <w:r>
        <w:t>design requirement</w:t>
      </w:r>
      <w:r>
        <w:tab/>
        <w:t>33C(1)</w:t>
      </w:r>
    </w:p>
    <w:p>
      <w:pPr>
        <w:pStyle w:val="DefinedTerms"/>
      </w:pPr>
      <w:r>
        <w:t>development</w:t>
      </w:r>
      <w:r>
        <w:tab/>
        <w:t>33C(1)</w:t>
      </w:r>
    </w:p>
    <w:p>
      <w:pPr>
        <w:pStyle w:val="DefinedTerms"/>
      </w:pPr>
      <w:r>
        <w:t>development requirement</w:t>
      </w:r>
      <w:r>
        <w:tab/>
        <w:t>33B(1)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enabling Act</w:t>
      </w:r>
      <w:r>
        <w:tab/>
        <w:t>3H(1)</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2AA</w:t>
      </w:r>
    </w:p>
    <w:p>
      <w:pPr>
        <w:pStyle w:val="DefinedTerms"/>
      </w:pPr>
      <w:r>
        <w:t>Landfill Waste Classification and Waste Definitions 1996</w:t>
      </w:r>
      <w:r>
        <w:tab/>
        <w:t>2AA</w:t>
      </w:r>
    </w:p>
    <w:p>
      <w:pPr>
        <w:pStyle w:val="DefinedTerms"/>
      </w:pPr>
      <w:r>
        <w:t>land use category</w:t>
      </w:r>
      <w:r>
        <w:tab/>
        <w:t>33C(1)</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lastRenderedPageBreak/>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Metropolitan Region Scheme</w:t>
      </w:r>
      <w:r>
        <w:tab/>
        <w:t>33A(1)</w:t>
      </w:r>
    </w:p>
    <w:p>
      <w:pPr>
        <w:pStyle w:val="DefinedTerms"/>
      </w:pPr>
      <w:r>
        <w:t>minute</w:t>
      </w:r>
      <w:r>
        <w:tab/>
        <w:t>2B(1)</w:t>
      </w:r>
    </w:p>
    <w:p>
      <w:pPr>
        <w:pStyle w:val="DefinedTerms"/>
      </w:pPr>
      <w:r>
        <w:t>native species</w:t>
      </w:r>
      <w:r>
        <w:tab/>
        <w:t>3D(1)</w:t>
      </w:r>
    </w:p>
    <w:p>
      <w:pPr>
        <w:pStyle w:val="DefinedTerms"/>
      </w:pPr>
      <w:r>
        <w:t>native vegetation</w:t>
      </w:r>
      <w:r>
        <w:tab/>
        <w:t>33C(1)</w:t>
      </w:r>
    </w:p>
    <w:p>
      <w:pPr>
        <w:pStyle w:val="DefinedTerms"/>
      </w:pPr>
      <w:r>
        <w:t>organotin anti-fouling paint</w:t>
      </w:r>
      <w:r>
        <w:tab/>
        <w:t>16(4)</w:t>
      </w:r>
    </w:p>
    <w:p>
      <w:pPr>
        <w:pStyle w:val="DefinedTerms"/>
      </w:pPr>
      <w:r>
        <w:t>original jurisdiction</w:t>
      </w:r>
      <w:r>
        <w:tab/>
        <w:t>3H(1)</w:t>
      </w:r>
    </w:p>
    <w:p>
      <w:pPr>
        <w:pStyle w:val="DefinedTerms"/>
      </w:pPr>
      <w:r>
        <w:t>Part 2 waste</w:t>
      </w:r>
      <w:r>
        <w:tab/>
        <w:t>5D(6)</w:t>
      </w:r>
    </w:p>
    <w:p>
      <w:pPr>
        <w:pStyle w:val="DefinedTerms"/>
      </w:pPr>
      <w:r>
        <w:t>payer</w:t>
      </w:r>
      <w:r>
        <w:tab/>
        <w:t>5N</w:t>
      </w:r>
    </w:p>
    <w:p>
      <w:pPr>
        <w:pStyle w:val="DefinedTerms"/>
      </w:pPr>
      <w:r>
        <w:t>petroleum activity</w:t>
      </w:r>
      <w:r>
        <w:tab/>
        <w:t>2AA</w:t>
      </w:r>
    </w:p>
    <w:p>
      <w:pPr>
        <w:pStyle w:val="DefinedTerms"/>
      </w:pPr>
      <w:r>
        <w:t>petroleum activity involving hydraulic fracturing</w:t>
      </w:r>
      <w:r>
        <w:tab/>
        <w:t>3F</w:t>
      </w:r>
    </w:p>
    <w:p>
      <w:pPr>
        <w:pStyle w:val="DefinedTerms"/>
      </w:pPr>
      <w:r>
        <w:t>PGER Environment Regulations</w:t>
      </w:r>
      <w:r>
        <w:tab/>
        <w:t>2AA</w:t>
      </w:r>
    </w:p>
    <w:p>
      <w:pPr>
        <w:pStyle w:val="DefinedTerms"/>
      </w:pPr>
      <w:r>
        <w:t>planning legislation</w:t>
      </w:r>
      <w:r>
        <w:tab/>
        <w:t>3H(1)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R-Codes</w:t>
      </w:r>
      <w:r>
        <w:tab/>
        <w:t>33C(1)</w:t>
      </w:r>
    </w:p>
    <w:p>
      <w:pPr>
        <w:pStyle w:val="DefinedTerms"/>
      </w:pPr>
      <w:r>
        <w:t>record</w:t>
      </w:r>
      <w:r>
        <w:tab/>
        <w:t>2B(1)</w:t>
      </w:r>
    </w:p>
    <w:p>
      <w:pPr>
        <w:pStyle w:val="DefinedTerms"/>
      </w:pPr>
      <w:r>
        <w:t>refund point</w:t>
      </w:r>
      <w:r>
        <w:tab/>
        <w:t>Sch. 1</w:t>
      </w:r>
    </w:p>
    <w:p>
      <w:pPr>
        <w:pStyle w:val="DefinedTerms"/>
      </w:pPr>
      <w:r>
        <w:t>regional road</w:t>
      </w:r>
      <w:r>
        <w:tab/>
        <w:t>33B(1)</w:t>
      </w:r>
    </w:p>
    <w:p>
      <w:pPr>
        <w:pStyle w:val="DefinedTerms"/>
      </w:pPr>
      <w:r>
        <w:t>relevant documentation</w:t>
      </w:r>
      <w:r>
        <w:tab/>
        <w:t>3B(2)</w:t>
      </w:r>
    </w:p>
    <w:p>
      <w:pPr>
        <w:pStyle w:val="DefinedTerms"/>
      </w:pPr>
      <w:r>
        <w:t>return period</w:t>
      </w:r>
      <w:r>
        <w:tab/>
        <w:t>21(1)</w:t>
      </w:r>
    </w:p>
    <w:p>
      <w:pPr>
        <w:pStyle w:val="DefinedTerms"/>
      </w:pPr>
      <w:r>
        <w:t>review jurisdiction</w:t>
      </w:r>
      <w:r>
        <w:tab/>
        <w:t>3H(1)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Tribunal</w:t>
      </w:r>
      <w:r>
        <w:tab/>
        <w:t>3H(1)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lastRenderedPageBreak/>
        <w:t>validation day</w:t>
      </w:r>
      <w:r>
        <w:tab/>
        <w:t>5DA(8)</w:t>
      </w:r>
    </w:p>
    <w:p>
      <w:pPr>
        <w:pStyle w:val="DefinedTerms"/>
      </w:pPr>
      <w:r>
        <w:t>vessel</w:t>
      </w:r>
      <w:r>
        <w:tab/>
        <w:t>16(4)</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88" w:name="Schedule"/>
    <w:bookmarkEnd w:id="1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07" w:name="DefinedTerms"/>
    <w:bookmarkEnd w:id="20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8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614422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 w:name="WAFER_20240524100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00110_GUID" w:val="86777edc-621d-4a0f-8867-5f0e8d18cb5f"/>
    <w:docVar w:name="WAFER_2024101815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54913_GUID" w:val="ce0683d6-8444-4a2f-b905-cd6560e755ee"/>
    <w:docVar w:name="WAFER_20241121160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60850_GUID" w:val="661daae9-9ca5-4617-93d1-e2ef99131a56"/>
    <w:docVar w:name="WAFER_20241218085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085700_GUID" w:val="9f450a29-2a3b-4853-8ceb-f509dc43871f"/>
    <w:docVar w:name="WAFER_20241218085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085719_GUID" w:val="53d97359-0c59-4a2f-a335-e41ee8bd952f"/>
    <w:docVar w:name="WAFER_20250116144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44220_GUID" w:val="c8dc6865-d239-46a7-9312-18d3edadb3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31468</Words>
  <Characters>152940</Characters>
  <Application>Microsoft Office Word</Application>
  <DocSecurity>0</DocSecurity>
  <Lines>6117</Lines>
  <Paragraphs>4097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180311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1987 - 08-af0-00</dc:title>
  <dc:subject/>
  <dc:creator/>
  <cp:keywords/>
  <dc:description/>
  <cp:lastModifiedBy>Master Repository Process</cp:lastModifiedBy>
  <cp:revision>4</cp:revision>
  <cp:lastPrinted>2018-12-04T06:49:00Z</cp:lastPrinted>
  <dcterms:created xsi:type="dcterms:W3CDTF">2025-07-04T03:09:00Z</dcterms:created>
  <dcterms:modified xsi:type="dcterms:W3CDTF">2025-07-04T03:10:00Z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20250123</vt:lpwstr>
  </property>
  <property fmtid="{D5CDD505-2E9C-101B-9397-08002B2CF9AE}" pid="8" name="CommencementAsAt">
    <vt:filetime>2025-01-22T16:00:00Z</vt:filetime>
  </property>
  <property fmtid="{D5CDD505-2E9C-101B-9397-08002B2CF9AE}" pid="9" name="CommencementYear">
    <vt:lpwstr>2025</vt:lpwstr>
  </property>
  <property fmtid="{D5CDD505-2E9C-101B-9397-08002B2CF9AE}" pid="10" name="AsAtDate">
    <vt:lpwstr>23 Jan 2025</vt:lpwstr>
  </property>
  <property fmtid="{D5CDD505-2E9C-101B-9397-08002B2CF9AE}" pid="11" name="Suffix">
    <vt:lpwstr>08-af0-00</vt:lpwstr>
  </property>
  <property fmtid="{D5CDD505-2E9C-101B-9397-08002B2CF9AE}" pid="12" name="Official">
    <vt:lpwstr/>
  </property>
</Properties>
</file>