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_Toc188000682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_Toc188000683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_Toc188000684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_Toc188000685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_Toc188000686 \h </w:instrText>
      </w:r>
      <w:r>
        <w:fldChar w:fldCharType="separate"/>
      </w:r>
      <w:r>
        <w:t>4</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_Toc188000687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_Toc188000688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_Toc188000689 \h </w:instrText>
      </w:r>
      <w:r>
        <w:fldChar w:fldCharType="separate"/>
      </w:r>
      <w:r>
        <w:t>5</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_Toc188000690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_Toc188000691 \h </w:instrText>
      </w:r>
      <w:r>
        <w:fldChar w:fldCharType="separate"/>
      </w:r>
      <w:r>
        <w:t>5</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_Toc188000692 \h </w:instrText>
      </w:r>
      <w:r>
        <w:fldChar w:fldCharType="separate"/>
      </w:r>
      <w:r>
        <w:t>6</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_Toc188000693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_Toc188000694 \h </w:instrText>
      </w:r>
      <w:r>
        <w:fldChar w:fldCharType="separate"/>
      </w:r>
      <w:r>
        <w:t>7</w:t>
      </w:r>
      <w:r>
        <w:fldChar w:fldCharType="end"/>
      </w:r>
    </w:p>
    <w:p>
      <w:pPr>
        <w:pStyle w:val="TOC8"/>
        <w:rPr>
          <w:rFonts w:asciiTheme="minorHAnsi" w:eastAsiaTheme="minorEastAsia" w:hAnsiTheme="minorHAnsi" w:cstheme="minorBidi"/>
          <w:szCs w:val="22"/>
        </w:rPr>
      </w:pPr>
      <w:r>
        <w:t>4AE.</w:t>
      </w:r>
      <w:r>
        <w:tab/>
        <w:t>Substance prescribed (liqueur chocolate) (Act s. 3(1) liquor)</w:t>
      </w:r>
      <w:r>
        <w:tab/>
      </w:r>
      <w:r>
        <w:fldChar w:fldCharType="begin"/>
      </w:r>
      <w:r>
        <w:instrText xml:space="preserve"> PAGEREF _Toc188000695 \h </w:instrText>
      </w:r>
      <w:r>
        <w:fldChar w:fldCharType="separate"/>
      </w:r>
      <w:r>
        <w:t>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_Toc188000696 \h </w:instrText>
      </w:r>
      <w:r>
        <w:fldChar w:fldCharType="separate"/>
      </w:r>
      <w:r>
        <w:t>8</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_Toc188000697 \h </w:instrText>
      </w:r>
      <w:r>
        <w:fldChar w:fldCharType="separate"/>
      </w:r>
      <w:r>
        <w:t>9</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_Toc188000698 \h </w:instrText>
      </w:r>
      <w:r>
        <w:fldChar w:fldCharType="separate"/>
      </w:r>
      <w:r>
        <w:t>10</w:t>
      </w:r>
      <w:r>
        <w:fldChar w:fldCharType="end"/>
      </w:r>
    </w:p>
    <w:p>
      <w:pPr>
        <w:pStyle w:val="TOC8"/>
        <w:rPr>
          <w:rFonts w:asciiTheme="minorHAnsi" w:eastAsiaTheme="minorEastAsia" w:hAnsiTheme="minorHAnsi" w:cstheme="minorBidi"/>
          <w:szCs w:val="22"/>
        </w:rPr>
      </w:pPr>
      <w:r>
        <w:lastRenderedPageBreak/>
        <w:t>5C.</w:t>
      </w:r>
      <w:r>
        <w:tab/>
        <w:t>Types of special facility licence prescribed (Act s. 4(6))</w:t>
      </w:r>
      <w:r>
        <w:tab/>
      </w:r>
      <w:r>
        <w:fldChar w:fldCharType="begin"/>
      </w:r>
      <w:r>
        <w:instrText xml:space="preserve"> PAGEREF _Toc188000699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_Toc188000700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_Toc188000701 \h </w:instrText>
      </w:r>
      <w:r>
        <w:fldChar w:fldCharType="separate"/>
      </w:r>
      <w:r>
        <w:t>12</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_Toc188000702 \h </w:instrText>
      </w:r>
      <w:r>
        <w:fldChar w:fldCharType="separate"/>
      </w:r>
      <w:r>
        <w:t>16</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_Toc188000703 \h </w:instrText>
      </w:r>
      <w:r>
        <w:fldChar w:fldCharType="separate"/>
      </w:r>
      <w:r>
        <w:t>22</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_Toc188000704 \h </w:instrText>
      </w:r>
      <w:r>
        <w:fldChar w:fldCharType="separate"/>
      </w:r>
      <w:r>
        <w:t>23</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_Toc188000705 \h </w:instrText>
      </w:r>
      <w:r>
        <w:fldChar w:fldCharType="separate"/>
      </w:r>
      <w:r>
        <w:t>24</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_Toc188000706 \h </w:instrText>
      </w:r>
      <w:r>
        <w:fldChar w:fldCharType="separate"/>
      </w:r>
      <w:r>
        <w:t>25</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_Toc188000707 \h </w:instrText>
      </w:r>
      <w:r>
        <w:fldChar w:fldCharType="separate"/>
      </w:r>
      <w:r>
        <w:t>27</w:t>
      </w:r>
      <w:r>
        <w:fldChar w:fldCharType="end"/>
      </w:r>
    </w:p>
    <w:p>
      <w:pPr>
        <w:pStyle w:val="TOC8"/>
        <w:rPr>
          <w:rFonts w:asciiTheme="minorHAnsi" w:eastAsiaTheme="minorEastAsia" w:hAnsiTheme="minorHAnsi" w:cstheme="minorBidi"/>
          <w:szCs w:val="22"/>
        </w:rPr>
      </w:pPr>
      <w:r>
        <w:t>8F.</w:t>
      </w:r>
      <w:r>
        <w:tab/>
        <w:t>Exemption from Act for consumption in on</w:t>
      </w:r>
      <w:r>
        <w:noBreakHyphen/>
        <w:t>demand charter vehicle (Act s. 6(1)(o))</w:t>
      </w:r>
      <w:r>
        <w:tab/>
      </w:r>
      <w:r>
        <w:fldChar w:fldCharType="begin"/>
      </w:r>
      <w:r>
        <w:instrText xml:space="preserve"> PAGEREF _Toc188000708 \h </w:instrText>
      </w:r>
      <w:r>
        <w:fldChar w:fldCharType="separate"/>
      </w:r>
      <w:r>
        <w:t>28</w:t>
      </w:r>
      <w:r>
        <w:fldChar w:fldCharType="end"/>
      </w:r>
    </w:p>
    <w:p>
      <w:pPr>
        <w:pStyle w:val="TOC8"/>
        <w:rPr>
          <w:rFonts w:asciiTheme="minorHAnsi" w:eastAsiaTheme="minorEastAsia" w:hAnsiTheme="minorHAnsi" w:cstheme="minorBidi"/>
          <w:szCs w:val="22"/>
        </w:rPr>
      </w:pPr>
      <w:r>
        <w:t>8G.</w:t>
      </w:r>
      <w:r>
        <w:tab/>
        <w:t>Exemption from Act in relation to liquor competition (Act s. 6(1)(o))</w:t>
      </w:r>
      <w:r>
        <w:tab/>
      </w:r>
      <w:r>
        <w:fldChar w:fldCharType="begin"/>
      </w:r>
      <w:r>
        <w:instrText xml:space="preserve"> PAGEREF _Toc188000709 \h </w:instrText>
      </w:r>
      <w:r>
        <w:fldChar w:fldCharType="separate"/>
      </w:r>
      <w:r>
        <w:t>29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_Toc188000710 \h </w:instrText>
      </w:r>
      <w:r>
        <w:fldChar w:fldCharType="separate"/>
      </w:r>
      <w:r>
        <w:t>30</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_Toc188000711 \h </w:instrText>
      </w:r>
      <w:r>
        <w:fldChar w:fldCharType="separate"/>
      </w:r>
      <w:r>
        <w:t>31</w:t>
      </w:r>
      <w:r>
        <w:fldChar w:fldCharType="end"/>
      </w:r>
    </w:p>
    <w:p>
      <w:pPr>
        <w:pStyle w:val="TOC8"/>
        <w:rPr>
          <w:rFonts w:asciiTheme="minorHAnsi" w:eastAsiaTheme="minorEastAsia" w:hAnsiTheme="minorHAnsi" w:cstheme="minorBidi"/>
          <w:szCs w:val="22"/>
        </w:rPr>
      </w:pPr>
      <w:r>
        <w:t>9AAA.</w:t>
      </w:r>
      <w:r>
        <w:tab/>
        <w:t>Area prescribed (Act s. 36B)</w:t>
      </w:r>
      <w:r>
        <w:tab/>
      </w:r>
      <w:r>
        <w:fldChar w:fldCharType="begin"/>
      </w:r>
      <w:r>
        <w:instrText xml:space="preserve"> PAGEREF _Toc188000712 \h </w:instrText>
      </w:r>
      <w:r>
        <w:fldChar w:fldCharType="separate"/>
      </w:r>
      <w:r>
        <w:t>31</w:t>
      </w:r>
      <w:r>
        <w:fldChar w:fldCharType="end"/>
      </w:r>
    </w:p>
    <w:p>
      <w:pPr>
        <w:pStyle w:val="TOC8"/>
        <w:rPr>
          <w:rFonts w:asciiTheme="minorHAnsi" w:eastAsiaTheme="minorEastAsia" w:hAnsiTheme="minorHAnsi" w:cstheme="minorBidi"/>
          <w:szCs w:val="22"/>
        </w:rPr>
      </w:pPr>
      <w:r>
        <w:t>9AAB.</w:t>
      </w:r>
      <w:r>
        <w:tab/>
        <w:t>Distance prescribed (Act s. 36B)</w:t>
      </w:r>
      <w:r>
        <w:tab/>
      </w:r>
      <w:r>
        <w:fldChar w:fldCharType="begin"/>
      </w:r>
      <w:r>
        <w:instrText xml:space="preserve"> PAGEREF _Toc188000713 \h </w:instrText>
      </w:r>
      <w:r>
        <w:fldChar w:fldCharType="separate"/>
      </w:r>
      <w:r>
        <w:t>31</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_Toc188000714 \h </w:instrText>
      </w:r>
      <w:r>
        <w:fldChar w:fldCharType="separate"/>
      </w:r>
      <w:r>
        <w:t>31</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_Toc188000715 \h </w:instrText>
      </w:r>
      <w:r>
        <w:fldChar w:fldCharType="separate"/>
      </w:r>
      <w:r>
        <w:t>40</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_Toc188000716 \h </w:instrText>
      </w:r>
      <w:r>
        <w:fldChar w:fldCharType="separate"/>
      </w:r>
      <w:r>
        <w:t>40</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_Toc188000717 \h </w:instrText>
      </w:r>
      <w:r>
        <w:fldChar w:fldCharType="separate"/>
      </w:r>
      <w:r>
        <w:t>40</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_Toc188000718 \h </w:instrText>
      </w:r>
      <w:r>
        <w:fldChar w:fldCharType="separate"/>
      </w:r>
      <w:r>
        <w:t>41</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_Toc188000719 \h </w:instrText>
      </w:r>
      <w:r>
        <w:fldChar w:fldCharType="separate"/>
      </w:r>
      <w:r>
        <w:t>41</w:t>
      </w:r>
      <w:r>
        <w:fldChar w:fldCharType="end"/>
      </w:r>
    </w:p>
    <w:p>
      <w:pPr>
        <w:pStyle w:val="TOC8"/>
        <w:rPr>
          <w:rFonts w:asciiTheme="minorHAnsi" w:eastAsiaTheme="minorEastAsia" w:hAnsiTheme="minorHAnsi" w:cstheme="minorBidi"/>
          <w:szCs w:val="22"/>
        </w:rPr>
      </w:pPr>
      <w:r>
        <w:t>9EA.</w:t>
      </w:r>
      <w:r>
        <w:tab/>
        <w:t>Kinds of licence prescribed (Act s. 38(1)(a))</w:t>
      </w:r>
      <w:r>
        <w:tab/>
      </w:r>
      <w:r>
        <w:fldChar w:fldCharType="begin"/>
      </w:r>
      <w:r>
        <w:instrText xml:space="preserve"> PAGEREF _Toc188000720 \h </w:instrText>
      </w:r>
      <w:r>
        <w:fldChar w:fldCharType="separate"/>
      </w:r>
      <w:r>
        <w:t>41</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_Toc188000721 \h </w:instrText>
      </w:r>
      <w:r>
        <w:fldChar w:fldCharType="separate"/>
      </w:r>
      <w:r>
        <w:t>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_Toc188000722 \h </w:instrText>
      </w:r>
      <w:r>
        <w:fldChar w:fldCharType="separate"/>
      </w:r>
      <w:r>
        <w:t>42</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_Toc188000723 \h </w:instrText>
      </w:r>
      <w:r>
        <w:fldChar w:fldCharType="separate"/>
      </w:r>
      <w:r>
        <w:t>43</w:t>
      </w:r>
      <w:r>
        <w:fldChar w:fldCharType="end"/>
      </w:r>
    </w:p>
    <w:p>
      <w:pPr>
        <w:pStyle w:val="TOC8"/>
        <w:rPr>
          <w:rFonts w:asciiTheme="minorHAnsi" w:eastAsiaTheme="minorEastAsia" w:hAnsiTheme="minorHAnsi" w:cstheme="minorBidi"/>
          <w:szCs w:val="22"/>
        </w:rPr>
      </w:pPr>
      <w:r>
        <w:t>10B.</w:t>
      </w:r>
      <w:r>
        <w:tab/>
        <w:t>Days for making application prescribed (Act s. 64(1BA))</w:t>
      </w:r>
      <w:r>
        <w:tab/>
      </w:r>
      <w:r>
        <w:fldChar w:fldCharType="begin"/>
      </w:r>
      <w:r>
        <w:instrText xml:space="preserve"> PAGEREF _Toc188000724 \h </w:instrText>
      </w:r>
      <w:r>
        <w:fldChar w:fldCharType="separate"/>
      </w:r>
      <w:r>
        <w:t>43</w:t>
      </w:r>
      <w:r>
        <w:fldChar w:fldCharType="end"/>
      </w:r>
    </w:p>
    <w:p>
      <w:pPr>
        <w:pStyle w:val="TOC8"/>
        <w:rPr>
          <w:rFonts w:asciiTheme="minorHAnsi" w:eastAsiaTheme="minorEastAsia" w:hAnsiTheme="minorHAnsi" w:cstheme="minorBidi"/>
          <w:szCs w:val="22"/>
        </w:rPr>
      </w:pPr>
      <w:r>
        <w:lastRenderedPageBreak/>
        <w:t>10C.</w:t>
      </w:r>
      <w:r>
        <w:tab/>
        <w:t>Prescribed requirements for sale and delivery of packaged liquor or liquor for consumption off licensed premises (Act s. 65(1)(b))</w:t>
      </w:r>
      <w:r>
        <w:tab/>
      </w:r>
      <w:r>
        <w:fldChar w:fldCharType="begin"/>
      </w:r>
      <w:r>
        <w:instrText xml:space="preserve"> PAGEREF _Toc188000725 \h </w:instrText>
      </w:r>
      <w:r>
        <w:fldChar w:fldCharType="separate"/>
      </w:r>
      <w:r>
        <w:t>44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_Toc188000726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_Toc188000727 \h </w:instrText>
      </w:r>
      <w:r>
        <w:fldChar w:fldCharType="separate"/>
      </w:r>
      <w:r>
        <w:t>49</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_Toc188000728 \h </w:instrText>
      </w:r>
      <w:r>
        <w:fldChar w:fldCharType="separate"/>
      </w:r>
      <w:r>
        <w:t>49</w:t>
      </w:r>
      <w:r>
        <w:fldChar w:fldCharType="end"/>
      </w:r>
    </w:p>
    <w:p>
      <w:pPr>
        <w:pStyle w:val="TOC8"/>
        <w:rPr>
          <w:rFonts w:asciiTheme="minorHAnsi" w:eastAsiaTheme="minorEastAsia" w:hAnsiTheme="minorHAnsi" w:cstheme="minorBidi"/>
          <w:szCs w:val="22"/>
        </w:rPr>
      </w:pPr>
      <w:r>
        <w:t>14AA.</w:t>
      </w:r>
      <w:r>
        <w:tab/>
        <w:t>Area prescribed (Act s. 77A)</w:t>
      </w:r>
      <w:r>
        <w:tab/>
      </w:r>
      <w:r>
        <w:fldChar w:fldCharType="begin"/>
      </w:r>
      <w:r>
        <w:instrText xml:space="preserve"> PAGEREF _Toc188000729 \h </w:instrText>
      </w:r>
      <w:r>
        <w:fldChar w:fldCharType="separate"/>
      </w:r>
      <w:r>
        <w:t>49</w:t>
      </w:r>
      <w:r>
        <w:fldChar w:fldCharType="end"/>
      </w:r>
    </w:p>
    <w:p>
      <w:pPr>
        <w:pStyle w:val="TOC8"/>
        <w:rPr>
          <w:rFonts w:asciiTheme="minorHAnsi" w:eastAsiaTheme="minorEastAsia" w:hAnsiTheme="minorHAnsi" w:cstheme="minorBidi"/>
          <w:szCs w:val="22"/>
        </w:rPr>
      </w:pPr>
      <w:r>
        <w:t>14AAA.</w:t>
      </w:r>
      <w:r>
        <w:tab/>
        <w:t>Distance prescribed (Act s. 77A)</w:t>
      </w:r>
      <w:r>
        <w:tab/>
      </w:r>
      <w:r>
        <w:fldChar w:fldCharType="begin"/>
      </w:r>
      <w:r>
        <w:instrText xml:space="preserve"> PAGEREF _Toc188000730 \h </w:instrText>
      </w:r>
      <w:r>
        <w:fldChar w:fldCharType="separate"/>
      </w:r>
      <w:r>
        <w:t>50</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_Toc188000731 \h </w:instrText>
      </w:r>
      <w:r>
        <w:fldChar w:fldCharType="separate"/>
      </w:r>
      <w:r>
        <w:t>50</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_Toc188000732 \h </w:instrText>
      </w:r>
      <w:r>
        <w:fldChar w:fldCharType="separate"/>
      </w:r>
      <w:r>
        <w:t>50</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_Toc188000733 \h </w:instrText>
      </w:r>
      <w:r>
        <w:fldChar w:fldCharType="separate"/>
      </w:r>
      <w:r>
        <w:t>51</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_Toc188000734 \h </w:instrText>
      </w:r>
      <w:r>
        <w:fldChar w:fldCharType="separate"/>
      </w:r>
      <w:r>
        <w:t>52</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_Toc188000735 \h </w:instrText>
      </w:r>
      <w:r>
        <w:fldChar w:fldCharType="separate"/>
      </w:r>
      <w:r>
        <w:t>52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_Toc188000736 \h </w:instrText>
      </w:r>
      <w:r>
        <w:fldChar w:fldCharType="separate"/>
      </w:r>
      <w:r>
        <w:t>53</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_Toc188000737 \h </w:instrText>
      </w:r>
      <w:r>
        <w:fldChar w:fldCharType="separate"/>
      </w:r>
      <w:r>
        <w:t>53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_Toc188000738 \h </w:instrText>
      </w:r>
      <w:r>
        <w:fldChar w:fldCharType="separate"/>
      </w:r>
      <w:r>
        <w:t>54</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_Toc188000739 \h </w:instrText>
      </w:r>
      <w:r>
        <w:fldChar w:fldCharType="separate"/>
      </w:r>
      <w:r>
        <w:t>55</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_Toc188000740 \h </w:instrText>
      </w:r>
      <w:r>
        <w:fldChar w:fldCharType="separate"/>
      </w:r>
      <w:r>
        <w:t>55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_Toc188000741 \h </w:instrText>
      </w:r>
      <w:r>
        <w:fldChar w:fldCharType="separate"/>
      </w:r>
      <w:r>
        <w:t>57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_Toc188000742 \h </w:instrText>
      </w:r>
      <w:r>
        <w:fldChar w:fldCharType="separate"/>
      </w:r>
      <w:r>
        <w:t>58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_Toc188000743 \h </w:instrText>
      </w:r>
      <w:r>
        <w:fldChar w:fldCharType="separate"/>
      </w:r>
      <w:r>
        <w:t>59</w:t>
      </w:r>
      <w:r>
        <w:fldChar w:fldCharType="end"/>
      </w:r>
    </w:p>
    <w:p>
      <w:pPr>
        <w:pStyle w:val="TOC8"/>
        <w:rPr>
          <w:rFonts w:asciiTheme="minorHAnsi" w:eastAsiaTheme="minorEastAsia" w:hAnsiTheme="minorHAnsi" w:cstheme="minorBidi"/>
          <w:szCs w:val="22"/>
        </w:rPr>
      </w:pPr>
      <w:r>
        <w:t>16AA.</w:t>
      </w:r>
      <w:r>
        <w:tab/>
        <w:t>Quantity and area for offence (Act s. 109A)</w:t>
      </w:r>
      <w:r>
        <w:tab/>
      </w:r>
      <w:r>
        <w:fldChar w:fldCharType="begin"/>
      </w:r>
      <w:r>
        <w:instrText xml:space="preserve"> PAGEREF _Toc188000744 \h </w:instrText>
      </w:r>
      <w:r>
        <w:fldChar w:fldCharType="separate"/>
      </w:r>
      <w:r>
        <w:t>59</w:t>
      </w:r>
      <w:r>
        <w:fldChar w:fldCharType="end"/>
      </w:r>
    </w:p>
    <w:p>
      <w:pPr>
        <w:pStyle w:val="TOC8"/>
        <w:rPr>
          <w:rFonts w:asciiTheme="minorHAnsi" w:eastAsiaTheme="minorEastAsia" w:hAnsiTheme="minorHAnsi" w:cstheme="minorBidi"/>
          <w:szCs w:val="22"/>
        </w:rPr>
      </w:pPr>
      <w:r>
        <w:t>16AB.</w:t>
      </w:r>
      <w:r>
        <w:tab/>
        <w:t>Persons of prescribed class (Act s. 109A(4)(b))</w:t>
      </w:r>
      <w:r>
        <w:tab/>
      </w:r>
      <w:r>
        <w:fldChar w:fldCharType="begin"/>
      </w:r>
      <w:r>
        <w:instrText xml:space="preserve"> PAGEREF _Toc188000745 \h </w:instrText>
      </w:r>
      <w:r>
        <w:fldChar w:fldCharType="separate"/>
      </w:r>
      <w:r>
        <w:t>61</w:t>
      </w:r>
      <w:r>
        <w:fldChar w:fldCharType="end"/>
      </w:r>
    </w:p>
    <w:p>
      <w:pPr>
        <w:pStyle w:val="TOC8"/>
        <w:rPr>
          <w:rFonts w:asciiTheme="minorHAnsi" w:eastAsiaTheme="minorEastAsia" w:hAnsiTheme="minorHAnsi" w:cstheme="minorBidi"/>
          <w:szCs w:val="22"/>
        </w:rPr>
      </w:pPr>
      <w:r>
        <w:t>16AC.</w:t>
      </w:r>
      <w:r>
        <w:tab/>
        <w:t>Vehicles of prescribed class (Act s. 109A(4)(c))</w:t>
      </w:r>
      <w:r>
        <w:tab/>
      </w:r>
      <w:r>
        <w:fldChar w:fldCharType="begin"/>
      </w:r>
      <w:r>
        <w:instrText xml:space="preserve"> PAGEREF _Toc188000746 \h </w:instrText>
      </w:r>
      <w:r>
        <w:fldChar w:fldCharType="separate"/>
      </w:r>
      <w:r>
        <w:t>62</w:t>
      </w:r>
      <w:r>
        <w:fldChar w:fldCharType="end"/>
      </w:r>
    </w:p>
    <w:p>
      <w:pPr>
        <w:pStyle w:val="TOC8"/>
        <w:rPr>
          <w:rFonts w:asciiTheme="minorHAnsi" w:eastAsiaTheme="minorEastAsia" w:hAnsiTheme="minorHAnsi" w:cstheme="minorBidi"/>
          <w:szCs w:val="22"/>
        </w:rPr>
      </w:pPr>
      <w:r>
        <w:t>16AD.</w:t>
      </w:r>
      <w:r>
        <w:tab/>
        <w:t>Prescribed circumstance (Act s. 109A(4)(d))</w:t>
      </w:r>
      <w:r>
        <w:tab/>
      </w:r>
      <w:r>
        <w:fldChar w:fldCharType="begin"/>
      </w:r>
      <w:r>
        <w:instrText xml:space="preserve"> PAGEREF _Toc188000747 \h </w:instrText>
      </w:r>
      <w:r>
        <w:fldChar w:fldCharType="separate"/>
      </w:r>
      <w:r>
        <w:t>63</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_Toc188000748 \h </w:instrText>
      </w:r>
      <w:r>
        <w:fldChar w:fldCharType="separate"/>
      </w:r>
      <w:r>
        <w:t>63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_Toc188000749 \h </w:instrText>
      </w:r>
      <w:r>
        <w:fldChar w:fldCharType="separate"/>
      </w:r>
      <w:r>
        <w:t>64</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_Toc188000750 \h </w:instrText>
      </w:r>
      <w:r>
        <w:fldChar w:fldCharType="separate"/>
      </w:r>
      <w:r>
        <w:t>65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_Toc188000751 \h </w:instrText>
      </w:r>
      <w:r>
        <w:fldChar w:fldCharType="separate"/>
      </w:r>
      <w:r>
        <w:t>66</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_Toc188000752 \h </w:instrText>
      </w:r>
      <w:r>
        <w:fldChar w:fldCharType="separate"/>
      </w:r>
      <w:r>
        <w:t>67</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_Toc188000753 \h </w:instrText>
      </w:r>
      <w:r>
        <w:fldChar w:fldCharType="separate"/>
      </w:r>
      <w:r>
        <w:t>68</w:t>
      </w:r>
      <w:r>
        <w:fldChar w:fldCharType="end"/>
      </w:r>
    </w:p>
    <w:p>
      <w:pPr>
        <w:pStyle w:val="TOC8"/>
        <w:rPr>
          <w:rFonts w:asciiTheme="minorHAnsi" w:eastAsiaTheme="minorEastAsia" w:hAnsiTheme="minorHAnsi" w:cstheme="minorBidi"/>
          <w:szCs w:val="22"/>
        </w:rPr>
      </w:pPr>
      <w:r>
        <w:lastRenderedPageBreak/>
        <w:t>18D</w:t>
      </w:r>
      <w:r>
        <w:rPr>
          <w:snapToGrid w:val="0"/>
        </w:rPr>
        <w:t>.</w:t>
      </w:r>
      <w:r>
        <w:rPr>
          <w:snapToGrid w:val="0"/>
        </w:rPr>
        <w:tab/>
        <w:t>Lost etc. proof of age card, replacement of</w:t>
      </w:r>
      <w:r>
        <w:tab/>
      </w:r>
      <w:r>
        <w:fldChar w:fldCharType="begin"/>
      </w:r>
      <w:r>
        <w:instrText xml:space="preserve"> PAGEREF _Toc188000754 \h </w:instrText>
      </w:r>
      <w:r>
        <w:fldChar w:fldCharType="separate"/>
      </w:r>
      <w:r>
        <w:t>69</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_Toc188000755 \h </w:instrText>
      </w:r>
      <w:r>
        <w:fldChar w:fldCharType="separate"/>
      </w:r>
      <w:r>
        <w:t>69</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_Toc188000756 \h </w:instrText>
      </w:r>
      <w:r>
        <w:fldChar w:fldCharType="separate"/>
      </w:r>
      <w:r>
        <w:t>69</w:t>
      </w:r>
      <w:r>
        <w:fldChar w:fldCharType="end"/>
      </w:r>
    </w:p>
    <w:p>
      <w:pPr>
        <w:pStyle w:val="TOC8"/>
        <w:rPr>
          <w:rFonts w:asciiTheme="minorHAnsi" w:eastAsiaTheme="minorEastAsia" w:hAnsiTheme="minorHAnsi" w:cstheme="minorBidi"/>
          <w:szCs w:val="22"/>
        </w:rPr>
      </w:pPr>
      <w:r>
        <w:t>18EBA.</w:t>
      </w:r>
      <w:r>
        <w:tab/>
        <w:t xml:space="preserve">Persons prescribed (Act s. 115AC(1A), 152K(1A), 152NZC(1), 152NZT(1) </w:t>
      </w:r>
      <w:r>
        <w:rPr>
          <w:i/>
        </w:rPr>
        <w:t>secure webpage</w:t>
      </w:r>
      <w:r>
        <w:t>)</w:t>
      </w:r>
      <w:r>
        <w:tab/>
      </w:r>
      <w:r>
        <w:fldChar w:fldCharType="begin"/>
      </w:r>
      <w:r>
        <w:instrText xml:space="preserve"> PAGEREF _Toc188000757 \h </w:instrText>
      </w:r>
      <w:r>
        <w:fldChar w:fldCharType="separate"/>
      </w:r>
      <w:r>
        <w:t>70</w:t>
      </w:r>
      <w:r>
        <w:fldChar w:fldCharType="end"/>
      </w:r>
    </w:p>
    <w:p>
      <w:pPr>
        <w:pStyle w:val="TOC8"/>
        <w:rPr>
          <w:rFonts w:asciiTheme="minorHAnsi" w:eastAsiaTheme="minorEastAsia" w:hAnsiTheme="minorHAnsi" w:cstheme="minorBidi"/>
          <w:szCs w:val="22"/>
        </w:rPr>
      </w:pPr>
      <w:r>
        <w:t>18EBB.</w:t>
      </w:r>
      <w:r>
        <w:tab/>
        <w:t>Prescribed class of persons (Act s. 115AC(1AA)(b))</w:t>
      </w:r>
      <w:r>
        <w:tab/>
      </w:r>
      <w:r>
        <w:fldChar w:fldCharType="begin"/>
      </w:r>
      <w:r>
        <w:instrText xml:space="preserve"> PAGEREF _Toc188000758 \h </w:instrText>
      </w:r>
      <w:r>
        <w:fldChar w:fldCharType="separate"/>
      </w:r>
      <w:r>
        <w:t>71</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_Toc188000759 \h </w:instrText>
      </w:r>
      <w:r>
        <w:fldChar w:fldCharType="separate"/>
      </w:r>
      <w:r>
        <w:t>71</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_Toc188000760 \h </w:instrText>
      </w:r>
      <w:r>
        <w:fldChar w:fldCharType="separate"/>
      </w:r>
      <w:r>
        <w:t>73</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_Toc188000761 \h </w:instrText>
      </w:r>
      <w:r>
        <w:fldChar w:fldCharType="separate"/>
      </w:r>
      <w:r>
        <w:t>74</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_Toc188000762 \h </w:instrText>
      </w:r>
      <w:r>
        <w:fldChar w:fldCharType="separate"/>
      </w:r>
      <w:r>
        <w:t>75</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_Toc188000763 \h </w:instrText>
      </w:r>
      <w:r>
        <w:fldChar w:fldCharType="separate"/>
      </w:r>
      <w:r>
        <w:t>75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_Toc188000764 \h </w:instrText>
      </w:r>
      <w:r>
        <w:fldChar w:fldCharType="separate"/>
      </w:r>
      <w:r>
        <w:t>75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_Toc188000765 \h </w:instrText>
      </w:r>
      <w:r>
        <w:fldChar w:fldCharType="separate"/>
      </w:r>
      <w:r>
        <w:t>76</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_Toc188000766 \h </w:instrText>
      </w:r>
      <w:r>
        <w:fldChar w:fldCharType="separate"/>
      </w:r>
      <w:r>
        <w:t>76</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_Toc188000767 \h </w:instrText>
      </w:r>
      <w:r>
        <w:fldChar w:fldCharType="separate"/>
      </w:r>
      <w:r>
        <w:t>77</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_Toc188000768 \h </w:instrText>
      </w:r>
      <w:r>
        <w:fldChar w:fldCharType="separate"/>
      </w:r>
      <w:r>
        <w:t>78</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_Toc188000769 \h </w:instrText>
      </w:r>
      <w:r>
        <w:fldChar w:fldCharType="separate"/>
      </w:r>
      <w:r>
        <w:t>78</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_Toc188000770 \h </w:instrText>
      </w:r>
      <w:r>
        <w:fldChar w:fldCharType="separate"/>
      </w:r>
      <w:r>
        <w:t>78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_Toc188000771 \h </w:instrText>
      </w:r>
      <w:r>
        <w:fldChar w:fldCharType="separate"/>
      </w:r>
      <w:r>
        <w:t>79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_Toc188000772 \h </w:instrText>
      </w:r>
      <w:r>
        <w:fldChar w:fldCharType="separate"/>
      </w:r>
      <w:r>
        <w:t>81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_Toc188000773 \h </w:instrText>
      </w:r>
      <w:r>
        <w:fldChar w:fldCharType="separate"/>
      </w:r>
      <w:r>
        <w:t>82</w:t>
      </w:r>
      <w:r>
        <w:fldChar w:fldCharType="end"/>
      </w:r>
    </w:p>
    <w:p>
      <w:pPr>
        <w:pStyle w:val="TOC8"/>
        <w:rPr>
          <w:rFonts w:asciiTheme="minorHAnsi" w:eastAsiaTheme="minorEastAsia" w:hAnsiTheme="minorHAnsi" w:cstheme="minorBidi"/>
          <w:szCs w:val="22"/>
        </w:rPr>
      </w:pPr>
      <w:r>
        <w:t>24AA.</w:t>
      </w:r>
      <w:r>
        <w:tab/>
        <w:t>Prescribed class of persons (Act s. 152K(2AA)(b))</w:t>
      </w:r>
      <w:r>
        <w:tab/>
      </w:r>
      <w:r>
        <w:fldChar w:fldCharType="begin"/>
      </w:r>
      <w:r>
        <w:instrText xml:space="preserve"> PAGEREF _Toc188000774 \h </w:instrText>
      </w:r>
      <w:r>
        <w:fldChar w:fldCharType="separate"/>
      </w:r>
      <w:r>
        <w:t>84</w:t>
      </w:r>
      <w:r>
        <w:fldChar w:fldCharType="end"/>
      </w:r>
    </w:p>
    <w:p>
      <w:pPr>
        <w:pStyle w:val="TOC8"/>
        <w:rPr>
          <w:rFonts w:asciiTheme="minorHAnsi" w:eastAsiaTheme="minorEastAsia" w:hAnsiTheme="minorHAnsi" w:cstheme="minorBidi"/>
          <w:szCs w:val="22"/>
        </w:rPr>
      </w:pPr>
      <w:r>
        <w:t>24A.</w:t>
      </w:r>
      <w:r>
        <w:tab/>
        <w:t>Electronic means of service of documents under Part 5AA of Act (Act s. 152NZQ(4)(c))</w:t>
      </w:r>
      <w:r>
        <w:tab/>
      </w:r>
      <w:r>
        <w:fldChar w:fldCharType="begin"/>
      </w:r>
      <w:r>
        <w:instrText xml:space="preserve"> PAGEREF _Toc188000775 \h </w:instrText>
      </w:r>
      <w:r>
        <w:fldChar w:fldCharType="separate"/>
      </w:r>
      <w:r>
        <w:t>84</w:t>
      </w:r>
      <w:r>
        <w:fldChar w:fldCharType="end"/>
      </w:r>
    </w:p>
    <w:p>
      <w:pPr>
        <w:pStyle w:val="TOC8"/>
        <w:rPr>
          <w:rFonts w:asciiTheme="minorHAnsi" w:eastAsiaTheme="minorEastAsia" w:hAnsiTheme="minorHAnsi" w:cstheme="minorBidi"/>
          <w:szCs w:val="22"/>
        </w:rPr>
      </w:pPr>
      <w:r>
        <w:t>24B.</w:t>
      </w:r>
      <w:r>
        <w:tab/>
        <w:t>Consent to service of documents under Part 5AA of Act (Act s. 152NZQ(5))</w:t>
      </w:r>
      <w:r>
        <w:tab/>
      </w:r>
      <w:r>
        <w:fldChar w:fldCharType="begin"/>
      </w:r>
      <w:r>
        <w:instrText xml:space="preserve"> PAGEREF _Toc188000776 \h </w:instrText>
      </w:r>
      <w:r>
        <w:fldChar w:fldCharType="separate"/>
      </w:r>
      <w:r>
        <w:t>85</w:t>
      </w:r>
      <w:r>
        <w:fldChar w:fldCharType="end"/>
      </w:r>
    </w:p>
    <w:p>
      <w:pPr>
        <w:pStyle w:val="TOC8"/>
        <w:rPr>
          <w:rFonts w:asciiTheme="minorHAnsi" w:eastAsiaTheme="minorEastAsia" w:hAnsiTheme="minorHAnsi" w:cstheme="minorBidi"/>
          <w:szCs w:val="22"/>
        </w:rPr>
      </w:pPr>
      <w:r>
        <w:t>24C.</w:t>
      </w:r>
      <w:r>
        <w:tab/>
        <w:t>Time when documents under Part 5AA of Act are served (Act s. 152NZR(6))</w:t>
      </w:r>
      <w:r>
        <w:tab/>
      </w:r>
      <w:r>
        <w:fldChar w:fldCharType="begin"/>
      </w:r>
      <w:r>
        <w:instrText xml:space="preserve"> PAGEREF _Toc188000777 \h </w:instrText>
      </w:r>
      <w:r>
        <w:fldChar w:fldCharType="separate"/>
      </w:r>
      <w:r>
        <w:t>86</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_Toc188000778 \h </w:instrText>
      </w:r>
      <w:r>
        <w:fldChar w:fldCharType="separate"/>
      </w:r>
      <w:r>
        <w:t>87</w:t>
      </w:r>
      <w:r>
        <w:fldChar w:fldCharType="end"/>
      </w:r>
    </w:p>
    <w:p>
      <w:pPr>
        <w:pStyle w:val="TOC8"/>
        <w:rPr>
          <w:rFonts w:asciiTheme="minorHAnsi" w:eastAsiaTheme="minorEastAsia" w:hAnsiTheme="minorHAnsi" w:cstheme="minorBidi"/>
          <w:szCs w:val="22"/>
        </w:rPr>
      </w:pPr>
      <w:r>
        <w:t>25B.</w:t>
      </w:r>
      <w:r>
        <w:tab/>
        <w:t>Fee payable for review of decision related to banned drinker orders (Act s. 152YY(1))</w:t>
      </w:r>
      <w:r>
        <w:tab/>
      </w:r>
      <w:r>
        <w:fldChar w:fldCharType="begin"/>
      </w:r>
      <w:r>
        <w:instrText xml:space="preserve"> PAGEREF _Toc188000779 \h </w:instrText>
      </w:r>
      <w:r>
        <w:fldChar w:fldCharType="separate"/>
      </w:r>
      <w:r>
        <w:t>87</w:t>
      </w:r>
      <w:r>
        <w:fldChar w:fldCharType="end"/>
      </w:r>
    </w:p>
    <w:p>
      <w:pPr>
        <w:pStyle w:val="TOC8"/>
        <w:rPr>
          <w:rFonts w:asciiTheme="minorHAnsi" w:eastAsiaTheme="minorEastAsia" w:hAnsiTheme="minorHAnsi" w:cstheme="minorBidi"/>
          <w:szCs w:val="22"/>
        </w:rPr>
      </w:pPr>
      <w:r>
        <w:t>25C.</w:t>
      </w:r>
      <w:r>
        <w:tab/>
        <w:t>Disclosure of information about banned drinker order and banned drinker (Act s. 152ZC(2)(d))</w:t>
      </w:r>
      <w:r>
        <w:tab/>
      </w:r>
      <w:r>
        <w:fldChar w:fldCharType="begin"/>
      </w:r>
      <w:r>
        <w:instrText xml:space="preserve"> PAGEREF _Toc188000780 \h </w:instrText>
      </w:r>
      <w:r>
        <w:fldChar w:fldCharType="separate"/>
      </w:r>
      <w:r>
        <w:t>87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_Toc188000781 \h </w:instrText>
      </w:r>
      <w:r>
        <w:fldChar w:fldCharType="separate"/>
      </w:r>
      <w:r>
        <w:t>88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_Toc188000782 \h </w:instrText>
      </w:r>
      <w:r>
        <w:fldChar w:fldCharType="separate"/>
      </w:r>
      <w:r>
        <w:t>88</w:t>
      </w:r>
      <w:r>
        <w:fldChar w:fldCharType="end"/>
      </w:r>
    </w:p>
    <w:p>
      <w:pPr>
        <w:pStyle w:val="TOC8"/>
        <w:rPr>
          <w:rFonts w:asciiTheme="minorHAnsi" w:eastAsiaTheme="minorEastAsia" w:hAnsiTheme="minorHAnsi" w:cstheme="minorBidi"/>
          <w:szCs w:val="22"/>
        </w:rPr>
      </w:pPr>
      <w:r>
        <w:lastRenderedPageBreak/>
        <w:t>27A.</w:t>
      </w:r>
      <w:r>
        <w:tab/>
        <w:t>Reduction in licence fee for new licences</w:t>
      </w:r>
      <w:r>
        <w:tab/>
      </w:r>
      <w:r>
        <w:fldChar w:fldCharType="begin"/>
      </w:r>
      <w:r>
        <w:instrText xml:space="preserve"> PAGEREF _Toc188000783 \h </w:instrText>
      </w:r>
      <w:r>
        <w:fldChar w:fldCharType="separate"/>
      </w:r>
      <w:r>
        <w:t>90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t>Prescribed offences for infringement notices (Act s. 167(2))</w:t>
      </w:r>
      <w:r>
        <w:tab/>
      </w:r>
      <w:r>
        <w:fldChar w:fldCharType="begin"/>
      </w:r>
      <w:r>
        <w:instrText xml:space="preserve"> PAGEREF _Toc188000784 \h </w:instrText>
      </w:r>
      <w:r>
        <w:fldChar w:fldCharType="separate"/>
      </w:r>
      <w:r>
        <w:t>90</w:t>
      </w:r>
      <w:r>
        <w:fldChar w:fldCharType="end"/>
      </w:r>
    </w:p>
    <w:p>
      <w:pPr>
        <w:pStyle w:val="TOC8"/>
        <w:rPr>
          <w:rFonts w:asciiTheme="minorHAnsi" w:eastAsiaTheme="minorEastAsia" w:hAnsiTheme="minorHAnsi" w:cstheme="minorBidi"/>
          <w:szCs w:val="22"/>
        </w:rPr>
      </w:pPr>
      <w:r>
        <w:t>28.</w:t>
      </w:r>
      <w:r>
        <w:tab/>
        <w:t>Protected entertainment precincts (Act s. 175(1E))</w:t>
      </w:r>
      <w:r>
        <w:tab/>
      </w:r>
      <w:r>
        <w:fldChar w:fldCharType="begin"/>
      </w:r>
      <w:r>
        <w:instrText xml:space="preserve"> PAGEREF _Toc188000785 \h </w:instrText>
      </w:r>
      <w:r>
        <w:fldChar w:fldCharType="separate"/>
      </w:r>
      <w:r>
        <w:t>96</w:t>
      </w:r>
      <w:r>
        <w:fldChar w:fldCharType="end"/>
      </w:r>
    </w:p>
    <w:p>
      <w:pPr>
        <w:pStyle w:val="TOC8"/>
        <w:rPr>
          <w:rFonts w:asciiTheme="minorHAnsi" w:eastAsiaTheme="minorEastAsia" w:hAnsiTheme="minorHAnsi" w:cstheme="minorBidi"/>
          <w:szCs w:val="22"/>
        </w:rPr>
      </w:pPr>
      <w:r>
        <w:t>29.</w:t>
      </w:r>
      <w:r>
        <w:tab/>
        <w:t>Banned drinker areas (Act s. 175(1G))</w:t>
      </w:r>
      <w:r>
        <w:tab/>
      </w:r>
      <w:r>
        <w:fldChar w:fldCharType="begin"/>
      </w:r>
      <w:r>
        <w:instrText xml:space="preserve"> PAGEREF _Toc188000786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Schedule 4 — Images of deposited plans showing protected entertainment precincts</w:t>
      </w:r>
    </w:p>
    <w:p>
      <w:pPr>
        <w:pStyle w:val="TOC8"/>
        <w:rPr>
          <w:rFonts w:asciiTheme="minorHAnsi" w:eastAsiaTheme="minorEastAsia" w:hAnsiTheme="minorHAnsi" w:cstheme="minorBidi"/>
          <w:szCs w:val="22"/>
        </w:rPr>
      </w:pPr>
      <w:r>
        <w:t>1.</w:t>
      </w:r>
      <w:r>
        <w:tab/>
        <w:t>Fremantle</w:t>
      </w:r>
      <w:r>
        <w:tab/>
      </w:r>
      <w:r>
        <w:fldChar w:fldCharType="begin"/>
      </w:r>
      <w:r>
        <w:instrText xml:space="preserve"> PAGEREF _Toc188000793 \h </w:instrText>
      </w:r>
      <w:r>
        <w:fldChar w:fldCharType="separate"/>
      </w:r>
      <w:r>
        <w:t>112</w:t>
      </w:r>
      <w:r>
        <w:fldChar w:fldCharType="end"/>
      </w:r>
    </w:p>
    <w:p>
      <w:pPr>
        <w:pStyle w:val="TOC8"/>
        <w:rPr>
          <w:rFonts w:asciiTheme="minorHAnsi" w:eastAsiaTheme="minorEastAsia" w:hAnsiTheme="minorHAnsi" w:cstheme="minorBidi"/>
          <w:szCs w:val="22"/>
        </w:rPr>
      </w:pPr>
      <w:r>
        <w:t>2.</w:t>
      </w:r>
      <w:r>
        <w:tab/>
        <w:t>Hillarys</w:t>
      </w:r>
      <w:r>
        <w:tab/>
      </w:r>
      <w:r>
        <w:fldChar w:fldCharType="begin"/>
      </w:r>
      <w:r>
        <w:instrText xml:space="preserve"> PAGEREF _Toc188000794 \h </w:instrText>
      </w:r>
      <w:r>
        <w:fldChar w:fldCharType="separate"/>
      </w:r>
      <w:r>
        <w:t>113</w:t>
      </w:r>
      <w:r>
        <w:fldChar w:fldCharType="end"/>
      </w:r>
    </w:p>
    <w:p>
      <w:pPr>
        <w:pStyle w:val="TOC8"/>
        <w:rPr>
          <w:rFonts w:asciiTheme="minorHAnsi" w:eastAsiaTheme="minorEastAsia" w:hAnsiTheme="minorHAnsi" w:cstheme="minorBidi"/>
          <w:szCs w:val="22"/>
        </w:rPr>
      </w:pPr>
      <w:r>
        <w:t>3.</w:t>
      </w:r>
      <w:r>
        <w:tab/>
        <w:t>Mandurah</w:t>
      </w:r>
      <w:r>
        <w:tab/>
      </w:r>
      <w:r>
        <w:fldChar w:fldCharType="begin"/>
      </w:r>
      <w:r>
        <w:instrText xml:space="preserve"> PAGEREF _Toc188000795 \h </w:instrText>
      </w:r>
      <w:r>
        <w:fldChar w:fldCharType="separate"/>
      </w:r>
      <w:r>
        <w:t>114</w:t>
      </w:r>
      <w:r>
        <w:fldChar w:fldCharType="end"/>
      </w:r>
    </w:p>
    <w:p>
      <w:pPr>
        <w:pStyle w:val="TOC8"/>
        <w:rPr>
          <w:rFonts w:asciiTheme="minorHAnsi" w:eastAsiaTheme="minorEastAsia" w:hAnsiTheme="minorHAnsi" w:cstheme="minorBidi"/>
          <w:szCs w:val="22"/>
        </w:rPr>
      </w:pPr>
      <w:r>
        <w:t>4.</w:t>
      </w:r>
      <w:r>
        <w:tab/>
        <w:t>Perth and Northbridge</w:t>
      </w:r>
      <w:r>
        <w:tab/>
      </w:r>
      <w:r>
        <w:fldChar w:fldCharType="begin"/>
      </w:r>
      <w:r>
        <w:instrText xml:space="preserve"> PAGEREF _Toc188000796 \h </w:instrText>
      </w:r>
      <w:r>
        <w:fldChar w:fldCharType="separate"/>
      </w:r>
      <w:r>
        <w:t>115</w:t>
      </w:r>
      <w:r>
        <w:fldChar w:fldCharType="end"/>
      </w:r>
    </w:p>
    <w:p>
      <w:pPr>
        <w:pStyle w:val="TOC8"/>
        <w:rPr>
          <w:rFonts w:asciiTheme="minorHAnsi" w:eastAsiaTheme="minorEastAsia" w:hAnsiTheme="minorHAnsi" w:cstheme="minorBidi"/>
          <w:szCs w:val="22"/>
        </w:rPr>
      </w:pPr>
      <w:r>
        <w:t>5.</w:t>
      </w:r>
      <w:r>
        <w:tab/>
        <w:t>Scarborough</w:t>
      </w:r>
      <w:r>
        <w:tab/>
      </w:r>
      <w:r>
        <w:fldChar w:fldCharType="begin"/>
      </w:r>
      <w:r>
        <w:instrText xml:space="preserve"> PAGEREF _Toc188000797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_Toc188000799 \h </w:instrText>
      </w:r>
      <w:r>
        <w:fldChar w:fldCharType="separate"/>
      </w:r>
      <w:r>
        <w:t>117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_Toc188000800 \h </w:instrText>
      </w:r>
      <w:r>
        <w:fldChar w:fldCharType="separate"/>
      </w:r>
      <w:r>
        <w:t>131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_Toc188000801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Liquor Control Act 1988</w:t>
      </w:r>
    </w:p>
    <w:p>
      <w:pPr>
        <w:pStyle w:val="NameofActReg"/>
      </w:pPr>
      <w:r>
        <w:t>Liquor Control Regulations 1989</w:t>
      </w:r>
    </w:p>
    <w:p>
      <w:pPr>
        <w:pStyle w:val="Heading5"/>
        <w:rPr>
          <w:snapToGrid w:val="0"/>
        </w:rPr>
      </w:pPr>
      <w:bookmarkStart w:id="2" w:name="_Toc188000682"/>
      <w:r>
        <w:rPr>
          <w:rStyle w:val="CharSectno"/>
        </w:rPr>
        <w:t>1</w:t>
      </w:r>
      <w:r>
        <w:rPr>
          <w:snapToGrid w:val="0"/>
        </w:rPr>
        <w:t>.</w:t>
      </w:r>
      <w:r>
        <w:rPr>
          <w:snapToGrid w:val="0"/>
        </w:rPr>
        <w:tab/>
        <w:t>Citation</w:t>
      </w:r>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w:t>
      </w:r>
    </w:p>
    <w:p>
      <w:pPr>
        <w:pStyle w:val="Footnotesection"/>
      </w:pPr>
      <w:r>
        <w:tab/>
        <w:t>[Regulation 1 amended: Gazette 1 May 2007 p. 1864.]</w:t>
      </w:r>
    </w:p>
    <w:p>
      <w:pPr>
        <w:pStyle w:val="Heading5"/>
        <w:rPr>
          <w:snapToGrid w:val="0"/>
        </w:rPr>
      </w:pPr>
      <w:bookmarkStart w:id="3" w:name="_Toc188000683"/>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1</w:t>
      </w:r>
      <w:r>
        <w:rPr>
          <w:snapToGrid w:val="0"/>
        </w:rPr>
        <w:t xml:space="preserve"> comes into operation.</w:t>
      </w:r>
    </w:p>
    <w:p>
      <w:pPr>
        <w:pStyle w:val="Heading5"/>
        <w:rPr>
          <w:snapToGrid w:val="0"/>
        </w:rPr>
      </w:pPr>
      <w:bookmarkStart w:id="4" w:name="_Toc188000684"/>
      <w:r>
        <w:rPr>
          <w:rStyle w:val="CharSectno"/>
        </w:rPr>
        <w:t>3</w:t>
      </w:r>
      <w:r>
        <w:rPr>
          <w:snapToGrid w:val="0"/>
        </w:rPr>
        <w:t>.</w:t>
      </w:r>
      <w:r>
        <w:rPr>
          <w:snapToGrid w:val="0"/>
        </w:rPr>
        <w:tab/>
        <w:t>Forms prescribed etc. (Sch. 1)</w:t>
      </w:r>
      <w:bookmarkEnd w:id="4"/>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Gazette 3 Jun 2011 p. 1999.]</w:t>
      </w:r>
    </w:p>
    <w:p>
      <w:pPr>
        <w:pStyle w:val="Heading5"/>
        <w:rPr>
          <w:snapToGrid w:val="0"/>
        </w:rPr>
      </w:pPr>
      <w:bookmarkStart w:id="5" w:name="_Toc188000685"/>
      <w:r>
        <w:rPr>
          <w:rStyle w:val="CharSectno"/>
        </w:rPr>
        <w:lastRenderedPageBreak/>
        <w:t>3A</w:t>
      </w:r>
      <w:r>
        <w:rPr>
          <w:snapToGrid w:val="0"/>
        </w:rPr>
        <w:t>.</w:t>
      </w:r>
      <w:r>
        <w:rPr>
          <w:snapToGrid w:val="0"/>
        </w:rPr>
        <w:tab/>
        <w:t>Terms used</w:t>
      </w:r>
      <w:bookmarkEnd w:id="5"/>
    </w:p>
    <w:p>
      <w:pPr>
        <w:pStyle w:val="Subsection"/>
        <w:keepNext/>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xml:space="preserve"> means, in relation to an application for a permit or licence, or an application to vary a condition of a permit or licence,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5(1);</w:t>
      </w:r>
    </w:p>
    <w:p>
      <w:pPr>
        <w:pStyle w:val="Defstart"/>
      </w:pPr>
      <w:r>
        <w:tab/>
      </w:r>
      <w:r>
        <w:rPr>
          <w:rStyle w:val="CharDefText"/>
        </w:rPr>
        <w:t>crowd controller</w:t>
      </w:r>
      <w:r>
        <w:t xml:space="preserve"> has the meaning given in section 126C(1);</w:t>
      </w:r>
    </w:p>
    <w:p>
      <w:pPr>
        <w:pStyle w:val="Defstart"/>
      </w:pPr>
      <w:r>
        <w:tab/>
      </w:r>
      <w:r>
        <w:rPr>
          <w:rStyle w:val="CharDefText"/>
        </w:rPr>
        <w:t>Deposited Plan</w:t>
      </w:r>
      <w:r>
        <w:t>, followed by a number, means the deposited plan of that number —</w:t>
      </w:r>
    </w:p>
    <w:p>
      <w:pPr>
        <w:pStyle w:val="Defpara"/>
      </w:pPr>
      <w:r>
        <w:tab/>
        <w:t>(a)</w:t>
      </w:r>
      <w:r>
        <w:tab/>
        <w:t>lodged with the Authority; and</w:t>
      </w:r>
    </w:p>
    <w:p>
      <w:pPr>
        <w:pStyle w:val="Defpara"/>
      </w:pPr>
      <w:r>
        <w:tab/>
        <w:t>(b)</w:t>
      </w:r>
      <w:r>
        <w:tab/>
        <w:t xml:space="preserve">approved by an authorised land officer as defined in the </w:t>
      </w:r>
      <w:r>
        <w:rPr>
          <w:i/>
        </w:rPr>
        <w:t>Land Administration Act 1997</w:t>
      </w:r>
      <w:r>
        <w:t xml:space="preserve"> section 3(1); </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ID system</w:t>
      </w:r>
      <w:r>
        <w:t xml:space="preserve"> has the meaning given in section 152ZI;</w:t>
      </w:r>
    </w:p>
    <w:p>
      <w:pPr>
        <w:pStyle w:val="Defstart"/>
      </w:pPr>
      <w:r>
        <w:tab/>
      </w:r>
      <w:r>
        <w:rPr>
          <w:rStyle w:val="CharDefText"/>
        </w:rPr>
        <w:t>liquor restricted premises</w:t>
      </w:r>
      <w:r>
        <w:t xml:space="preserve"> has the meaning given in section 152N;</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xml:space="preserve"> means — </w:t>
      </w:r>
    </w:p>
    <w:p>
      <w:pPr>
        <w:pStyle w:val="Defpara"/>
      </w:pPr>
      <w:r>
        <w:tab/>
        <w:t>(a)</w:t>
      </w:r>
      <w:r>
        <w:tab/>
        <w:t xml:space="preserve">in relation to a day of the period to which an application for a permit or licence relates, the maximum number of patrons that the person making the application reasonably expects to be in the place or on the premises </w:t>
      </w:r>
      <w:r>
        <w:lastRenderedPageBreak/>
        <w:t>in respect of which the application is made at any one time on that day;</w:t>
      </w:r>
    </w:p>
    <w:p>
      <w:pPr>
        <w:pStyle w:val="Defpara"/>
      </w:pPr>
      <w:r>
        <w:tab/>
        <w:t>(b)</w:t>
      </w:r>
      <w:r>
        <w:tab/>
        <w:t>in relation to a day of the period to which an application to add or vary a condition of a permit or licence relates, the maximum number of patrons that the person making the application reasonably expects to be in the place or on the premises in respect of which the application is made at any one time on that day;</w:t>
      </w:r>
    </w:p>
    <w:p>
      <w:pPr>
        <w:pStyle w:val="Defpara"/>
        <w:rPr>
          <w:rStyle w:val="DraftersNotes"/>
          <w:snapToGrid/>
        </w:rPr>
      </w:pPr>
      <w:r>
        <w:tab/>
        <w:t>(c)</w:t>
      </w:r>
      <w:r>
        <w:tab/>
        <w:t xml:space="preserve">in relation to a day of the period for which an occasional licence is granted, the maximum number of patrons that the licensee reasonably expected (at the time that they applied for the licence) to be on the licensed premises at any one time on that day; </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restricted area</w:t>
      </w:r>
      <w:r>
        <w:t xml:space="preserve"> means an area of the State declared for the purposes of section 175(1a) to be a restricted area;</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lastRenderedPageBreak/>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keepNext/>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keepLines w:val="0"/>
        <w:ind w:left="890" w:hanging="890"/>
      </w:pPr>
      <w:r>
        <w:tab/>
        <w:t>[Regulation 3A inserted: Gazette 30 Jan 1998 p. 561; amended: Gazette 22 May 1998 p. 2940; 28 Jul 2000 p. 4029; 28 Jun 2002 p. 3105</w:t>
      </w:r>
      <w:r>
        <w:noBreakHyphen/>
        <w:t>6; 10 Aug 2004 p. 3186; 1 May 2007 p. 1864 and 1888; 15 Jan 2010 p. 70</w:t>
      </w:r>
      <w:r>
        <w:noBreakHyphen/>
        <w:t>1; 22 Oct 2010 p. 5225; 3 Jun 2011 p. 1994; 6 Sep 2016 p. 3828; 10 Jan 2017 p. 140; 2 Oct 2018 p. 3798</w:t>
      </w:r>
      <w:r>
        <w:noBreakHyphen/>
        <w:t>9; 1 Nov 2019 p. 3858; SL 2021/207 r. 4; SL 2023/196 r. 4.]</w:t>
      </w:r>
    </w:p>
    <w:p>
      <w:pPr>
        <w:pStyle w:val="Heading5"/>
        <w:keepLines w:val="0"/>
      </w:pPr>
      <w:bookmarkStart w:id="6" w:name="_Toc188000686"/>
      <w:r>
        <w:rPr>
          <w:rStyle w:val="CharSectno"/>
        </w:rPr>
        <w:t>3AB</w:t>
      </w:r>
      <w:r>
        <w:t>.</w:t>
      </w:r>
      <w:r>
        <w:tab/>
        <w:t xml:space="preserve">Kind of liquor prescribed (mist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Gazette 11 Jan 2005 p. 98; amended: Gazette 1 May 2007 p. 1888.]</w:t>
      </w:r>
    </w:p>
    <w:p>
      <w:pPr>
        <w:pStyle w:val="Heading5"/>
        <w:keepLines w:val="0"/>
      </w:pPr>
      <w:bookmarkStart w:id="7" w:name="_Toc188000687"/>
      <w:r>
        <w:rPr>
          <w:rStyle w:val="CharSectno"/>
        </w:rPr>
        <w:t>3AC</w:t>
      </w:r>
      <w:r>
        <w:t>.</w:t>
      </w:r>
      <w:r>
        <w:tab/>
        <w:t xml:space="preserve">Kind of liquor prescribed (aerosol containing ethanol) (Act s. 3(1) </w:t>
      </w:r>
      <w:r>
        <w:rPr>
          <w:i/>
        </w:rPr>
        <w:t>kind</w:t>
      </w:r>
      <w:r>
        <w:t>)</w:t>
      </w:r>
      <w:bookmarkEnd w:id="7"/>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Gazette 11 Jan 2005 p. 98; amended: Gazette 1 May 2007 p. 1888.]</w:t>
      </w:r>
    </w:p>
    <w:p>
      <w:pPr>
        <w:pStyle w:val="Heading5"/>
        <w:spacing w:before="180"/>
      </w:pPr>
      <w:bookmarkStart w:id="8" w:name="_Toc188000688"/>
      <w:r>
        <w:rPr>
          <w:rStyle w:val="CharSectno"/>
        </w:rPr>
        <w:lastRenderedPageBreak/>
        <w:t>3AD</w:t>
      </w:r>
      <w:r>
        <w:t>.</w:t>
      </w:r>
      <w:r>
        <w:tab/>
        <w:t xml:space="preserve">Kind of liquor prescribed (powdered alcohol) (Act s. 3(1) </w:t>
      </w:r>
      <w:r>
        <w:rPr>
          <w:i/>
        </w:rPr>
        <w:t>kind</w:t>
      </w:r>
      <w:r>
        <w:t>)</w:t>
      </w:r>
      <w:bookmarkEnd w:id="8"/>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pPr>
      <w:r>
        <w:tab/>
        <w:t>[Regulation 3AD inserted: Gazette 7 Aug 2015 p. 3206.]</w:t>
      </w:r>
    </w:p>
    <w:p>
      <w:pPr>
        <w:pStyle w:val="Heading5"/>
        <w:keepLines w:val="0"/>
        <w:spacing w:before="180"/>
        <w:rPr>
          <w:snapToGrid w:val="0"/>
        </w:rPr>
      </w:pPr>
      <w:bookmarkStart w:id="9" w:name="_Toc188000689"/>
      <w:r>
        <w:rPr>
          <w:rStyle w:val="CharSectno"/>
        </w:rPr>
        <w:t>4</w:t>
      </w:r>
      <w:r>
        <w:rPr>
          <w:snapToGrid w:val="0"/>
        </w:rPr>
        <w:t>.</w:t>
      </w:r>
      <w:r>
        <w:rPr>
          <w:snapToGrid w:val="0"/>
        </w:rPr>
        <w:tab/>
        <w:t xml:space="preserve">Level prescribed </w:t>
      </w:r>
      <w:r>
        <w:t xml:space="preserve">(Act s. 3(1) </w:t>
      </w:r>
      <w:r>
        <w:rPr>
          <w:i/>
        </w:rPr>
        <w:t>low alcohol liquor</w:t>
      </w:r>
      <w:r>
        <w:t>)</w:t>
      </w:r>
      <w:bookmarkEnd w:id="9"/>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Gazette 22 May 1998 p. 2940; amended: Gazette 28 Jul 2000 p. 4029; 1 May 2007 p. 1888.]</w:t>
      </w:r>
    </w:p>
    <w:p>
      <w:pPr>
        <w:pStyle w:val="Heading5"/>
        <w:spacing w:before="180"/>
        <w:rPr>
          <w:snapToGrid w:val="0"/>
        </w:rPr>
      </w:pPr>
      <w:bookmarkStart w:id="10" w:name="_Toc18800069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0"/>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Gazette 22 May 1998 p. 2940; amended: Gazette 6 Oct 1998 p. 5564; 1 May 2007 p. 1888.]</w:t>
      </w:r>
    </w:p>
    <w:p>
      <w:pPr>
        <w:pStyle w:val="Heading5"/>
        <w:keepNext w:val="0"/>
        <w:keepLines w:val="0"/>
        <w:spacing w:before="180"/>
        <w:rPr>
          <w:bCs/>
          <w:snapToGrid w:val="0"/>
        </w:rPr>
      </w:pPr>
      <w:bookmarkStart w:id="11" w:name="_Toc188000691"/>
      <w:r>
        <w:rPr>
          <w:rStyle w:val="CharSectno"/>
        </w:rPr>
        <w:t>4A</w:t>
      </w:r>
      <w:r>
        <w:rPr>
          <w:snapToGrid w:val="0"/>
        </w:rPr>
        <w:t>.</w:t>
      </w:r>
      <w:r>
        <w:rPr>
          <w:snapToGrid w:val="0"/>
        </w:rPr>
        <w:tab/>
        <w:t xml:space="preserve">Substances prescribed (food items) </w:t>
      </w:r>
      <w:r>
        <w:t xml:space="preserve">(Act s. 3(1) </w:t>
      </w:r>
      <w:r>
        <w:rPr>
          <w:i/>
        </w:rPr>
        <w:t>liquor</w:t>
      </w:r>
      <w:r>
        <w:t>)</w:t>
      </w:r>
      <w:bookmarkEnd w:id="1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w:t>
      </w:r>
      <w:r>
        <w:lastRenderedPageBreak/>
        <w:t>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Gazette 23 Sep 1994 p. 4901; amended: Gazette 30 Dec 1994 p. 7329; 26 Nov 1996 p. 6629; 30 Apr 1999 p. 1820</w:t>
      </w:r>
      <w:r>
        <w:noBreakHyphen/>
        <w:t>1.]</w:t>
      </w:r>
    </w:p>
    <w:p>
      <w:pPr>
        <w:pStyle w:val="Heading5"/>
      </w:pPr>
      <w:bookmarkStart w:id="12" w:name="_Toc188000692"/>
      <w:r>
        <w:rPr>
          <w:rStyle w:val="CharSectno"/>
        </w:rPr>
        <w:t>4AB</w:t>
      </w:r>
      <w:r>
        <w:t>.</w:t>
      </w:r>
      <w:r>
        <w:tab/>
        <w:t>Substance prescribed (mist containing ethanol) (Act s. 3(1) </w:t>
      </w:r>
      <w:r>
        <w:rPr>
          <w:i/>
        </w:rPr>
        <w:t>liquor</w:t>
      </w:r>
      <w:r>
        <w:t>)</w:t>
      </w:r>
      <w:bookmarkEnd w:id="1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Gazette 11 Jan 2005 p. 98</w:t>
      </w:r>
      <w:r>
        <w:noBreakHyphen/>
        <w:t>9; amended: Gazette 1 May 2007 p. 1888</w:t>
      </w:r>
      <w:r>
        <w:noBreakHyphen/>
        <w:t>9.]</w:t>
      </w:r>
    </w:p>
    <w:p>
      <w:pPr>
        <w:pStyle w:val="Heading5"/>
        <w:keepNext w:val="0"/>
        <w:keepLines w:val="0"/>
        <w:spacing w:before="180"/>
        <w:rPr>
          <w:bCs/>
          <w:snapToGrid w:val="0"/>
        </w:rPr>
      </w:pPr>
      <w:bookmarkStart w:id="13" w:name="_Toc188000693"/>
      <w:r>
        <w:rPr>
          <w:rStyle w:val="CharSectno"/>
        </w:rPr>
        <w:t>4AC</w:t>
      </w:r>
      <w:r>
        <w:t>.</w:t>
      </w:r>
      <w:r>
        <w:tab/>
        <w:t xml:space="preserve">Substance prescribed (aerosol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lastRenderedPageBreak/>
        <w:tab/>
        <w:t>(c)</w:t>
      </w:r>
      <w:r>
        <w:tab/>
        <w:t>at 20°C contains more than 0.5% ethanol by volume,</w:t>
      </w:r>
    </w:p>
    <w:p>
      <w:pPr>
        <w:pStyle w:val="Subsection"/>
      </w:pPr>
      <w:r>
        <w:tab/>
      </w:r>
      <w:r>
        <w:tab/>
        <w:t>is prescribed as being liquor.</w:t>
      </w:r>
    </w:p>
    <w:p>
      <w:pPr>
        <w:pStyle w:val="Footnotesection"/>
      </w:pPr>
      <w:r>
        <w:tab/>
        <w:t>[Regulation 4AC inserted: Gazette 11 Jan 2005 p. 99; amended: Gazette 1 May 2007 p. 1888</w:t>
      </w:r>
      <w:r>
        <w:noBreakHyphen/>
        <w:t>9.]</w:t>
      </w:r>
    </w:p>
    <w:p>
      <w:pPr>
        <w:pStyle w:val="Heading5"/>
      </w:pPr>
      <w:bookmarkStart w:id="14" w:name="_Toc188000694"/>
      <w:r>
        <w:rPr>
          <w:rStyle w:val="CharSectno"/>
        </w:rPr>
        <w:t>4AD</w:t>
      </w:r>
      <w:r>
        <w:t>.</w:t>
      </w:r>
      <w:r>
        <w:tab/>
        <w:t xml:space="preserve">Substance prescribed (powdered alcohol) (Act s. 3(1) </w:t>
      </w:r>
      <w:r>
        <w:rPr>
          <w:i/>
        </w:rPr>
        <w:t>liquor</w:t>
      </w:r>
      <w:r>
        <w:t>)</w:t>
      </w:r>
      <w:bookmarkEnd w:id="14"/>
    </w:p>
    <w:p>
      <w:pPr>
        <w:pStyle w:val="Subsection"/>
        <w:keepNext/>
      </w:pPr>
      <w:r>
        <w:tab/>
        <w:t>(1)</w:t>
      </w:r>
      <w:r>
        <w:tab/>
        <w:t xml:space="preserve">In this regulation — </w:t>
      </w:r>
    </w:p>
    <w:p>
      <w:pPr>
        <w:pStyle w:val="Defstart"/>
        <w:keepNex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keepNext/>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pPr>
      <w:r>
        <w:tab/>
        <w:t>[Regulation 4AD inserted: Gazette 7 Aug 2015 p. 3206</w:t>
      </w:r>
      <w:r>
        <w:noBreakHyphen/>
        <w:t>7.]</w:t>
      </w:r>
    </w:p>
    <w:p>
      <w:pPr>
        <w:pStyle w:val="Heading5"/>
        <w:rPr>
          <w:rStyle w:val="CharSectno"/>
        </w:rPr>
      </w:pPr>
      <w:bookmarkStart w:id="15" w:name="_Toc188000695"/>
      <w:r>
        <w:rPr>
          <w:rStyle w:val="CharSectno"/>
        </w:rPr>
        <w:t>4AE</w:t>
      </w:r>
      <w:r>
        <w:t>.</w:t>
      </w:r>
      <w:r>
        <w:rPr>
          <w:rStyle w:val="CharSectno"/>
        </w:rPr>
        <w:tab/>
      </w:r>
      <w:r>
        <w:t>Substance prescribed (liqueur chocolate) (Act s. 3(1) liquor)</w:t>
      </w:r>
      <w:bookmarkEnd w:id="15"/>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Gazette 1 Dec 2015 p. 4821</w:t>
      </w:r>
      <w:r>
        <w:noBreakHyphen/>
        <w:t>2.]</w:t>
      </w:r>
    </w:p>
    <w:p>
      <w:pPr>
        <w:pStyle w:val="Heading5"/>
      </w:pPr>
      <w:bookmarkStart w:id="16" w:name="_Toc188000696"/>
      <w:r>
        <w:rPr>
          <w:rStyle w:val="CharSectno"/>
        </w:rPr>
        <w:lastRenderedPageBreak/>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2</w:t>
      </w:r>
      <w:r>
        <w:rPr>
          <w:snapToGrid w:val="0"/>
        </w:rPr>
        <w:t>; or</w:t>
      </w:r>
    </w:p>
    <w:p>
      <w:pPr>
        <w:pStyle w:val="IndentI0"/>
        <w:rPr>
          <w:snapToGrid w:val="0"/>
        </w:rPr>
      </w:pPr>
      <w:r>
        <w:rPr>
          <w:snapToGrid w:val="0"/>
        </w:rPr>
        <w:lastRenderedPageBreak/>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Gazette 30 Jan 1998 p. 562.]</w:t>
      </w:r>
    </w:p>
    <w:p>
      <w:pPr>
        <w:pStyle w:val="Heading5"/>
        <w:keepNext w:val="0"/>
        <w:keepLines w:val="0"/>
        <w:spacing w:before="180"/>
      </w:pPr>
      <w:bookmarkStart w:id="17" w:name="_Toc188000697"/>
      <w:r>
        <w:rPr>
          <w:rStyle w:val="CharSectno"/>
        </w:rPr>
        <w:t>5A</w:t>
      </w:r>
      <w:r>
        <w:t>.</w:t>
      </w:r>
      <w:r>
        <w:tab/>
        <w:t xml:space="preserve">Quantities prescribed </w:t>
      </w:r>
      <w:r>
        <w:rPr>
          <w:snapToGrid w:val="0"/>
        </w:rPr>
        <w:t>(Act s.</w:t>
      </w:r>
      <w:r>
        <w:t xml:space="preserve"> 3(1) </w:t>
      </w:r>
      <w:r>
        <w:rPr>
          <w:i/>
        </w:rPr>
        <w:t>sample</w:t>
      </w:r>
      <w:r>
        <w:t>)</w:t>
      </w:r>
      <w:bookmarkEnd w:id="17"/>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Gazette 1 May 2007 p. 1865.]</w:t>
      </w:r>
    </w:p>
    <w:p>
      <w:pPr>
        <w:pStyle w:val="Heading5"/>
      </w:pPr>
      <w:bookmarkStart w:id="18" w:name="_Toc188000698"/>
      <w:r>
        <w:rPr>
          <w:rStyle w:val="CharSectno"/>
        </w:rPr>
        <w:lastRenderedPageBreak/>
        <w:t>5B</w:t>
      </w:r>
      <w:r>
        <w:t>.</w:t>
      </w:r>
      <w:r>
        <w:tab/>
        <w:t xml:space="preserve">Positions of authority in body corporate prescribed </w:t>
      </w:r>
      <w:r>
        <w:rPr>
          <w:snapToGrid w:val="0"/>
        </w:rPr>
        <w:t>(Act s.</w:t>
      </w:r>
      <w:r>
        <w:t> 3(4)(d))</w:t>
      </w:r>
      <w:bookmarkEnd w:id="18"/>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keepNext/>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keepNext/>
        <w:spacing w:before="70"/>
      </w:pPr>
      <w:r>
        <w:lastRenderedPageBreak/>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Gazette 1 May 2007 p. 1865</w:t>
      </w:r>
      <w:r>
        <w:noBreakHyphen/>
        <w:t>6.]</w:t>
      </w:r>
    </w:p>
    <w:p>
      <w:pPr>
        <w:pStyle w:val="Heading5"/>
      </w:pPr>
      <w:bookmarkStart w:id="19" w:name="_Toc188000699"/>
      <w:r>
        <w:rPr>
          <w:rStyle w:val="CharSectno"/>
        </w:rPr>
        <w:t>5C</w:t>
      </w:r>
      <w:r>
        <w:t>.</w:t>
      </w:r>
      <w:r>
        <w:tab/>
        <w:t>Types of special facility licence prescribed (Act s. 4(6))</w:t>
      </w:r>
      <w:bookmarkEnd w:id="19"/>
    </w:p>
    <w:p>
      <w:pPr>
        <w:pStyle w:val="Subsection"/>
        <w:keepNext/>
      </w:pPr>
      <w:r>
        <w:tab/>
      </w:r>
      <w:r>
        <w:tab/>
        <w:t xml:space="preserve">For the purposes of section 4(6) a special facility licence is of a prescribed type if — </w:t>
      </w:r>
    </w:p>
    <w:p>
      <w:pPr>
        <w:pStyle w:val="Indenta"/>
      </w:pPr>
      <w:r>
        <w:tab/>
        <w:t>(a)</w:t>
      </w:r>
      <w:r>
        <w:tab/>
        <w:t xml:space="preserve">it is granted for a purpose described in 1 of the following regulations — </w:t>
      </w:r>
    </w:p>
    <w:p>
      <w:pPr>
        <w:pStyle w:val="Indenti"/>
      </w:pPr>
      <w:r>
        <w:tab/>
        <w:t>(i)</w:t>
      </w:r>
      <w:r>
        <w:tab/>
        <w:t>regulation 9A(7) — tourism;</w:t>
      </w:r>
    </w:p>
    <w:p>
      <w:pPr>
        <w:pStyle w:val="Indenti"/>
      </w:pPr>
      <w:r>
        <w:tab/>
        <w:t>(ii)</w:t>
      </w:r>
      <w:r>
        <w:tab/>
        <w:t>regulation 9A(22) — auction;</w:t>
      </w:r>
    </w:p>
    <w:p>
      <w:pPr>
        <w:pStyle w:val="Indenti"/>
        <w:keepNext/>
      </w:pPr>
      <w:r>
        <w:tab/>
        <w:t>(iii)</w:t>
      </w:r>
      <w:r>
        <w:tab/>
        <w:t>regulation 9A(24) — online wine sales;</w:t>
      </w:r>
    </w:p>
    <w:p>
      <w:pPr>
        <w:pStyle w:val="Indenta"/>
      </w:pPr>
      <w:r>
        <w:tab/>
      </w:r>
      <w:r>
        <w:tab/>
        <w:t>or</w:t>
      </w:r>
    </w:p>
    <w:p>
      <w:pPr>
        <w:pStyle w:val="Indenta"/>
      </w:pPr>
      <w:r>
        <w:tab/>
        <w:t>(b)</w:t>
      </w:r>
      <w:r>
        <w:tab/>
        <w:t>it remains in force by operation of Schedule 1 clause 20 of the Act.</w:t>
      </w:r>
    </w:p>
    <w:p>
      <w:pPr>
        <w:pStyle w:val="Footnotesection"/>
      </w:pPr>
      <w:r>
        <w:tab/>
        <w:t>[Regulation 5C inserted: Gazette 2 Oct 2018 p. 3799.]</w:t>
      </w:r>
    </w:p>
    <w:p>
      <w:pPr>
        <w:pStyle w:val="Ednotesection"/>
        <w:rPr>
          <w:szCs w:val="24"/>
        </w:rPr>
      </w:pPr>
      <w:r>
        <w:rPr>
          <w:szCs w:val="24"/>
        </w:rPr>
        <w:t>[</w:t>
      </w:r>
      <w:r>
        <w:rPr>
          <w:b/>
          <w:bCs/>
          <w:szCs w:val="24"/>
        </w:rPr>
        <w:t>6.</w:t>
      </w:r>
      <w:r>
        <w:rPr>
          <w:szCs w:val="24"/>
        </w:rPr>
        <w:tab/>
        <w:t>Deleted: Gazette 1 May 2007 p. 1867.]</w:t>
      </w:r>
    </w:p>
    <w:p>
      <w:pPr>
        <w:pStyle w:val="Heading5"/>
        <w:rPr>
          <w:snapToGrid w:val="0"/>
        </w:rPr>
      </w:pPr>
      <w:bookmarkStart w:id="20" w:name="_Toc188000700"/>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 xml:space="preserve">An educational course of instruction or training that includes as a required element the tasting, sampling or use of liquor is an </w:t>
      </w:r>
      <w:r>
        <w:rPr>
          <w:snapToGrid w:val="0"/>
        </w:rPr>
        <w:lastRenderedPageBreak/>
        <w:t>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Gazette 16 May 1995 p. 1859; amended: Gazette 1 May 2007 p. 1867 and 1888</w:t>
      </w:r>
      <w:r>
        <w:noBreakHyphen/>
        <w:t>9; 15 Jan 2010 p. 71.]</w:t>
      </w:r>
    </w:p>
    <w:p>
      <w:pPr>
        <w:pStyle w:val="Heading5"/>
        <w:rPr>
          <w:snapToGrid w:val="0"/>
        </w:rPr>
      </w:pPr>
      <w:bookmarkStart w:id="21" w:name="_Toc188000701"/>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Australia;</w:t>
      </w:r>
    </w:p>
    <w:p>
      <w:pPr>
        <w:pStyle w:val="Indenta"/>
        <w:rPr>
          <w:snapToGrid w:val="0"/>
        </w:rPr>
      </w:pPr>
      <w:r>
        <w:rPr>
          <w:snapToGrid w:val="0"/>
        </w:rPr>
        <w:tab/>
        <w:t>(b)</w:t>
      </w:r>
      <w:r>
        <w:rPr>
          <w:snapToGrid w:val="0"/>
        </w:rPr>
        <w:tab/>
        <w:t>the sale of liquor on a train in the course of an interstate rail passenger service to or from Perth;</w:t>
      </w:r>
    </w:p>
    <w:p>
      <w:pPr>
        <w:pStyle w:val="Indenta"/>
        <w:keepNext/>
      </w:pPr>
      <w:r>
        <w:tab/>
        <w:t>(c)</w:t>
      </w:r>
      <w:r>
        <w:tab/>
        <w:t xml:space="preserve">subject to subregulation (1AA), 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lastRenderedPageBreak/>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w:t>
      </w:r>
      <w:r>
        <w:t>home or to a guest of the patient and resident;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lastRenderedPageBreak/>
        <w:tab/>
        <w:t>(iii)</w:t>
      </w:r>
      <w:r>
        <w:tab/>
        <w:t xml:space="preserve">by a person who is an approved provider providing residential care, to a person (the </w:t>
      </w:r>
      <w:r>
        <w:rPr>
          <w:rStyle w:val="CharDefText"/>
        </w:rPr>
        <w:t>resident</w:t>
      </w:r>
      <w:r>
        <w:t>) who is accommodated in the residential facility where that residential care is provided or to a guest of the resident; or</w:t>
      </w:r>
    </w:p>
    <w:p>
      <w:pPr>
        <w:pStyle w:val="Indenti"/>
      </w:pPr>
      <w:r>
        <w:tab/>
        <w:t>(iv)</w:t>
      </w:r>
      <w:r>
        <w:tab/>
        <w:t>by a person who owns or operates a retirement village, to a resident of the retirement village or a guest of the resident; or</w:t>
      </w:r>
    </w:p>
    <w:p>
      <w:pPr>
        <w:pStyle w:val="Indenti"/>
      </w:pPr>
      <w:r>
        <w:tab/>
        <w:t>(v)</w:t>
      </w:r>
      <w:r>
        <w:tab/>
        <w:t xml:space="preserve">by a resident of a retirement village who is a member of a residents’ committee, subcommittee, incorporated association or other body of residents, to a resident of the retirement village or a guest of the resident; </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lastRenderedPageBreak/>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pPr>
      <w:r>
        <w:tab/>
        <w:t>(1AA)</w:t>
      </w:r>
      <w:r>
        <w:tab/>
        <w:t xml:space="preserve">Subregulation (1)(c) does not apply in relation to the sale or supply of liquor together with flowers, food or other products to be delivered as a gift — </w:t>
      </w:r>
    </w:p>
    <w:p>
      <w:pPr>
        <w:pStyle w:val="Indenta"/>
      </w:pPr>
      <w:r>
        <w:tab/>
        <w:t>(a)</w:t>
      </w:r>
      <w:r>
        <w:tab/>
        <w:t>in a restricted area; or</w:t>
      </w:r>
    </w:p>
    <w:p>
      <w:pPr>
        <w:pStyle w:val="Indenta"/>
      </w:pPr>
      <w:r>
        <w:tab/>
        <w:t>(b)</w:t>
      </w:r>
      <w:r>
        <w:tab/>
        <w:t>to liquor restricted premises.</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Montego Bay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Defstart"/>
      </w:pPr>
      <w:r>
        <w:t>(2A)</w:t>
      </w:r>
      <w:r>
        <w:tab/>
        <w:t xml:space="preserve">In subregulation (1)(h)(iv) and (v) — </w:t>
      </w:r>
    </w:p>
    <w:p>
      <w:pPr>
        <w:pStyle w:val="Defstart"/>
      </w:pPr>
      <w:r>
        <w:tab/>
      </w:r>
      <w:r>
        <w:rPr>
          <w:rStyle w:val="CharDefText"/>
        </w:rPr>
        <w:t>resident</w:t>
      </w:r>
      <w:r>
        <w:t xml:space="preserve"> has the meaning given in the </w:t>
      </w:r>
      <w:r>
        <w:rPr>
          <w:i/>
        </w:rPr>
        <w:t>Retirement Villages Act 1992</w:t>
      </w:r>
      <w:r>
        <w:t xml:space="preserve"> section 3(1);</w:t>
      </w:r>
    </w:p>
    <w:p>
      <w:pPr>
        <w:pStyle w:val="Defstart"/>
      </w:pPr>
      <w:r>
        <w:tab/>
      </w:r>
      <w:r>
        <w:rPr>
          <w:rStyle w:val="CharDefText"/>
        </w:rPr>
        <w:t>retirement village</w:t>
      </w:r>
      <w:r>
        <w:t xml:space="preserve"> has the meaning given in the </w:t>
      </w:r>
      <w:r>
        <w:rPr>
          <w:i/>
        </w:rPr>
        <w:t>Retirement Villages Act 1992</w:t>
      </w:r>
      <w:r>
        <w:t xml:space="preserve"> section 3(1).</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lastRenderedPageBreak/>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keepNex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 20 Jul 2018 p. 2632; SL 2021/207 r. 5.]</w:t>
      </w:r>
    </w:p>
    <w:p>
      <w:pPr>
        <w:pStyle w:val="Heading5"/>
      </w:pPr>
      <w:bookmarkStart w:id="22" w:name="_Toc188000702"/>
      <w:r>
        <w:rPr>
          <w:rStyle w:val="CharSectno"/>
        </w:rPr>
        <w:t>8A</w:t>
      </w:r>
      <w:r>
        <w:t>.</w:t>
      </w:r>
      <w:r>
        <w:tab/>
        <w:t>Exemption from Act, consumption at live entertainment venues</w:t>
      </w:r>
      <w:bookmarkEnd w:id="22"/>
    </w:p>
    <w:p>
      <w:pPr>
        <w:pStyle w:val="Subsection"/>
        <w:keepNext/>
        <w:keepLines/>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lastRenderedPageBreak/>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 xml:space="preserve">a refusal of an application under the Act for the approval of a person to occupy a position of authority in a body </w:t>
      </w:r>
      <w:r>
        <w:lastRenderedPageBreak/>
        <w:t>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lastRenderedPageBreak/>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lastRenderedPageBreak/>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lastRenderedPageBreak/>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w:t>
      </w:r>
      <w:r>
        <w:lastRenderedPageBreak/>
        <w:t xml:space="preserve">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Gazette 15 Jul 2011 p. 2956</w:t>
      </w:r>
      <w:r>
        <w:noBreakHyphen/>
        <w:t>60.]</w:t>
      </w:r>
    </w:p>
    <w:p>
      <w:pPr>
        <w:pStyle w:val="Heading5"/>
      </w:pPr>
      <w:bookmarkStart w:id="23" w:name="_Toc188000703"/>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 xml:space="preserve">the total number of attendees over the course of the function does not exceed 100, and liquor is </w:t>
      </w:r>
      <w:r>
        <w:lastRenderedPageBreak/>
        <w:t>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Gazette 15 Jul 2011 p. 2960</w:t>
      </w:r>
      <w:r>
        <w:noBreakHyphen/>
        <w:t>1.]</w:t>
      </w:r>
    </w:p>
    <w:p>
      <w:pPr>
        <w:pStyle w:val="Heading5"/>
      </w:pPr>
      <w:bookmarkStart w:id="24" w:name="_Toc188000704"/>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lastRenderedPageBreak/>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Gazette 15 Jul 2011 p. 2961</w:t>
      </w:r>
      <w:r>
        <w:noBreakHyphen/>
        <w:t>2; amended: Gazette 6 Sep 2016 p. 3828.]</w:t>
      </w:r>
    </w:p>
    <w:p>
      <w:pPr>
        <w:pStyle w:val="Heading5"/>
      </w:pPr>
      <w:bookmarkStart w:id="25" w:name="_Toc188000705"/>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 xml:space="preserve">the person who supplies the liquor to the customer has completed successfully a course of training or an assessment, approved by the Director for the purposes of </w:t>
      </w:r>
      <w:r>
        <w:lastRenderedPageBreak/>
        <w:t>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 restricted area;</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Gazette 6 Sep 2016 p. 3828-9; amended: Gazette 12 Sep 2017 p. 4735</w:t>
      </w:r>
      <w:r>
        <w:noBreakHyphen/>
        <w:t>6; SL 2021/207 r. 6.]</w:t>
      </w:r>
    </w:p>
    <w:p>
      <w:pPr>
        <w:pStyle w:val="Heading5"/>
        <w:spacing w:before="180"/>
      </w:pPr>
      <w:bookmarkStart w:id="26" w:name="_Toc188000706"/>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lastRenderedPageBreak/>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keepNext/>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 xml:space="preserve">a drunk person is not allowed to consume the liquor in the area immediately surrounding the stall in which </w:t>
      </w:r>
      <w:r>
        <w:lastRenderedPageBreak/>
        <w:t>customers of the stall congregate to sample or purchase liquor from the stall.</w:t>
      </w:r>
    </w:p>
    <w:p>
      <w:pPr>
        <w:pStyle w:val="Footnotesection"/>
        <w:spacing w:before="100"/>
        <w:ind w:left="890" w:hanging="890"/>
      </w:pPr>
      <w:r>
        <w:tab/>
        <w:t>[Regulation 8D inserted: Gazette 15 Jul 2011 p. 2962</w:t>
      </w:r>
      <w:r>
        <w:noBreakHyphen/>
        <w:t>3; amended: Gazette 10 Jan 2017 p. 142.]</w:t>
      </w:r>
    </w:p>
    <w:p>
      <w:pPr>
        <w:pStyle w:val="Heading5"/>
      </w:pPr>
      <w:bookmarkStart w:id="27" w:name="_Toc188000707"/>
      <w:r>
        <w:rPr>
          <w:rStyle w:val="CharSectno"/>
        </w:rPr>
        <w:t>8E</w:t>
      </w:r>
      <w:r>
        <w:t>.</w:t>
      </w:r>
      <w:r>
        <w:tab/>
        <w:t>Exemption from Act, sales etc. at functions on licensed premises</w:t>
      </w:r>
      <w:bookmarkEnd w:id="27"/>
    </w:p>
    <w:p>
      <w:pPr>
        <w:pStyle w:val="Subsection"/>
        <w:keepNext/>
      </w:pPr>
      <w:r>
        <w:tab/>
        <w:t>(1)</w:t>
      </w:r>
      <w:r>
        <w:tab/>
        <w:t xml:space="preserve">In this regulation — </w:t>
      </w:r>
    </w:p>
    <w:p>
      <w:pPr>
        <w:pStyle w:val="Defstart"/>
        <w:keepNex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lastRenderedPageBreak/>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Gazette 15 Jul 2011 p. 2963</w:t>
      </w:r>
      <w:r>
        <w:noBreakHyphen/>
        <w:t>4.]</w:t>
      </w:r>
    </w:p>
    <w:p>
      <w:pPr>
        <w:pStyle w:val="Heading5"/>
      </w:pPr>
      <w:bookmarkStart w:id="28" w:name="_Toc188000708"/>
      <w:r>
        <w:rPr>
          <w:rStyle w:val="CharSectno"/>
        </w:rPr>
        <w:t>8F</w:t>
      </w:r>
      <w:r>
        <w:t>.</w:t>
      </w:r>
      <w:r>
        <w:tab/>
        <w:t>Exemption from Act for consumption in on</w:t>
      </w:r>
      <w:r>
        <w:noBreakHyphen/>
        <w:t>demand charter vehicle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on</w:t>
      </w:r>
      <w:r>
        <w:rPr>
          <w:rStyle w:val="CharDefText"/>
        </w:rPr>
        <w:noBreakHyphen/>
        <w:t>demand charter vehicle authorisation</w:t>
      </w:r>
      <w:r>
        <w:t xml:space="preserve"> means a passenger transport vehicle authorisation that authorises the operation of the vehicle for use in providing an on</w:t>
      </w:r>
      <w:r>
        <w:noBreakHyphen/>
        <w:t xml:space="preserve">demand charter passenger transport service under the </w:t>
      </w:r>
      <w:r>
        <w:rPr>
          <w:i/>
        </w:rPr>
        <w:t>Transport (Road Passenger Services) Act 2018</w:t>
      </w:r>
      <w:r>
        <w: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keepNext/>
      </w:pPr>
      <w:r>
        <w:tab/>
        <w:t>(2)</w:t>
      </w:r>
      <w:r>
        <w:tab/>
        <w:t xml:space="preserve">The consumption of liquor by a person who is at least 18 years of age is exempted from the application of the Act if — </w:t>
      </w:r>
    </w:p>
    <w:p>
      <w:pPr>
        <w:pStyle w:val="Indenta"/>
      </w:pPr>
      <w:r>
        <w:tab/>
        <w:t>(a)</w:t>
      </w:r>
      <w:r>
        <w:tab/>
        <w:t>at the time of the consumption the person is a passenger in a vehicle in relation to which an on</w:t>
      </w:r>
      <w:r>
        <w:noBreakHyphen/>
        <w:t>demand charter vehicle authorisation is in force;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keepNext/>
        <w:spacing w:before="200"/>
      </w:pPr>
      <w:r>
        <w:lastRenderedPageBreak/>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Gazette 15 Jul 2011 p. 2964</w:t>
      </w:r>
      <w:r>
        <w:noBreakHyphen/>
        <w:t>5; amended: Gazette 6 Sep 2016 p. 3830-1; 28 Jun 2019 p. 2491</w:t>
      </w:r>
      <w:r>
        <w:noBreakHyphen/>
        <w:t>2.]</w:t>
      </w:r>
    </w:p>
    <w:p>
      <w:pPr>
        <w:pStyle w:val="Heading5"/>
      </w:pPr>
      <w:bookmarkStart w:id="29" w:name="_Toc188000709"/>
      <w:r>
        <w:rPr>
          <w:rStyle w:val="CharSectno"/>
        </w:rPr>
        <w:t>8G</w:t>
      </w:r>
      <w:r>
        <w:t>.</w:t>
      </w:r>
      <w:r>
        <w:tab/>
        <w:t>Exemption from Act in relation to liquor competition (Act s. 6(1)(o))</w:t>
      </w:r>
      <w:bookmarkEnd w:id="29"/>
    </w:p>
    <w:p>
      <w:pPr>
        <w:pStyle w:val="Subsection"/>
        <w:keepNext/>
      </w:pPr>
      <w:r>
        <w:tab/>
        <w:t>(1)</w:t>
      </w:r>
      <w:r>
        <w:tab/>
        <w:t xml:space="preserve">In this regulation — </w:t>
      </w:r>
    </w:p>
    <w:p>
      <w:pPr>
        <w:pStyle w:val="Defstart"/>
      </w:pPr>
      <w:r>
        <w:tab/>
      </w:r>
      <w:r>
        <w:rPr>
          <w:rStyle w:val="CharDefText"/>
        </w:rPr>
        <w:t>judge</w:t>
      </w:r>
      <w:r>
        <w:t>, in relation to a liquor competition, means a person who has expertise or expert knowledge in relation to the particular kind and type of liquor entered into the competition;</w:t>
      </w:r>
    </w:p>
    <w:p>
      <w:pPr>
        <w:pStyle w:val="Defstart"/>
      </w:pPr>
      <w:r>
        <w:tab/>
      </w:r>
      <w:r>
        <w:rPr>
          <w:rStyle w:val="CharDefText"/>
        </w:rPr>
        <w:t>liquor competition</w:t>
      </w:r>
      <w:r>
        <w:t xml:space="preserve"> means a competition which has all of the following characteristics — </w:t>
      </w:r>
    </w:p>
    <w:p>
      <w:pPr>
        <w:pStyle w:val="Defpara"/>
      </w:pPr>
      <w:r>
        <w:tab/>
        <w:t>(a)</w:t>
      </w:r>
      <w:r>
        <w:tab/>
        <w:t xml:space="preserve">liquor of a particular kind and type is assessed by a judge in a systematic manner against certain criteria (for example, criteria in relation to colour, appearance, aroma and taste); </w:t>
      </w:r>
    </w:p>
    <w:p>
      <w:pPr>
        <w:pStyle w:val="Defpara"/>
      </w:pPr>
      <w:r>
        <w:tab/>
        <w:t>(b)</w:t>
      </w:r>
      <w:r>
        <w:tab/>
        <w:t>after judgment the liquor is allocated a score;</w:t>
      </w:r>
    </w:p>
    <w:p>
      <w:pPr>
        <w:pStyle w:val="Defpara"/>
      </w:pPr>
      <w:r>
        <w:tab/>
        <w:t>(c)</w:t>
      </w:r>
      <w:r>
        <w:tab/>
        <w:t>a prize or acknowledgment is given in relation to liquor entered into the competition;</w:t>
      </w:r>
    </w:p>
    <w:p>
      <w:pPr>
        <w:pStyle w:val="Defpara"/>
      </w:pPr>
      <w:r>
        <w:tab/>
        <w:t>(d)</w:t>
      </w:r>
      <w:r>
        <w:tab/>
        <w:t>the purposes of the competition include to highlight liquor producers whose liquor exhibits the best quality and to provide a forum to educate liquor producers.</w:t>
      </w:r>
    </w:p>
    <w:p>
      <w:pPr>
        <w:pStyle w:val="Subsection"/>
      </w:pPr>
      <w:r>
        <w:tab/>
        <w:t>(2)</w:t>
      </w:r>
      <w:r>
        <w:tab/>
        <w:t xml:space="preserve">The sale or supply of liquor to, and the consumption of liquor by, a judge who is at least 18 years of age is exempted from the application of the Act if — </w:t>
      </w:r>
    </w:p>
    <w:p>
      <w:pPr>
        <w:pStyle w:val="Indenta"/>
      </w:pPr>
      <w:r>
        <w:tab/>
        <w:t>(a)</w:t>
      </w:r>
      <w:r>
        <w:tab/>
        <w:t xml:space="preserve">the judge is not drunk; and </w:t>
      </w:r>
    </w:p>
    <w:p>
      <w:pPr>
        <w:pStyle w:val="Indenta"/>
      </w:pPr>
      <w:r>
        <w:lastRenderedPageBreak/>
        <w:tab/>
        <w:t>(b)</w:t>
      </w:r>
      <w:r>
        <w:tab/>
        <w:t>the judge is judging a liquor competition; and</w:t>
      </w:r>
    </w:p>
    <w:p>
      <w:pPr>
        <w:pStyle w:val="Indenta"/>
      </w:pPr>
      <w:r>
        <w:tab/>
        <w:t>(c)</w:t>
      </w:r>
      <w:r>
        <w:tab/>
        <w:t>the liquor is sold or supplied by way of sample; and</w:t>
      </w:r>
    </w:p>
    <w:p>
      <w:pPr>
        <w:pStyle w:val="Indenta"/>
      </w:pPr>
      <w:r>
        <w:tab/>
        <w:t>(d)</w:t>
      </w:r>
      <w:r>
        <w:tab/>
        <w:t>the liquor is sold or supplied, and consumed, only for the purposes of the competition.</w:t>
      </w:r>
    </w:p>
    <w:p>
      <w:pPr>
        <w:pStyle w:val="Subsection"/>
      </w:pPr>
      <w:r>
        <w:tab/>
        <w:t>(3)</w:t>
      </w:r>
      <w:r>
        <w:tab/>
        <w:t xml:space="preserve">The sale or supply of liquor to, and the consumption of liquor by, a person who is at least 18 years of age is exempted from the application of the Act if — </w:t>
      </w:r>
    </w:p>
    <w:p>
      <w:pPr>
        <w:pStyle w:val="Indenta"/>
      </w:pPr>
      <w:r>
        <w:tab/>
        <w:t>(a)</w:t>
      </w:r>
      <w:r>
        <w:tab/>
        <w:t>the person is not drunk; and</w:t>
      </w:r>
    </w:p>
    <w:p>
      <w:pPr>
        <w:pStyle w:val="Indenta"/>
        <w:keepNext/>
      </w:pPr>
      <w:r>
        <w:tab/>
        <w:t>(b)</w:t>
      </w:r>
      <w:r>
        <w:tab/>
        <w:t xml:space="preserve">the person is — </w:t>
      </w:r>
    </w:p>
    <w:p>
      <w:pPr>
        <w:pStyle w:val="Indenti"/>
      </w:pPr>
      <w:r>
        <w:tab/>
        <w:t>(i)</w:t>
      </w:r>
      <w:r>
        <w:tab/>
        <w:t>a liquor producer who entered liquor into a liquor competition; or</w:t>
      </w:r>
    </w:p>
    <w:p>
      <w:pPr>
        <w:pStyle w:val="Indenti"/>
      </w:pPr>
      <w:r>
        <w:tab/>
        <w:t>(ii)</w:t>
      </w:r>
      <w:r>
        <w:tab/>
        <w:t>employed or engaged as a steward for the purposes of a liquor competition;</w:t>
      </w:r>
    </w:p>
    <w:p>
      <w:pPr>
        <w:pStyle w:val="Indenta"/>
      </w:pPr>
      <w:r>
        <w:tab/>
      </w:r>
      <w:r>
        <w:tab/>
        <w:t>and</w:t>
      </w:r>
    </w:p>
    <w:p>
      <w:pPr>
        <w:pStyle w:val="Indenta"/>
        <w:keepNext/>
      </w:pPr>
      <w:r>
        <w:tab/>
        <w:t>(c)</w:t>
      </w:r>
      <w:r>
        <w:tab/>
        <w:t>the liquor is sold or supplied by way of sample; and</w:t>
      </w:r>
    </w:p>
    <w:p>
      <w:pPr>
        <w:pStyle w:val="Indenta"/>
      </w:pPr>
      <w:r>
        <w:tab/>
        <w:t>(d)</w:t>
      </w:r>
      <w:r>
        <w:tab/>
        <w:t>the sale or supply, and consumption, of the liquor is incidental to the competition.</w:t>
      </w:r>
    </w:p>
    <w:p>
      <w:pPr>
        <w:pStyle w:val="Footnotesection"/>
        <w:spacing w:before="160"/>
        <w:ind w:left="890" w:hanging="890"/>
      </w:pPr>
      <w:r>
        <w:tab/>
        <w:t>[Regulation 8G inserted: SL 2021/94 r. 4.]</w:t>
      </w:r>
    </w:p>
    <w:p>
      <w:pPr>
        <w:pStyle w:val="Heading5"/>
        <w:spacing w:before="240"/>
        <w:rPr>
          <w:snapToGrid w:val="0"/>
        </w:rPr>
      </w:pPr>
      <w:bookmarkStart w:id="30" w:name="_Toc188000710"/>
      <w:r>
        <w:rPr>
          <w:rStyle w:val="CharSectno"/>
        </w:rPr>
        <w:t>9</w:t>
      </w:r>
      <w:r>
        <w:rPr>
          <w:snapToGrid w:val="0"/>
        </w:rPr>
        <w:t>.</w:t>
      </w:r>
      <w:r>
        <w:rPr>
          <w:snapToGrid w:val="0"/>
        </w:rPr>
        <w:tab/>
        <w:t>Persons who may take and administer oaths and affirmations (Act s. 18(3)(c))</w:t>
      </w:r>
      <w:bookmarkEnd w:id="30"/>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keepNext/>
        <w:spacing w:before="100"/>
        <w:rPr>
          <w:snapToGrid w:val="0"/>
        </w:rPr>
      </w:pPr>
      <w:r>
        <w:rPr>
          <w:snapToGrid w:val="0"/>
        </w:rPr>
        <w:tab/>
        <w:t>(d)</w:t>
      </w:r>
      <w:r>
        <w:rPr>
          <w:snapToGrid w:val="0"/>
        </w:rPr>
        <w:tab/>
        <w:t xml:space="preserve">a </w:t>
      </w:r>
      <w:r>
        <w:t xml:space="preserve">court registrar </w:t>
      </w:r>
      <w:r>
        <w:rPr>
          <w:snapToGrid w:val="0"/>
        </w:rPr>
        <w:t xml:space="preserve">who is a person authorised by the Director under section 15(1)(b) to determine </w:t>
      </w:r>
      <w:r>
        <w:rPr>
          <w:snapToGrid w:val="0"/>
        </w:rPr>
        <w:lastRenderedPageBreak/>
        <w:t>applications for the grant of occasional licences or the issue of extended trading permits.</w:t>
      </w:r>
    </w:p>
    <w:p>
      <w:pPr>
        <w:pStyle w:val="Footnotesection"/>
        <w:keepLines w:val="0"/>
        <w:ind w:left="890" w:hanging="890"/>
      </w:pPr>
      <w:r>
        <w:tab/>
        <w:t>[Regulation 9 amended: Gazette 22 May 1998 p. 2941; 28 Sep 2007 p. 4928.]</w:t>
      </w:r>
    </w:p>
    <w:p>
      <w:pPr>
        <w:pStyle w:val="Heading5"/>
      </w:pPr>
      <w:bookmarkStart w:id="31" w:name="_Toc188000711"/>
      <w:r>
        <w:rPr>
          <w:rStyle w:val="CharSectno"/>
        </w:rPr>
        <w:t>9AA</w:t>
      </w:r>
      <w:r>
        <w:t>.</w:t>
      </w:r>
      <w:r>
        <w:tab/>
        <w:t xml:space="preserve">Distance prescribed </w:t>
      </w:r>
      <w:r>
        <w:rPr>
          <w:snapToGrid w:val="0"/>
        </w:rPr>
        <w:t>(Act s.</w:t>
      </w:r>
      <w:r>
        <w:t> 36A(2)(b))</w:t>
      </w:r>
      <w:bookmarkEnd w:id="31"/>
    </w:p>
    <w:p>
      <w:pPr>
        <w:pStyle w:val="Subsection"/>
        <w:keepNext/>
      </w:pPr>
      <w:r>
        <w:tab/>
      </w:r>
      <w:r>
        <w:tab/>
        <w:t>For the purpose of section 36A(2)(b) a distance of 25 km is prescribed.</w:t>
      </w:r>
    </w:p>
    <w:p>
      <w:pPr>
        <w:pStyle w:val="Footnotesection"/>
        <w:ind w:left="890" w:hanging="890"/>
      </w:pPr>
      <w:r>
        <w:tab/>
        <w:t>[Regulation 9AA inserted: Gazette 29 Sep 2000 p. 5549; amended: Gazette 1 May 2007 p. 1888</w:t>
      </w:r>
      <w:r>
        <w:noBreakHyphen/>
        <w:t>9.]</w:t>
      </w:r>
    </w:p>
    <w:p>
      <w:pPr>
        <w:pStyle w:val="Heading5"/>
      </w:pPr>
      <w:bookmarkStart w:id="32" w:name="_Toc188000712"/>
      <w:r>
        <w:rPr>
          <w:rStyle w:val="CharSectno"/>
        </w:rPr>
        <w:t>9AAA</w:t>
      </w:r>
      <w:r>
        <w:t>.</w:t>
      </w:r>
      <w:r>
        <w:tab/>
        <w:t>Area prescribed (Act s. 36B)</w:t>
      </w:r>
      <w:bookmarkEnd w:id="32"/>
    </w:p>
    <w:p>
      <w:pPr>
        <w:pStyle w:val="Subsection"/>
      </w:pPr>
      <w:r>
        <w:tab/>
      </w:r>
      <w:r>
        <w:tab/>
        <w:t>For the purposes of section 36B, the area of 400 m</w:t>
      </w:r>
      <w:r>
        <w:rPr>
          <w:vertAlign w:val="superscript"/>
        </w:rPr>
        <w:t>2</w:t>
      </w:r>
      <w:r>
        <w:t xml:space="preserve"> is prescribed.</w:t>
      </w:r>
    </w:p>
    <w:p>
      <w:pPr>
        <w:pStyle w:val="Footnotesection"/>
        <w:ind w:left="890" w:hanging="890"/>
      </w:pPr>
      <w:r>
        <w:tab/>
        <w:t>[Regulation 9AAA inserted: Gazette 1 Nov 2019 p. 3858.]</w:t>
      </w:r>
    </w:p>
    <w:p>
      <w:pPr>
        <w:pStyle w:val="Heading5"/>
      </w:pPr>
      <w:bookmarkStart w:id="33" w:name="_Toc188000713"/>
      <w:r>
        <w:rPr>
          <w:rStyle w:val="CharSectno"/>
        </w:rPr>
        <w:t>9AAB</w:t>
      </w:r>
      <w:r>
        <w:t>.</w:t>
      </w:r>
      <w:r>
        <w:tab/>
        <w:t>Distance prescribed (Act s. 36B)</w:t>
      </w:r>
      <w:bookmarkEnd w:id="33"/>
    </w:p>
    <w:p>
      <w:pPr>
        <w:pStyle w:val="Subsection"/>
        <w:keepNext/>
      </w:pPr>
      <w:r>
        <w:tab/>
        <w:t>(1)</w:t>
      </w:r>
      <w:r>
        <w:tab/>
        <w:t xml:space="preserve">For the purposes of section 36B,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pPr>
      <w:r>
        <w:tab/>
        <w:t>(2)</w:t>
      </w:r>
      <w:r>
        <w:tab/>
        <w:t>The distances referred to in subregulation (1) are to be calculated using the shortest route by road.</w:t>
      </w:r>
    </w:p>
    <w:p>
      <w:pPr>
        <w:pStyle w:val="Footnotesection"/>
        <w:ind w:left="890" w:hanging="890"/>
      </w:pPr>
      <w:r>
        <w:tab/>
        <w:t>[Regulation 9AAB inserted: Gazette 1 Nov 2019 p. 3859.]</w:t>
      </w:r>
    </w:p>
    <w:p>
      <w:pPr>
        <w:pStyle w:val="Heading5"/>
        <w:rPr>
          <w:snapToGrid w:val="0"/>
        </w:rPr>
      </w:pPr>
      <w:bookmarkStart w:id="34" w:name="_Toc188000714"/>
      <w:r>
        <w:rPr>
          <w:rStyle w:val="CharSectno"/>
        </w:rPr>
        <w:t>9A</w:t>
      </w:r>
      <w:r>
        <w:t>.</w:t>
      </w:r>
      <w:r>
        <w:tab/>
      </w:r>
      <w:r>
        <w:rPr>
          <w:snapToGrid w:val="0"/>
        </w:rPr>
        <w:t>Special facility licence, purposes for which may be granted</w:t>
      </w:r>
      <w:bookmarkEnd w:id="34"/>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lastRenderedPageBreak/>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w:t>
      </w:r>
      <w:r>
        <w:lastRenderedPageBreak/>
        <w:t xml:space="preserve">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lastRenderedPageBreak/>
        <w:t>institution or a higher education institution t</w:t>
      </w:r>
      <w:r>
        <w:t>o students and staff of the institution and their guests.</w:t>
      </w:r>
    </w:p>
    <w:p>
      <w:pPr>
        <w:pStyle w:val="MiscellaneousHeading"/>
        <w:jc w:val="left"/>
      </w:pPr>
      <w:r>
        <w:rPr>
          <w:b/>
          <w:bCs/>
        </w:rPr>
        <w:t>Education and training course</w:t>
      </w:r>
    </w:p>
    <w:p>
      <w:pPr>
        <w:pStyle w:val="Subsection"/>
        <w:keepNext/>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lastRenderedPageBreak/>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lastRenderedPageBreak/>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lastRenderedPageBreak/>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lastRenderedPageBreak/>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keepNext/>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keepNext/>
      </w:pPr>
      <w:r>
        <w:lastRenderedPageBreak/>
        <w:tab/>
        <w:t>(c)</w:t>
      </w:r>
      <w:r>
        <w:tab/>
        <w:t xml:space="preserve">the licensee must dispatch the wine sold — </w:t>
      </w:r>
    </w:p>
    <w:p>
      <w:pPr>
        <w:pStyle w:val="Indenti"/>
        <w:keepNext/>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Gazette 4 Jan 2002 p. 8</w:t>
      </w:r>
      <w:r>
        <w:noBreakHyphen/>
        <w:t>11; amended: Gazette 28 Mar 2003 p. 984; 10 Oct 2003 p. 4406; 10 Aug 2004 p. 3186; 19 Aug 2005 p. 3874; 1 May 2007 p. 1868</w:t>
      </w:r>
      <w:r>
        <w:noBreakHyphen/>
        <w:t>71; 13 Mar 2009 p. 763; 15 Jan 2010 p. 71</w:t>
      </w:r>
      <w:r>
        <w:noBreakHyphen/>
        <w:t>2; 22 Oct 2010 p. 5226; 7 Oct 2011 p. 4068-9; 6 Jan 2012 p. 48 (disallowed: Gazette 18 Sep 2012 p. 4411); 16 Nov 2012 p. 5658; 10 Jan 2017 p. 142</w:t>
      </w:r>
      <w:r>
        <w:noBreakHyphen/>
        <w:t>3; 3 Feb 2017 p. 1115.]</w:t>
      </w:r>
    </w:p>
    <w:p>
      <w:pPr>
        <w:pStyle w:val="Heading5"/>
      </w:pPr>
      <w:bookmarkStart w:id="35" w:name="_Toc188000715"/>
      <w:r>
        <w:rPr>
          <w:rStyle w:val="CharSectno"/>
        </w:rPr>
        <w:lastRenderedPageBreak/>
        <w:t>9AB</w:t>
      </w:r>
      <w:r>
        <w:t>.</w:t>
      </w:r>
      <w:r>
        <w:tab/>
        <w:t xml:space="preserve">Kind of extended trading permit prescribed </w:t>
      </w:r>
      <w:r>
        <w:rPr>
          <w:snapToGrid w:val="0"/>
        </w:rPr>
        <w:t>(Act s.</w:t>
      </w:r>
      <w:r>
        <w:t> 25(5a))</w:t>
      </w:r>
      <w:bookmarkEnd w:id="35"/>
    </w:p>
    <w:p>
      <w:pPr>
        <w:pStyle w:val="Subsection"/>
        <w:keepNext/>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Gazette 1 May 2007 p. 1871.]</w:t>
      </w:r>
    </w:p>
    <w:p>
      <w:pPr>
        <w:pStyle w:val="Heading5"/>
        <w:rPr>
          <w:snapToGrid w:val="0"/>
        </w:rPr>
      </w:pPr>
      <w:bookmarkStart w:id="36" w:name="_Toc188000716"/>
      <w:r>
        <w:rPr>
          <w:rStyle w:val="CharSectno"/>
        </w:rPr>
        <w:t>9B</w:t>
      </w:r>
      <w:r>
        <w:rPr>
          <w:snapToGrid w:val="0"/>
        </w:rPr>
        <w:t>.</w:t>
      </w:r>
      <w:r>
        <w:rPr>
          <w:snapToGrid w:val="0"/>
        </w:rPr>
        <w:tab/>
        <w:t>Special facility licence, effect of as to sale of packaged liquor</w:t>
      </w:r>
      <w:bookmarkEnd w:id="3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Gazette 4 Jan 2002 p. 11.]</w:t>
      </w:r>
    </w:p>
    <w:p>
      <w:pPr>
        <w:pStyle w:val="Heading5"/>
      </w:pPr>
      <w:bookmarkStart w:id="37" w:name="_Toc188000717"/>
      <w:r>
        <w:rPr>
          <w:rStyle w:val="CharSectno"/>
        </w:rPr>
        <w:t>9C</w:t>
      </w:r>
      <w:r>
        <w:t>.</w:t>
      </w:r>
      <w:r>
        <w:tab/>
        <w:t>Types of special facility licence prescribed (Act s. 46(6))</w:t>
      </w:r>
      <w:bookmarkEnd w:id="37"/>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keepNext/>
      </w:pPr>
      <w:r>
        <w:lastRenderedPageBreak/>
        <w:tab/>
        <w:t>(k)</w:t>
      </w:r>
      <w:r>
        <w:tab/>
        <w:t>regulation 9A(15) and (16) — room service restaurant;</w:t>
      </w:r>
    </w:p>
    <w:p>
      <w:pPr>
        <w:pStyle w:val="Indenta"/>
        <w:keepNext/>
      </w:pPr>
      <w:r>
        <w:tab/>
        <w:t>(l)</w:t>
      </w:r>
      <w:r>
        <w:tab/>
        <w:t>regulation 9A(22) — auction.</w:t>
      </w:r>
    </w:p>
    <w:p>
      <w:pPr>
        <w:pStyle w:val="Footnotesection"/>
      </w:pPr>
      <w:r>
        <w:tab/>
        <w:t>[Regulation 9C inserted: Gazette 8 Dec 2017 p. 5850.]</w:t>
      </w:r>
    </w:p>
    <w:p>
      <w:pPr>
        <w:pStyle w:val="Heading5"/>
      </w:pPr>
      <w:bookmarkStart w:id="38" w:name="_Toc188000718"/>
      <w:r>
        <w:rPr>
          <w:rStyle w:val="CharSectno"/>
        </w:rPr>
        <w:t>9D</w:t>
      </w:r>
      <w:r>
        <w:t>.</w:t>
      </w:r>
      <w:r>
        <w:tab/>
      </w:r>
      <w:r>
        <w:rPr>
          <w:snapToGrid w:val="0"/>
        </w:rPr>
        <w:t>Act s.</w:t>
      </w:r>
      <w:r>
        <w:t> 33(6b) modified as to occasional licences</w:t>
      </w:r>
      <w:bookmarkEnd w:id="38"/>
    </w:p>
    <w:p>
      <w:pPr>
        <w:pStyle w:val="Subsection"/>
      </w:pPr>
      <w:r>
        <w:tab/>
        <w:t>(1)</w:t>
      </w:r>
      <w:r>
        <w:tab/>
        <w:t>For the purposes of a determination under section 33(6) in respect of an application for an occasional licence where the maximum number of patrons on any day of the period to which the application relates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maximum number of patrons on any day of the period to which the application relates is not greater than 250, section 33(6b) does not have effect unless the Director otherwise determines.</w:t>
      </w:r>
    </w:p>
    <w:p>
      <w:pPr>
        <w:pStyle w:val="Footnotesection"/>
      </w:pPr>
      <w:r>
        <w:tab/>
        <w:t>[Regulation 9D inserted: Gazette 1 May 2007 p. 1871</w:t>
      </w:r>
      <w:r>
        <w:noBreakHyphen/>
        <w:t>2; amended: Gazette 22 Oct 2010 p. 5226; 2 Oct 2018 p. 3800.]</w:t>
      </w:r>
    </w:p>
    <w:p>
      <w:pPr>
        <w:pStyle w:val="Heading5"/>
      </w:pPr>
      <w:bookmarkStart w:id="39" w:name="_Toc188000719"/>
      <w:r>
        <w:rPr>
          <w:rStyle w:val="CharSectno"/>
        </w:rPr>
        <w:t>9E</w:t>
      </w:r>
      <w:r>
        <w:t>.</w:t>
      </w:r>
      <w:r>
        <w:tab/>
        <w:t>Period prescribed (Act s. 33(6D)(b))</w:t>
      </w:r>
      <w:bookmarkEnd w:id="39"/>
    </w:p>
    <w:p>
      <w:pPr>
        <w:pStyle w:val="Subsection"/>
        <w:keepNext/>
      </w:pPr>
      <w:r>
        <w:tab/>
      </w:r>
      <w:r>
        <w:tab/>
        <w:t>For the purposes of section 33(6D)(b) the period of 3 months is prescribed.</w:t>
      </w:r>
    </w:p>
    <w:p>
      <w:pPr>
        <w:pStyle w:val="Footnotesection"/>
        <w:keepNext/>
        <w:ind w:left="890" w:hanging="890"/>
      </w:pPr>
      <w:r>
        <w:tab/>
        <w:t>[Regulation 9E inserted: Gazette 16 Nov 2012 p. 5658.]</w:t>
      </w:r>
    </w:p>
    <w:p>
      <w:pPr>
        <w:pStyle w:val="Heading5"/>
      </w:pPr>
      <w:bookmarkStart w:id="40" w:name="_Toc188000720"/>
      <w:r>
        <w:rPr>
          <w:rStyle w:val="CharSectno"/>
        </w:rPr>
        <w:t>9EA</w:t>
      </w:r>
      <w:r>
        <w:t>.</w:t>
      </w:r>
      <w:r>
        <w:tab/>
        <w:t>Kinds of licence prescribed (Act s. 38(1)(a))</w:t>
      </w:r>
      <w:bookmarkEnd w:id="40"/>
    </w:p>
    <w:p>
      <w:pPr>
        <w:pStyle w:val="Subsection"/>
      </w:pPr>
      <w:r>
        <w:tab/>
      </w:r>
      <w:r>
        <w:tab/>
        <w:t xml:space="preserve">For the purposes of section 38(1)(a), the following kinds of licence are prescribed — </w:t>
      </w:r>
    </w:p>
    <w:p>
      <w:pPr>
        <w:pStyle w:val="Indenta"/>
      </w:pPr>
      <w:r>
        <w:tab/>
        <w:t>(a)</w:t>
      </w:r>
      <w:r>
        <w:tab/>
        <w:t>a hotel licence;</w:t>
      </w:r>
    </w:p>
    <w:p>
      <w:pPr>
        <w:pStyle w:val="Indenta"/>
      </w:pPr>
      <w:r>
        <w:tab/>
        <w:t>(b)</w:t>
      </w:r>
      <w:r>
        <w:tab/>
        <w:t>a nightclub licence;</w:t>
      </w:r>
    </w:p>
    <w:p>
      <w:pPr>
        <w:pStyle w:val="Indenta"/>
        <w:keepNext/>
      </w:pPr>
      <w:r>
        <w:lastRenderedPageBreak/>
        <w:tab/>
        <w:t>(c)</w:t>
      </w:r>
      <w:r>
        <w:tab/>
        <w:t>a casino liquor licence;</w:t>
      </w:r>
    </w:p>
    <w:p>
      <w:pPr>
        <w:pStyle w:val="Indenta"/>
        <w:keepNext/>
      </w:pPr>
      <w:r>
        <w:tab/>
        <w:t>(d)</w:t>
      </w:r>
      <w:r>
        <w:tab/>
        <w:t>a liquor store licence.</w:t>
      </w:r>
    </w:p>
    <w:p>
      <w:pPr>
        <w:pStyle w:val="Footnotesection"/>
        <w:keepNext/>
        <w:ind w:left="890" w:hanging="890"/>
      </w:pPr>
      <w:r>
        <w:tab/>
        <w:t>[Regulation 9EA inserted: Gazette 2 Oct 2018 p. 3800.]</w:t>
      </w:r>
    </w:p>
    <w:p>
      <w:pPr>
        <w:pStyle w:val="Heading5"/>
      </w:pPr>
      <w:bookmarkStart w:id="41" w:name="_Toc188000721"/>
      <w:r>
        <w:rPr>
          <w:rStyle w:val="CharSectno"/>
        </w:rPr>
        <w:t>9F</w:t>
      </w:r>
      <w:r>
        <w:t>.</w:t>
      </w:r>
      <w:r>
        <w:tab/>
        <w:t>Kinds of permit prescribed (Act s. 38(1)(b))</w:t>
      </w:r>
      <w:bookmarkEnd w:id="41"/>
    </w:p>
    <w:p>
      <w:pPr>
        <w:pStyle w:val="Subsection"/>
      </w:pPr>
      <w:r>
        <w:tab/>
      </w:r>
      <w:r>
        <w:tab/>
        <w:t>For the purposes of section 38(1)(b), an extended trading permit to be issued for the purpose referred to in section 60(4)(g) and for a specified period exceeding 3 weeks is prescribed.</w:t>
      </w:r>
    </w:p>
    <w:p>
      <w:pPr>
        <w:pStyle w:val="Footnotesection"/>
        <w:spacing w:before="100"/>
        <w:ind w:left="890" w:hanging="890"/>
      </w:pPr>
      <w:r>
        <w:tab/>
        <w:t>[Regulation 9F inserted: Gazette 2 Oct 2018 p. 3800.]</w:t>
      </w:r>
    </w:p>
    <w:p>
      <w:pPr>
        <w:pStyle w:val="Ednotesection"/>
      </w:pPr>
      <w:r>
        <w:t>[</w:t>
      </w:r>
      <w:r>
        <w:rPr>
          <w:b/>
        </w:rPr>
        <w:t>9G.</w:t>
      </w:r>
      <w:r>
        <w:rPr>
          <w:b/>
        </w:rPr>
        <w:tab/>
      </w:r>
      <w:r>
        <w:t>Deleted: Gazette 2 Oct 2018 p. 3800.]</w:t>
      </w:r>
    </w:p>
    <w:p>
      <w:pPr>
        <w:pStyle w:val="Heading5"/>
        <w:spacing w:before="240"/>
        <w:rPr>
          <w:snapToGrid w:val="0"/>
        </w:rPr>
      </w:pPr>
      <w:bookmarkStart w:id="42" w:name="_Toc188000722"/>
      <w:r>
        <w:rPr>
          <w:rStyle w:val="CharSectno"/>
        </w:rPr>
        <w:t>10</w:t>
      </w:r>
      <w:r>
        <w:rPr>
          <w:snapToGrid w:val="0"/>
        </w:rPr>
        <w:t>.</w:t>
      </w:r>
      <w:r>
        <w:rPr>
          <w:snapToGrid w:val="0"/>
        </w:rPr>
        <w:tab/>
        <w:t>Requirements prescribed (Act s. </w:t>
      </w:r>
      <w:r>
        <w:t>57(2)(d)</w:t>
      </w:r>
      <w:r>
        <w:rPr>
          <w:snapToGrid w:val="0"/>
        </w:rPr>
        <w:t>)</w:t>
      </w:r>
      <w:bookmarkEnd w:id="42"/>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keepNext/>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keepNext/>
        <w:rPr>
          <w:snapToGrid w:val="0"/>
        </w:rPr>
      </w:pPr>
      <w:r>
        <w:rPr>
          <w:snapToGrid w:val="0"/>
        </w:rPr>
        <w:tab/>
        <w:t>(ii)</w:t>
      </w:r>
      <w:r>
        <w:rPr>
          <w:snapToGrid w:val="0"/>
        </w:rPr>
        <w:tab/>
        <w:t xml:space="preserve">if those premises are not in a convenient location for the sale of the liquor produced, other </w:t>
      </w:r>
      <w:r>
        <w:rPr>
          <w:snapToGrid w:val="0"/>
        </w:rPr>
        <w:lastRenderedPageBreak/>
        <w:t>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Gazette 22 May 1998 p. 2942; amended: Gazette 1 May 2007 p. 1873 and 1888</w:t>
      </w:r>
      <w:r>
        <w:noBreakHyphen/>
        <w:t>9; 6 Feb 2009 p. 248; 3 Jun 2011 p. 1999.]</w:t>
      </w:r>
    </w:p>
    <w:p>
      <w:pPr>
        <w:pStyle w:val="Heading5"/>
        <w:rPr>
          <w:snapToGrid w:val="0"/>
        </w:rPr>
      </w:pPr>
      <w:bookmarkStart w:id="43" w:name="_Toc188000723"/>
      <w:r>
        <w:rPr>
          <w:rStyle w:val="CharSectno"/>
        </w:rPr>
        <w:t>10A</w:t>
      </w:r>
      <w:r>
        <w:rPr>
          <w:snapToGrid w:val="0"/>
        </w:rPr>
        <w:t>.</w:t>
      </w:r>
      <w:r>
        <w:rPr>
          <w:snapToGrid w:val="0"/>
        </w:rPr>
        <w:tab/>
        <w:t>Condition prescribed (Act s. 55(2))</w:t>
      </w:r>
      <w:bookmarkEnd w:id="43"/>
    </w:p>
    <w:p>
      <w:pPr>
        <w:pStyle w:val="Subsection"/>
        <w:keepNext/>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Gazette 22 May 1998 p. 2942; amended: Gazette 1 May 2007 p. 1888</w:t>
      </w:r>
      <w:r>
        <w:noBreakHyphen/>
        <w:t>9.]</w:t>
      </w:r>
    </w:p>
    <w:p>
      <w:pPr>
        <w:pStyle w:val="Heading5"/>
      </w:pPr>
      <w:bookmarkStart w:id="44" w:name="_Toc188000724"/>
      <w:r>
        <w:rPr>
          <w:rStyle w:val="CharSectno"/>
        </w:rPr>
        <w:t>10B</w:t>
      </w:r>
      <w:r>
        <w:t>.</w:t>
      </w:r>
      <w:r>
        <w:tab/>
        <w:t>Days for making application prescribed (Act s. 64(1BA))</w:t>
      </w:r>
      <w:bookmarkEnd w:id="44"/>
    </w:p>
    <w:p>
      <w:pPr>
        <w:pStyle w:val="Subsection"/>
      </w:pPr>
      <w:r>
        <w:tab/>
      </w:r>
      <w:r>
        <w:tab/>
        <w:t xml:space="preserve">For the purposes of section 64(1BA), the prescribed number of days is — </w:t>
      </w:r>
    </w:p>
    <w:p>
      <w:pPr>
        <w:pStyle w:val="Indenta"/>
      </w:pPr>
      <w:r>
        <w:tab/>
        <w:t>(a)</w:t>
      </w:r>
      <w:r>
        <w:tab/>
        <w:t xml:space="preserve">if the condition as varied is proposed to have effect for a period not exceeding 21 days — </w:t>
      </w:r>
    </w:p>
    <w:p>
      <w:pPr>
        <w:pStyle w:val="Indenti"/>
      </w:pPr>
      <w:r>
        <w:tab/>
        <w:t>(i)</w:t>
      </w:r>
      <w:r>
        <w:tab/>
        <w:t>if the anticipated number of patrons is not greater than 500 — 14 days; or</w:t>
      </w:r>
    </w:p>
    <w:p>
      <w:pPr>
        <w:pStyle w:val="Indenti"/>
      </w:pPr>
      <w:r>
        <w:tab/>
        <w:t>(ii)</w:t>
      </w:r>
      <w:r>
        <w:tab/>
        <w:t>if the anticipated number of patrons is greater than 500 but not greater than 5 000 — 60 days; or</w:t>
      </w:r>
    </w:p>
    <w:p>
      <w:pPr>
        <w:pStyle w:val="Indenti"/>
      </w:pPr>
      <w:r>
        <w:tab/>
        <w:t>(iii)</w:t>
      </w:r>
      <w:r>
        <w:tab/>
        <w:t>if the anticipated number of patrons is greater than 5 000 — 90 days;</w:t>
      </w:r>
    </w:p>
    <w:p>
      <w:pPr>
        <w:pStyle w:val="Indenta"/>
      </w:pPr>
      <w:r>
        <w:tab/>
      </w:r>
      <w:r>
        <w:tab/>
        <w:t>or</w:t>
      </w:r>
    </w:p>
    <w:p>
      <w:pPr>
        <w:pStyle w:val="Indenta"/>
        <w:keepNext/>
      </w:pPr>
      <w:r>
        <w:lastRenderedPageBreak/>
        <w:tab/>
        <w:t>(b)</w:t>
      </w:r>
      <w:r>
        <w:tab/>
        <w:t>if the condition as varied is proposed to have effect for a period exceeding 21 days, or if the condition is proposed to be varied permanently — 30 days.</w:t>
      </w:r>
    </w:p>
    <w:p>
      <w:pPr>
        <w:pStyle w:val="Footnotesection"/>
        <w:ind w:left="890" w:hanging="890"/>
      </w:pPr>
      <w:r>
        <w:tab/>
        <w:t>[Regulation 10B inserted: Gazette 2 Oct 2018 p. 3800</w:t>
      </w:r>
      <w:r>
        <w:noBreakHyphen/>
        <w:t>1; amended: SL 2021/94 r. 5.]</w:t>
      </w:r>
    </w:p>
    <w:p>
      <w:pPr>
        <w:pStyle w:val="Heading5"/>
      </w:pPr>
      <w:bookmarkStart w:id="45" w:name="_Toc188000725"/>
      <w:r>
        <w:rPr>
          <w:rStyle w:val="CharSectno"/>
        </w:rPr>
        <w:t>10C</w:t>
      </w:r>
      <w:r>
        <w:t>.</w:t>
      </w:r>
      <w:r>
        <w:tab/>
        <w:t>Prescribed requirements for sale and delivery of packaged liquor or liquor for consumption off licensed premises (Act s. 65(1)(b))</w:t>
      </w:r>
      <w:bookmarkEnd w:id="45"/>
    </w:p>
    <w:p>
      <w:pPr>
        <w:pStyle w:val="Subsection"/>
      </w:pPr>
      <w:r>
        <w:tab/>
        <w:t>(1)</w:t>
      </w:r>
      <w:r>
        <w:tab/>
        <w:t>For the purposes of section 65(1)(b), the requirements relating to the sale and delivery from licensed premises of packaged liquor or liquor for consumption off the licensed premises are set out in this regulation.</w:t>
      </w:r>
    </w:p>
    <w:p>
      <w:pPr>
        <w:pStyle w:val="Subsection"/>
        <w:keepNext/>
      </w:pPr>
      <w:r>
        <w:tab/>
        <w:t>(2)</w:t>
      </w:r>
      <w:r>
        <w:tab/>
        <w:t xml:space="preserve">The licensee must ensure that — </w:t>
      </w:r>
    </w:p>
    <w:p>
      <w:pPr>
        <w:pStyle w:val="Indenta"/>
      </w:pPr>
      <w:r>
        <w:tab/>
        <w:t>(a)</w:t>
      </w:r>
      <w:r>
        <w:tab/>
        <w:t xml:space="preserve">if the sealed containers in which the liquor is delivered are contained in a box, carton or other package — the box, carton or package is labelled, marked or stamped with — </w:t>
      </w:r>
    </w:p>
    <w:p>
      <w:pPr>
        <w:pStyle w:val="Indenti"/>
      </w:pPr>
      <w:r>
        <w:tab/>
        <w:t>(i)</w:t>
      </w:r>
      <w:r>
        <w:tab/>
        <w:t>the name and address of the purchaser; and</w:t>
      </w:r>
    </w:p>
    <w:p>
      <w:pPr>
        <w:pStyle w:val="Indenti"/>
      </w:pPr>
      <w:r>
        <w:tab/>
        <w:t>(ii)</w:t>
      </w:r>
      <w:r>
        <w:tab/>
        <w:t>the name and address of the vendor;</w:t>
      </w:r>
    </w:p>
    <w:p>
      <w:pPr>
        <w:pStyle w:val="Indenta"/>
      </w:pPr>
      <w:r>
        <w:tab/>
      </w:r>
      <w:r>
        <w:tab/>
        <w:t>or</w:t>
      </w:r>
    </w:p>
    <w:p>
      <w:pPr>
        <w:pStyle w:val="Indenta"/>
      </w:pPr>
      <w:r>
        <w:tab/>
        <w:t>(b)</w:t>
      </w:r>
      <w:r>
        <w:tab/>
        <w:t>in any other case — the sealed containers in which the liquor is delivered are each labelled, marked or stamped as described in paragraph (a).</w:t>
      </w:r>
    </w:p>
    <w:p>
      <w:pPr>
        <w:pStyle w:val="Subsection"/>
        <w:keepNext/>
      </w:pPr>
      <w:r>
        <w:tab/>
        <w:t>(3)</w:t>
      </w:r>
      <w:r>
        <w:tab/>
        <w:t xml:space="preserve">The licensee must ensure that the liquor is not left with a person unless — </w:t>
      </w:r>
    </w:p>
    <w:p>
      <w:pPr>
        <w:pStyle w:val="Indenta"/>
      </w:pPr>
      <w:r>
        <w:tab/>
        <w:t>(a)</w:t>
      </w:r>
      <w:r>
        <w:tab/>
        <w:t>the person produces evidence that the person has reached 18 years of age; and</w:t>
      </w:r>
    </w:p>
    <w:p>
      <w:pPr>
        <w:pStyle w:val="Indenta"/>
      </w:pPr>
      <w:r>
        <w:tab/>
        <w:t>(b)</w:t>
      </w:r>
      <w:r>
        <w:tab/>
        <w:t>if the delivery is made on the day on which the liquor is purchased — the person is the purchaser or a person nominated by the purchaser; and</w:t>
      </w:r>
    </w:p>
    <w:p>
      <w:pPr>
        <w:pStyle w:val="Indenta"/>
        <w:keepNext/>
      </w:pPr>
      <w:r>
        <w:lastRenderedPageBreak/>
        <w:tab/>
        <w:t>(c)</w:t>
      </w:r>
      <w:r>
        <w:tab/>
        <w:t xml:space="preserve">if the delivery is made within a banned drinker area — </w:t>
      </w:r>
    </w:p>
    <w:p>
      <w:pPr>
        <w:pStyle w:val="Indenti"/>
      </w:pPr>
      <w:r>
        <w:tab/>
        <w:t>(i)</w:t>
      </w:r>
      <w:r>
        <w:tab/>
        <w:t xml:space="preserve">the person is the purchaser; or </w:t>
      </w:r>
    </w:p>
    <w:p>
      <w:pPr>
        <w:pStyle w:val="Indenti"/>
      </w:pPr>
      <w:r>
        <w:tab/>
        <w:t>(ii)</w:t>
      </w:r>
      <w:r>
        <w:tab/>
        <w:t>the person is a person nominated by the purchaser who was not a banned drinker when the liquor was purchased.</w:t>
      </w:r>
    </w:p>
    <w:p>
      <w:pPr>
        <w:pStyle w:val="Subsection"/>
      </w:pPr>
      <w:r>
        <w:tab/>
        <w:t>(4)</w:t>
      </w:r>
      <w:r>
        <w:tab/>
        <w:t xml:space="preserve">Evidence for the purposes of subregulation (3)(a) consists of — </w:t>
      </w:r>
    </w:p>
    <w:p>
      <w:pPr>
        <w:pStyle w:val="Indenta"/>
      </w:pPr>
      <w:r>
        <w:tab/>
        <w:t>(a)</w:t>
      </w:r>
      <w:r>
        <w:tab/>
        <w:t>a current Australian driver’s licence with a photograph; or</w:t>
      </w:r>
    </w:p>
    <w:p>
      <w:pPr>
        <w:pStyle w:val="Indenta"/>
      </w:pPr>
      <w:r>
        <w:tab/>
        <w:t>(b)</w:t>
      </w:r>
      <w:r>
        <w:tab/>
        <w:t>a current passport; or</w:t>
      </w:r>
    </w:p>
    <w:p>
      <w:pPr>
        <w:pStyle w:val="Indenta"/>
      </w:pPr>
      <w:r>
        <w:tab/>
        <w:t>(c)</w:t>
      </w:r>
      <w:r>
        <w:tab/>
        <w:t>a document referred to in regulation 18A(1A).</w:t>
      </w:r>
    </w:p>
    <w:p>
      <w:pPr>
        <w:pStyle w:val="Subsection"/>
      </w:pPr>
      <w:r>
        <w:tab/>
        <w:t>(5)</w:t>
      </w:r>
      <w:r>
        <w:tab/>
        <w:t xml:space="preserve">The licensee must ensure that the liquor is not left with a person if — </w:t>
      </w:r>
    </w:p>
    <w:p>
      <w:pPr>
        <w:pStyle w:val="Indenta"/>
      </w:pPr>
      <w:r>
        <w:tab/>
        <w:t>(a)</w:t>
      </w:r>
      <w:r>
        <w:tab/>
        <w:t>the speech, balance, coordination or behaviour of the person appears to be noticeably impaired; and</w:t>
      </w:r>
    </w:p>
    <w:p>
      <w:pPr>
        <w:pStyle w:val="Indenta"/>
      </w:pPr>
      <w:r>
        <w:tab/>
        <w:t>(b)</w:t>
      </w:r>
      <w:r>
        <w:tab/>
        <w:t>there are reasonable grounds to suspect that the impairment results from the consumption of liquor.</w:t>
      </w:r>
    </w:p>
    <w:p>
      <w:pPr>
        <w:pStyle w:val="Subsection"/>
        <w:keepNext/>
      </w:pPr>
      <w:r>
        <w:tab/>
        <w:t>(6)</w:t>
      </w:r>
      <w:r>
        <w:tab/>
        <w:t xml:space="preserve">The licensee must ensure that the liquor is not left unattended at premises unless — </w:t>
      </w:r>
    </w:p>
    <w:p>
      <w:pPr>
        <w:pStyle w:val="Indenta"/>
      </w:pPr>
      <w:r>
        <w:tab/>
        <w:t>(a)</w:t>
      </w:r>
      <w:r>
        <w:tab/>
        <w:t>the delivery is made on a day other than the day on which the liquor is purchased; and</w:t>
      </w:r>
    </w:p>
    <w:p>
      <w:pPr>
        <w:pStyle w:val="Indenta"/>
      </w:pPr>
      <w:r>
        <w:tab/>
        <w:t>(b)</w:t>
      </w:r>
      <w:r>
        <w:tab/>
        <w:t>the purchaser authorises the liquor to be left unattended at the premises; and</w:t>
      </w:r>
    </w:p>
    <w:p>
      <w:pPr>
        <w:pStyle w:val="Indenta"/>
      </w:pPr>
      <w:r>
        <w:tab/>
        <w:t>(c)</w:t>
      </w:r>
      <w:r>
        <w:tab/>
        <w:t>the liquor is left in an area that is not visible to passers</w:t>
      </w:r>
      <w:r>
        <w:noBreakHyphen/>
        <w:t>by.</w:t>
      </w:r>
    </w:p>
    <w:p>
      <w:pPr>
        <w:pStyle w:val="Subsection"/>
      </w:pPr>
      <w:r>
        <w:tab/>
        <w:t>(7)</w:t>
      </w:r>
      <w:r>
        <w:tab/>
        <w:t xml:space="preserve">The licensee must ensure that the liquor is not delivered — </w:t>
      </w:r>
    </w:p>
    <w:p>
      <w:pPr>
        <w:pStyle w:val="Indenta"/>
      </w:pPr>
      <w:r>
        <w:tab/>
        <w:t>(a)</w:t>
      </w:r>
      <w:r>
        <w:tab/>
        <w:t>in a restricted area; or</w:t>
      </w:r>
    </w:p>
    <w:p>
      <w:pPr>
        <w:pStyle w:val="Indenta"/>
      </w:pPr>
      <w:r>
        <w:tab/>
        <w:t>(b)</w:t>
      </w:r>
      <w:r>
        <w:tab/>
        <w:t>to liquor restricted premises at which a notice is displayed under section 152S.</w:t>
      </w:r>
    </w:p>
    <w:p>
      <w:pPr>
        <w:pStyle w:val="Subsection"/>
        <w:keepNext/>
      </w:pPr>
      <w:r>
        <w:lastRenderedPageBreak/>
        <w:tab/>
        <w:t>(8)</w:t>
      </w:r>
      <w:r>
        <w:tab/>
        <w:t xml:space="preserve">The licensee must ensure that the liquor is delivered at a time that is — </w:t>
      </w:r>
    </w:p>
    <w:p>
      <w:pPr>
        <w:pStyle w:val="Indenta"/>
      </w:pPr>
      <w:r>
        <w:tab/>
        <w:t>(a)</w:t>
      </w:r>
      <w:r>
        <w:tab/>
        <w:t>within the permitted hours, if any, under the licence; and</w:t>
      </w:r>
    </w:p>
    <w:p>
      <w:pPr>
        <w:pStyle w:val="Indenta"/>
      </w:pPr>
      <w:r>
        <w:tab/>
        <w:t>(b)</w:t>
      </w:r>
      <w:r>
        <w:tab/>
        <w:t xml:space="preserve">in any case — </w:t>
      </w:r>
    </w:p>
    <w:p>
      <w:pPr>
        <w:pStyle w:val="Indenti"/>
      </w:pPr>
      <w:r>
        <w:tab/>
        <w:t>(i)</w:t>
      </w:r>
      <w:r>
        <w:tab/>
        <w:t>if the delivery is made on the day on which the liquor is purchased — between the hours of 9 am and midnight; and</w:t>
      </w:r>
    </w:p>
    <w:p>
      <w:pPr>
        <w:pStyle w:val="Indenti"/>
      </w:pPr>
      <w:r>
        <w:tab/>
        <w:t>(ii)</w:t>
      </w:r>
      <w:r>
        <w:tab/>
        <w:t>otherwise — between the hours of 6 am and midnight.</w:t>
      </w:r>
    </w:p>
    <w:p>
      <w:pPr>
        <w:pStyle w:val="Subsection"/>
      </w:pPr>
      <w:r>
        <w:tab/>
        <w:t>(9)</w:t>
      </w:r>
      <w:r>
        <w:tab/>
        <w:t xml:space="preserve">If the delivery is made on the day on which the liquor is purchased, the licensee must ensure that the liquor is delivered by a person who has completed successfully a course of training or an assessment — </w:t>
      </w:r>
    </w:p>
    <w:p>
      <w:pPr>
        <w:pStyle w:val="Indenta"/>
      </w:pPr>
      <w:r>
        <w:tab/>
        <w:t>(a)</w:t>
      </w:r>
      <w:r>
        <w:tab/>
        <w:t>in responsible practices in the sale, supply and service of liquor; and</w:t>
      </w:r>
    </w:p>
    <w:p>
      <w:pPr>
        <w:pStyle w:val="Indenta"/>
        <w:keepNext/>
      </w:pPr>
      <w:r>
        <w:tab/>
        <w:t>(b)</w:t>
      </w:r>
      <w:r>
        <w:tab/>
        <w:t>approved by the Director for the purposes of this subregulation.</w:t>
      </w:r>
    </w:p>
    <w:p>
      <w:pPr>
        <w:pStyle w:val="Footnotesection"/>
      </w:pPr>
      <w:r>
        <w:tab/>
        <w:t>[Regulation 10C inserted: SL 2021/207 r. 7; amended: SL 2023/196 r. 5.]</w:t>
      </w:r>
    </w:p>
    <w:p>
      <w:pPr>
        <w:pStyle w:val="Heading5"/>
        <w:rPr>
          <w:snapToGrid w:val="0"/>
        </w:rPr>
      </w:pPr>
      <w:bookmarkStart w:id="46" w:name="_Toc188000726"/>
      <w:r>
        <w:rPr>
          <w:rStyle w:val="CharSectno"/>
        </w:rPr>
        <w:t>11</w:t>
      </w:r>
      <w:r>
        <w:rPr>
          <w:snapToGrid w:val="0"/>
        </w:rPr>
        <w:t>.</w:t>
      </w:r>
      <w:r>
        <w:rPr>
          <w:snapToGrid w:val="0"/>
        </w:rPr>
        <w:tab/>
        <w:t>Plans and specifications, requirements for (Act s. 66(4) and (5))</w:t>
      </w:r>
      <w:bookmarkEnd w:id="46"/>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lastRenderedPageBreak/>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keepNext/>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lastRenderedPageBreak/>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keepNext/>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7" w:name="_Toc188000727"/>
      <w:r>
        <w:rPr>
          <w:rStyle w:val="CharSectno"/>
        </w:rPr>
        <w:lastRenderedPageBreak/>
        <w:t>13</w:t>
      </w:r>
      <w:r>
        <w:rPr>
          <w:snapToGrid w:val="0"/>
        </w:rPr>
        <w:t>.</w:t>
      </w:r>
      <w:r>
        <w:rPr>
          <w:snapToGrid w:val="0"/>
        </w:rPr>
        <w:tab/>
        <w:t>Records as to applicant, requirements for (Act s. 68(1)(b))</w:t>
      </w:r>
      <w:bookmarkEnd w:id="47"/>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Gazette 28 Sep 2007 p. 4928.]</w:t>
      </w:r>
    </w:p>
    <w:p>
      <w:pPr>
        <w:pStyle w:val="Heading5"/>
      </w:pPr>
      <w:bookmarkStart w:id="48" w:name="_Toc188000728"/>
      <w:r>
        <w:rPr>
          <w:rStyle w:val="CharSectno"/>
        </w:rPr>
        <w:t>14A</w:t>
      </w:r>
      <w:r>
        <w:t>.</w:t>
      </w:r>
      <w:r>
        <w:tab/>
        <w:t xml:space="preserve">Types etc. of premises prescribed </w:t>
      </w:r>
      <w:r>
        <w:rPr>
          <w:snapToGrid w:val="0"/>
        </w:rPr>
        <w:t>(Act s. 77(5a)(b))</w:t>
      </w:r>
      <w:bookmarkEnd w:id="48"/>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pPr>
      <w:r>
        <w:tab/>
        <w:t>(c)</w:t>
      </w:r>
      <w:r>
        <w:tab/>
        <w:t xml:space="preserve">a hotel restricted licence; </w:t>
      </w:r>
    </w:p>
    <w:p>
      <w:pPr>
        <w:pStyle w:val="Indenta"/>
      </w:pPr>
      <w:r>
        <w:tab/>
        <w:t>(d)</w:t>
      </w:r>
      <w:r>
        <w:tab/>
        <w:t>a producer’s licence.</w:t>
      </w:r>
    </w:p>
    <w:p>
      <w:pPr>
        <w:pStyle w:val="Footnotesection"/>
      </w:pPr>
      <w:r>
        <w:tab/>
        <w:t>[Regulation 14A inserted: Gazette 2 May 2008 p. 1704; amended: Gazette 18 Dec 2012 p. 6596-7.]</w:t>
      </w:r>
    </w:p>
    <w:p>
      <w:pPr>
        <w:pStyle w:val="Heading5"/>
      </w:pPr>
      <w:bookmarkStart w:id="49" w:name="_Toc188000729"/>
      <w:r>
        <w:rPr>
          <w:rStyle w:val="CharSectno"/>
        </w:rPr>
        <w:t>14AA</w:t>
      </w:r>
      <w:r>
        <w:t>.</w:t>
      </w:r>
      <w:r>
        <w:tab/>
        <w:t>Area prescribed (Act s. 77A)</w:t>
      </w:r>
      <w:bookmarkEnd w:id="49"/>
    </w:p>
    <w:p>
      <w:pPr>
        <w:pStyle w:val="Subsection"/>
      </w:pPr>
      <w:r>
        <w:tab/>
      </w:r>
      <w:r>
        <w:tab/>
        <w:t>For the purposes of section 77A, the area of 400 m</w:t>
      </w:r>
      <w:r>
        <w:rPr>
          <w:vertAlign w:val="superscript"/>
        </w:rPr>
        <w:t>2</w:t>
      </w:r>
      <w:r>
        <w:t xml:space="preserve"> is prescribed.</w:t>
      </w:r>
    </w:p>
    <w:p>
      <w:pPr>
        <w:pStyle w:val="Footnotesection"/>
        <w:ind w:left="890" w:hanging="890"/>
      </w:pPr>
      <w:r>
        <w:tab/>
        <w:t>[Regulation 14AA inserted: Gazette 1 Nov 2019 p. 3859.]</w:t>
      </w:r>
    </w:p>
    <w:p>
      <w:pPr>
        <w:pStyle w:val="Heading5"/>
      </w:pPr>
      <w:bookmarkStart w:id="50" w:name="_Toc188000730"/>
      <w:r>
        <w:rPr>
          <w:rStyle w:val="CharSectno"/>
        </w:rPr>
        <w:lastRenderedPageBreak/>
        <w:t>14AAA</w:t>
      </w:r>
      <w:r>
        <w:t>.</w:t>
      </w:r>
      <w:r>
        <w:tab/>
        <w:t>Distance prescribed (Act s. 77A)</w:t>
      </w:r>
      <w:bookmarkEnd w:id="50"/>
    </w:p>
    <w:p>
      <w:pPr>
        <w:pStyle w:val="Subsection"/>
        <w:keepNext/>
      </w:pPr>
      <w:r>
        <w:tab/>
        <w:t>(1)</w:t>
      </w:r>
      <w:r>
        <w:tab/>
        <w:t xml:space="preserve">For the purposes of section 77A, the following distances are prescribed — </w:t>
      </w:r>
    </w:p>
    <w:p>
      <w:pPr>
        <w:pStyle w:val="Indenta"/>
      </w:pPr>
      <w:r>
        <w:tab/>
        <w:t>(a)</w:t>
      </w:r>
      <w:r>
        <w:tab/>
        <w:t>for packaged liquor premises in the metropolitan region — 5 km;</w:t>
      </w:r>
    </w:p>
    <w:p>
      <w:pPr>
        <w:pStyle w:val="Indenta"/>
      </w:pPr>
      <w:r>
        <w:tab/>
        <w:t>(b)</w:t>
      </w:r>
      <w:r>
        <w:tab/>
        <w:t>for all other packaged liquor premises — 12 km.</w:t>
      </w:r>
    </w:p>
    <w:p>
      <w:pPr>
        <w:pStyle w:val="Subsection"/>
        <w:keepNext/>
      </w:pPr>
      <w:r>
        <w:tab/>
        <w:t>(2)</w:t>
      </w:r>
      <w:r>
        <w:tab/>
        <w:t>The distances referred to in subregulation (1) are to be calculated using the shortest route by road.</w:t>
      </w:r>
    </w:p>
    <w:p>
      <w:pPr>
        <w:pStyle w:val="Footnotesection"/>
        <w:ind w:left="890" w:hanging="890"/>
      </w:pPr>
      <w:r>
        <w:tab/>
        <w:t>[Regulation 9AAA inserted: Gazette 1 Nov 2019 p. 3859.]</w:t>
      </w:r>
    </w:p>
    <w:p>
      <w:pPr>
        <w:pStyle w:val="Heading5"/>
      </w:pPr>
      <w:bookmarkStart w:id="51" w:name="_Toc188000731"/>
      <w:r>
        <w:rPr>
          <w:rStyle w:val="CharSectno"/>
        </w:rPr>
        <w:t>14AB</w:t>
      </w:r>
      <w:r>
        <w:t>.</w:t>
      </w:r>
      <w:r>
        <w:tab/>
        <w:t xml:space="preserve">Requirement for lodgment of application prescribed </w:t>
      </w:r>
      <w:r>
        <w:rPr>
          <w:snapToGrid w:val="0"/>
        </w:rPr>
        <w:t>(Act s. </w:t>
      </w:r>
      <w:r>
        <w:t>75(1)(b))</w:t>
      </w:r>
      <w:bookmarkEnd w:id="51"/>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60 days before the licence is to take effect; or</w:t>
      </w:r>
    </w:p>
    <w:p>
      <w:pPr>
        <w:pStyle w:val="Indenta"/>
        <w:keepNext/>
      </w:pPr>
      <w:r>
        <w:tab/>
        <w:t>(b)</w:t>
      </w:r>
      <w:r>
        <w:tab/>
        <w:t>if the anticipated number of patrons is greater than 5 000 — not later than 90 days before the licence is to take effect.</w:t>
      </w:r>
    </w:p>
    <w:p>
      <w:pPr>
        <w:pStyle w:val="Footnotesection"/>
        <w:ind w:left="890" w:hanging="890"/>
      </w:pPr>
      <w:r>
        <w:tab/>
        <w:t>[Regulation 14AB inserted: Gazette 1 May 2007 p. 1876</w:t>
      </w:r>
      <w:r>
        <w:noBreakHyphen/>
        <w:t>7; amended: Gazette 22 Oct 2010 p. 5227; SL 2021/94 r. 6.]</w:t>
      </w:r>
    </w:p>
    <w:p>
      <w:pPr>
        <w:pStyle w:val="Heading5"/>
      </w:pPr>
      <w:bookmarkStart w:id="52" w:name="_Toc188000732"/>
      <w:r>
        <w:rPr>
          <w:rStyle w:val="CharSectno"/>
        </w:rPr>
        <w:t>14AC</w:t>
      </w:r>
      <w:r>
        <w:t>.</w:t>
      </w:r>
      <w:r>
        <w:tab/>
        <w:t xml:space="preserve">Requirement for lodgment of application prescribed </w:t>
      </w:r>
      <w:r>
        <w:rPr>
          <w:snapToGrid w:val="0"/>
        </w:rPr>
        <w:t>(Act s. </w:t>
      </w:r>
      <w:r>
        <w:t>76(1)(b))</w:t>
      </w:r>
      <w:bookmarkEnd w:id="52"/>
    </w:p>
    <w:p>
      <w:pPr>
        <w:pStyle w:val="Subsection"/>
      </w:pPr>
      <w:r>
        <w:tab/>
        <w:t>(1)</w:t>
      </w:r>
      <w:r>
        <w:tab/>
        <w:t xml:space="preserve">In this regulation — </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lastRenderedPageBreak/>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60 days before the permit is to take effect; or</w:t>
      </w:r>
    </w:p>
    <w:p>
      <w:pPr>
        <w:pStyle w:val="Indenta"/>
        <w:keepNext/>
      </w:pPr>
      <w:r>
        <w:tab/>
        <w:t>(b)</w:t>
      </w:r>
      <w:r>
        <w:tab/>
        <w:t>if the anticipated number of patrons is greater than 5 000 — not later than 90 days before the permit is to take effect.</w:t>
      </w:r>
    </w:p>
    <w:p>
      <w:pPr>
        <w:pStyle w:val="Footnotesection"/>
        <w:ind w:left="890" w:hanging="890"/>
      </w:pPr>
      <w:r>
        <w:tab/>
        <w:t>[Regulation 14AC inserted: Gazette 1 May 2007 p. 1877; amended: Gazette 22 Oct 2010 p. 5227; 2 Oct 2018 p. 3801; SL 2021/94 r. 7.]</w:t>
      </w:r>
    </w:p>
    <w:p>
      <w:pPr>
        <w:pStyle w:val="Heading5"/>
        <w:spacing w:before="240"/>
      </w:pPr>
      <w:bookmarkStart w:id="53" w:name="_Toc188000733"/>
      <w:r>
        <w:rPr>
          <w:rStyle w:val="CharSectno"/>
        </w:rPr>
        <w:t>14ADA</w:t>
      </w:r>
      <w:r>
        <w:t>.</w:t>
      </w:r>
      <w:r>
        <w:tab/>
        <w:t>Manager’s approval, application for (Act s. 102B)</w:t>
      </w:r>
      <w:bookmarkEnd w:id="53"/>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keepNext/>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Gazette 3 Jun 2011 p. 1995.]</w:t>
      </w:r>
    </w:p>
    <w:p>
      <w:pPr>
        <w:pStyle w:val="Heading5"/>
      </w:pPr>
      <w:bookmarkStart w:id="54" w:name="_Toc188000734"/>
      <w:r>
        <w:rPr>
          <w:rStyle w:val="CharSectno"/>
        </w:rPr>
        <w:lastRenderedPageBreak/>
        <w:t>14ADB</w:t>
      </w:r>
      <w:r>
        <w:t>.</w:t>
      </w:r>
      <w:r>
        <w:tab/>
        <w:t>Manager’s approval, conditions on (Act s. 102C)</w:t>
      </w:r>
      <w:bookmarkEnd w:id="5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Gazette 3 Jun 2011 p. 1995</w:t>
      </w:r>
      <w:r>
        <w:noBreakHyphen/>
        <w:t>6.]</w:t>
      </w:r>
    </w:p>
    <w:p>
      <w:pPr>
        <w:pStyle w:val="Heading5"/>
      </w:pPr>
      <w:bookmarkStart w:id="55" w:name="_Toc188000735"/>
      <w:r>
        <w:rPr>
          <w:rStyle w:val="CharSectno"/>
        </w:rPr>
        <w:t>14ADC</w:t>
      </w:r>
      <w:r>
        <w:t>.</w:t>
      </w:r>
      <w:r>
        <w:tab/>
        <w:t>Manager’s approval, duration of (Act s. 102D)</w:t>
      </w:r>
      <w:bookmarkEnd w:id="55"/>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Gazette 3 Jun 2011 p. 1996.]</w:t>
      </w:r>
    </w:p>
    <w:p>
      <w:pPr>
        <w:pStyle w:val="Heading5"/>
      </w:pPr>
      <w:bookmarkStart w:id="56" w:name="_Toc188000736"/>
      <w:r>
        <w:rPr>
          <w:rStyle w:val="CharSectno"/>
        </w:rPr>
        <w:lastRenderedPageBreak/>
        <w:t>14ADD</w:t>
      </w:r>
      <w:r>
        <w:t>.</w:t>
      </w:r>
      <w:r>
        <w:tab/>
        <w:t>Manager’s approval, renewal of (Act s. 102E)</w:t>
      </w:r>
      <w:bookmarkEnd w:id="56"/>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Gazette 3 Jun 2011 p. 1996.]</w:t>
      </w:r>
    </w:p>
    <w:p>
      <w:pPr>
        <w:pStyle w:val="Heading5"/>
      </w:pPr>
      <w:bookmarkStart w:id="57" w:name="_Toc188000737"/>
      <w:r>
        <w:rPr>
          <w:rStyle w:val="CharSectno"/>
        </w:rPr>
        <w:t>14ADE</w:t>
      </w:r>
      <w:r>
        <w:t>.</w:t>
      </w:r>
      <w:r>
        <w:tab/>
        <w:t>Approved manager, identification card for</w:t>
      </w:r>
      <w:bookmarkEnd w:id="5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lastRenderedPageBreak/>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Gazette 3 Jun 2011 p. 1996</w:t>
      </w:r>
      <w:r>
        <w:noBreakHyphen/>
        <w:t>7.]</w:t>
      </w:r>
    </w:p>
    <w:p>
      <w:pPr>
        <w:pStyle w:val="Heading5"/>
      </w:pPr>
      <w:bookmarkStart w:id="58" w:name="_Toc188000738"/>
      <w:r>
        <w:rPr>
          <w:rStyle w:val="CharSectno"/>
        </w:rPr>
        <w:t>14ADF</w:t>
      </w:r>
      <w:r>
        <w:t>.</w:t>
      </w:r>
      <w:r>
        <w:tab/>
        <w:t>Lost etc. identification card, replacement of</w:t>
      </w:r>
      <w:bookmarkEnd w:id="58"/>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Gazette 3 Jun 2011 p. 1997.]</w:t>
      </w:r>
    </w:p>
    <w:p>
      <w:pPr>
        <w:pStyle w:val="Heading5"/>
      </w:pPr>
      <w:bookmarkStart w:id="59" w:name="_Toc188000739"/>
      <w:r>
        <w:rPr>
          <w:rStyle w:val="CharSectno"/>
        </w:rPr>
        <w:lastRenderedPageBreak/>
        <w:t>14ADG</w:t>
      </w:r>
      <w:r>
        <w:t>.</w:t>
      </w:r>
      <w:r>
        <w:tab/>
        <w:t>Transitioned approvals (Act Sch. 1B)</w:t>
      </w:r>
      <w:bookmarkEnd w:id="59"/>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Gazette 3 Jun 2011 p. 1997</w:t>
      </w:r>
      <w:r>
        <w:noBreakHyphen/>
        <w:t>8; amended: Gazette 6 Nov 2015 p. 4584.]</w:t>
      </w:r>
    </w:p>
    <w:p>
      <w:pPr>
        <w:pStyle w:val="Heading5"/>
      </w:pPr>
      <w:bookmarkStart w:id="60" w:name="_Toc188000740"/>
      <w:r>
        <w:rPr>
          <w:rStyle w:val="CharSectno"/>
        </w:rPr>
        <w:t>14AD</w:t>
      </w:r>
      <w:r>
        <w:t>.</w:t>
      </w:r>
      <w:r>
        <w:tab/>
        <w:t xml:space="preserve">Responsible practices in selling etc. liquor, courses on required </w:t>
      </w:r>
      <w:r>
        <w:rPr>
          <w:snapToGrid w:val="0"/>
        </w:rPr>
        <w:t>(Act s. </w:t>
      </w:r>
      <w:r>
        <w:t>103A(1)(a))</w:t>
      </w:r>
      <w:bookmarkEnd w:id="60"/>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maximum number of patrons on any day of the period for which the licence is granted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maximum number of patrons on any day of the period for which the licence is granted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lastRenderedPageBreak/>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Gazette 1 May 2007 p. 1878; amended: Gazette 22 Oct 2010 p. 5227; 3 Jun 2011 p. 1998; 10 Jan 2017 p. 144; 2 Oct 2018 p. 3801.]</w:t>
      </w:r>
    </w:p>
    <w:p>
      <w:pPr>
        <w:pStyle w:val="Heading5"/>
      </w:pPr>
      <w:bookmarkStart w:id="61" w:name="_Toc188000741"/>
      <w:r>
        <w:rPr>
          <w:rStyle w:val="CharSectno"/>
        </w:rPr>
        <w:t>14AE</w:t>
      </w:r>
      <w:r>
        <w:t>.</w:t>
      </w:r>
      <w:r>
        <w:tab/>
        <w:t>Offences for r. 14AD</w:t>
      </w:r>
      <w:bookmarkEnd w:id="61"/>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keepNext/>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lastRenderedPageBreak/>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Gazette 1 May 2007 p. 1879; amended: Gazette 2 Oct 2007 p. 4974; 22 Oct 2010 p. 5228; 10 Jan 2017 p. 144</w:t>
      </w:r>
      <w:r>
        <w:noBreakHyphen/>
        <w:t>5.]</w:t>
      </w:r>
    </w:p>
    <w:p>
      <w:pPr>
        <w:pStyle w:val="Ednotesection"/>
      </w:pPr>
      <w:r>
        <w:t>[</w:t>
      </w:r>
      <w:r>
        <w:rPr>
          <w:b/>
        </w:rPr>
        <w:t>14AF.</w:t>
      </w:r>
      <w:r>
        <w:tab/>
        <w:t>Deleted: Gazette 10 Jan 2017 p. 145.]</w:t>
      </w:r>
    </w:p>
    <w:p>
      <w:pPr>
        <w:pStyle w:val="Heading5"/>
        <w:spacing w:before="210"/>
      </w:pPr>
      <w:bookmarkStart w:id="62" w:name="_Toc188000742"/>
      <w:r>
        <w:rPr>
          <w:rStyle w:val="CharSectno"/>
        </w:rPr>
        <w:t>14AG</w:t>
      </w:r>
      <w:r>
        <w:t>.</w:t>
      </w:r>
      <w:r>
        <w:tab/>
        <w:t>Licensee to maintain register </w:t>
      </w:r>
      <w:r>
        <w:rPr>
          <w:snapToGrid w:val="0"/>
        </w:rPr>
        <w:t>(Act s. </w:t>
      </w:r>
      <w:r>
        <w:t>103A(1)(b))</w:t>
      </w:r>
      <w:bookmarkEnd w:id="6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spacing w:before="120"/>
      </w:pPr>
      <w:r>
        <w:lastRenderedPageBreak/>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Gazette 1 May 2007 p. 1880; amended: Gazette 28 Sep 2007 p. 4929.]</w:t>
      </w:r>
    </w:p>
    <w:p>
      <w:pPr>
        <w:pStyle w:val="Ednotesection"/>
        <w:spacing w:before="210"/>
      </w:pPr>
      <w:r>
        <w:t>[</w:t>
      </w:r>
      <w:r>
        <w:rPr>
          <w:b/>
          <w:bCs/>
        </w:rPr>
        <w:t>15.</w:t>
      </w:r>
      <w:r>
        <w:tab/>
        <w:t>Deleted: Gazette 28 Sep 2007 p. 4929.]</w:t>
      </w:r>
    </w:p>
    <w:p>
      <w:pPr>
        <w:pStyle w:val="Heading5"/>
        <w:keepLines w:val="0"/>
        <w:widowControl w:val="0"/>
        <w:spacing w:before="210"/>
        <w:rPr>
          <w:snapToGrid w:val="0"/>
        </w:rPr>
      </w:pPr>
      <w:bookmarkStart w:id="63" w:name="_Toc188000743"/>
      <w:r>
        <w:rPr>
          <w:rStyle w:val="CharSectno"/>
        </w:rPr>
        <w:t>16</w:t>
      </w:r>
      <w:r>
        <w:rPr>
          <w:snapToGrid w:val="0"/>
        </w:rPr>
        <w:t>.</w:t>
      </w:r>
      <w:r>
        <w:rPr>
          <w:snapToGrid w:val="0"/>
        </w:rPr>
        <w:tab/>
        <w:t>Amount of liability prescribed (Act s. 107)</w:t>
      </w:r>
      <w:bookmarkEnd w:id="63"/>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64" w:name="_Toc188000744"/>
      <w:r>
        <w:rPr>
          <w:rStyle w:val="CharSectno"/>
        </w:rPr>
        <w:t>16AA</w:t>
      </w:r>
      <w:r>
        <w:t>.</w:t>
      </w:r>
      <w:r>
        <w:tab/>
        <w:t>Quantity and area for offence (Act s. 109A)</w:t>
      </w:r>
      <w:bookmarkEnd w:id="64"/>
    </w:p>
    <w:p>
      <w:pPr>
        <w:pStyle w:val="Subsection"/>
      </w:pPr>
      <w:r>
        <w:tab/>
        <w:t>(1)</w:t>
      </w:r>
      <w:r>
        <w:tab/>
        <w:t xml:space="preserve">In this regulation — </w:t>
      </w:r>
    </w:p>
    <w:p>
      <w:pPr>
        <w:pStyle w:val="Defstart"/>
      </w:pPr>
      <w:r>
        <w:tab/>
      </w:r>
      <w:r>
        <w:rPr>
          <w:rStyle w:val="CharDefText"/>
        </w:rPr>
        <w:t>town</w:t>
      </w:r>
      <w:r>
        <w:t xml:space="preserve"> means land that is a townsite as defined in the </w:t>
      </w:r>
      <w:r>
        <w:rPr>
          <w:i/>
        </w:rPr>
        <w:t>Land Administration Act 1997</w:t>
      </w:r>
      <w:r>
        <w:t xml:space="preserve"> section 3(1).</w:t>
      </w:r>
    </w:p>
    <w:p>
      <w:pPr>
        <w:pStyle w:val="Subsection"/>
      </w:pPr>
      <w:r>
        <w:tab/>
        <w:t>(2)</w:t>
      </w:r>
      <w:r>
        <w:tab/>
        <w:t>For the purposes of this regulation, a reference to a town means the town and the area within 20 km of the boundaries of that town.</w:t>
      </w:r>
    </w:p>
    <w:p>
      <w:pPr>
        <w:pStyle w:val="Subsection"/>
      </w:pPr>
      <w:r>
        <w:tab/>
        <w:t>(3)</w:t>
      </w:r>
      <w:r>
        <w:tab/>
        <w:t xml:space="preserve">For the purposes of section 109A(2) of the Act, a kind of liquor specified in the Table, in a quantity corresponding to that kind in the Table, is prescribed for — </w:t>
      </w:r>
    </w:p>
    <w:p>
      <w:pPr>
        <w:pStyle w:val="Indenta"/>
      </w:pPr>
      <w:r>
        <w:tab/>
        <w:t>(a)</w:t>
      </w:r>
      <w:r>
        <w:tab/>
        <w:t>the towns of Broome, Carnarvon, Derby, Fitzroy Crossing, Halls Creek, Kununurra and Wyndham; and</w:t>
      </w:r>
    </w:p>
    <w:p>
      <w:pPr>
        <w:pStyle w:val="Indenta"/>
        <w:keepNext/>
      </w:pPr>
      <w:r>
        <w:tab/>
        <w:t>(b)</w:t>
      </w:r>
      <w:r>
        <w:tab/>
        <w:t xml:space="preserve">the area within 5 km of an area of the State that is — </w:t>
      </w:r>
    </w:p>
    <w:p>
      <w:pPr>
        <w:pStyle w:val="Indenti"/>
      </w:pPr>
      <w:r>
        <w:tab/>
        <w:t>(i)</w:t>
      </w:r>
      <w:r>
        <w:tab/>
        <w:t>within the local government district of Broome, Carnarvon, Derby</w:t>
      </w:r>
      <w:r>
        <w:noBreakHyphen/>
        <w:t>West Kimberley, Halls Creek or Wyndham</w:t>
      </w:r>
      <w:r>
        <w:noBreakHyphen/>
        <w:t>East Kimberley; and</w:t>
      </w:r>
    </w:p>
    <w:p>
      <w:pPr>
        <w:pStyle w:val="Indenti"/>
      </w:pPr>
      <w:r>
        <w:tab/>
        <w:t>(ii)</w:t>
      </w:r>
      <w:r>
        <w:tab/>
        <w:t>a restricted area.</w:t>
      </w:r>
    </w:p>
    <w:p>
      <w:pPr>
        <w:pStyle w:val="THeadingNAm"/>
      </w:pPr>
      <w:r>
        <w:lastRenderedPageBreak/>
        <w:t>Table</w:t>
      </w:r>
    </w:p>
    <w:tbl>
      <w:tblPr>
        <w:tblW w:w="5970"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1794"/>
        <w:gridCol w:w="1794"/>
      </w:tblGrid>
      <w:tr>
        <w:trPr>
          <w:tblHeader/>
        </w:trPr>
        <w:tc>
          <w:tcPr>
            <w:tcW w:w="2382" w:type="dxa"/>
            <w:vMerge w:val="restart"/>
            <w:noWrap/>
          </w:tcPr>
          <w:p>
            <w:pPr>
              <w:pStyle w:val="TableNAm"/>
              <w:jc w:val="center"/>
              <w:rPr>
                <w:b/>
                <w:bCs/>
                <w:i/>
              </w:rPr>
            </w:pPr>
            <w:r>
              <w:rPr>
                <w:b/>
                <w:bCs/>
                <w:i/>
              </w:rPr>
              <w:t>Kind of liquor</w:t>
            </w:r>
          </w:p>
        </w:tc>
        <w:tc>
          <w:tcPr>
            <w:tcW w:w="3588" w:type="dxa"/>
            <w:gridSpan w:val="2"/>
            <w:noWrap/>
          </w:tcPr>
          <w:p>
            <w:pPr>
              <w:pStyle w:val="TableNAm"/>
              <w:jc w:val="center"/>
              <w:rPr>
                <w:b/>
                <w:bCs/>
                <w:i/>
              </w:rPr>
            </w:pPr>
            <w:r>
              <w:rPr>
                <w:b/>
                <w:bCs/>
                <w:i/>
              </w:rPr>
              <w:t>Quantity of liquor</w:t>
            </w:r>
          </w:p>
        </w:tc>
      </w:tr>
      <w:tr>
        <w:trPr>
          <w:tblHeader/>
        </w:trPr>
        <w:tc>
          <w:tcPr>
            <w:tcW w:w="2382" w:type="dxa"/>
            <w:vMerge/>
            <w:noWrap/>
          </w:tcPr>
          <w:p>
            <w:pPr>
              <w:pStyle w:val="TableNAm"/>
              <w:jc w:val="center"/>
              <w:rPr>
                <w:b/>
                <w:bCs/>
                <w:i/>
              </w:rPr>
            </w:pPr>
          </w:p>
        </w:tc>
        <w:tc>
          <w:tcPr>
            <w:tcW w:w="1794" w:type="dxa"/>
            <w:noWrap/>
          </w:tcPr>
          <w:p>
            <w:pPr>
              <w:pStyle w:val="TableNAm"/>
              <w:jc w:val="center"/>
              <w:rPr>
                <w:bCs/>
              </w:rPr>
            </w:pPr>
            <w:r>
              <w:rPr>
                <w:bCs/>
              </w:rPr>
              <w:t>If carried on its own or with 1 other kind of liquor</w:t>
            </w:r>
          </w:p>
        </w:tc>
        <w:tc>
          <w:tcPr>
            <w:tcW w:w="1794" w:type="dxa"/>
            <w:noWrap/>
          </w:tcPr>
          <w:p>
            <w:pPr>
              <w:pStyle w:val="TableNAm"/>
              <w:jc w:val="center"/>
              <w:rPr>
                <w:bCs/>
              </w:rPr>
            </w:pPr>
            <w:r>
              <w:rPr>
                <w:bCs/>
              </w:rPr>
              <w:t>If carried with 2 or more other kinds of liquor</w:t>
            </w:r>
          </w:p>
        </w:tc>
      </w:tr>
      <w:tr>
        <w:tc>
          <w:tcPr>
            <w:tcW w:w="2382" w:type="dxa"/>
            <w:noWrap/>
          </w:tcPr>
          <w:p>
            <w:pPr>
              <w:pStyle w:val="TableNAm"/>
            </w:pPr>
            <w:r>
              <w:t>Liquor, comprising beer,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rPr>
          <w:cantSplit/>
        </w:trPr>
        <w:tc>
          <w:tcPr>
            <w:tcW w:w="2382" w:type="dxa"/>
            <w:noWrap/>
          </w:tcPr>
          <w:p>
            <w:pPr>
              <w:pStyle w:val="TableNAm"/>
            </w:pPr>
            <w:r>
              <w:t>Liquor, comprising cider,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Any other liquor (including pre</w:t>
            </w:r>
            <w:r>
              <w:noBreakHyphen/>
              <w:t>mixed spirits) with an alcohol content greater than 2.7% and up to and including 7%</w:t>
            </w:r>
          </w:p>
        </w:tc>
        <w:tc>
          <w:tcPr>
            <w:tcW w:w="1794" w:type="dxa"/>
            <w:noWrap/>
            <w:vAlign w:val="bottom"/>
          </w:tcPr>
          <w:p>
            <w:pPr>
              <w:pStyle w:val="TableNAm"/>
              <w:tabs>
                <w:tab w:val="clear" w:pos="567"/>
              </w:tabs>
              <w:ind w:right="379"/>
              <w:jc w:val="right"/>
            </w:pPr>
            <w:r>
              <w:t>11.25 L</w:t>
            </w:r>
          </w:p>
        </w:tc>
        <w:tc>
          <w:tcPr>
            <w:tcW w:w="1794" w:type="dxa"/>
            <w:noWrap/>
            <w:vAlign w:val="bottom"/>
          </w:tcPr>
          <w:p>
            <w:pPr>
              <w:pStyle w:val="TableNAm"/>
              <w:ind w:right="613"/>
              <w:jc w:val="right"/>
            </w:pPr>
            <w:r>
              <w:t>0 L</w:t>
            </w:r>
          </w:p>
        </w:tc>
      </w:tr>
      <w:tr>
        <w:tc>
          <w:tcPr>
            <w:tcW w:w="2382" w:type="dxa"/>
            <w:noWrap/>
          </w:tcPr>
          <w:p>
            <w:pPr>
              <w:pStyle w:val="TableNAm"/>
            </w:pPr>
            <w:r>
              <w:t>Liquor (including wine) with an alcohol content of greater than 7% and up to and including 15%</w:t>
            </w:r>
          </w:p>
        </w:tc>
        <w:tc>
          <w:tcPr>
            <w:tcW w:w="1794" w:type="dxa"/>
            <w:noWrap/>
            <w:vAlign w:val="bottom"/>
          </w:tcPr>
          <w:p>
            <w:pPr>
              <w:pStyle w:val="TableNAm"/>
              <w:tabs>
                <w:tab w:val="clear" w:pos="567"/>
              </w:tabs>
              <w:ind w:right="379"/>
              <w:jc w:val="right"/>
            </w:pPr>
            <w:r>
              <w:t>2.25 L</w:t>
            </w:r>
          </w:p>
        </w:tc>
        <w:tc>
          <w:tcPr>
            <w:tcW w:w="1794" w:type="dxa"/>
            <w:noWrap/>
            <w:vAlign w:val="bottom"/>
          </w:tcPr>
          <w:p>
            <w:pPr>
              <w:pStyle w:val="TableNAm"/>
              <w:ind w:right="613"/>
              <w:jc w:val="right"/>
            </w:pPr>
            <w:r>
              <w:t>0 L</w:t>
            </w:r>
          </w:p>
        </w:tc>
      </w:tr>
      <w:tr>
        <w:trPr>
          <w:cantSplit/>
        </w:trPr>
        <w:tc>
          <w:tcPr>
            <w:tcW w:w="2382" w:type="dxa"/>
            <w:noWrap/>
          </w:tcPr>
          <w:p>
            <w:pPr>
              <w:pStyle w:val="TableNAm"/>
            </w:pPr>
            <w:r>
              <w:lastRenderedPageBreak/>
              <w:t>Liquor, comprising fortified wine, with an alcohol content greater than 15%</w:t>
            </w:r>
          </w:p>
        </w:tc>
        <w:tc>
          <w:tcPr>
            <w:tcW w:w="1794" w:type="dxa"/>
            <w:noWrap/>
            <w:vAlign w:val="bottom"/>
          </w:tcPr>
          <w:p>
            <w:pPr>
              <w:pStyle w:val="TableNAm"/>
              <w:tabs>
                <w:tab w:val="clear" w:pos="567"/>
              </w:tabs>
              <w:ind w:right="662"/>
              <w:jc w:val="right"/>
            </w:pPr>
            <w:r>
              <w:t>1 L</w:t>
            </w:r>
          </w:p>
        </w:tc>
        <w:tc>
          <w:tcPr>
            <w:tcW w:w="1794" w:type="dxa"/>
            <w:noWrap/>
            <w:vAlign w:val="bottom"/>
          </w:tcPr>
          <w:p>
            <w:pPr>
              <w:pStyle w:val="TableNAm"/>
              <w:ind w:right="613"/>
              <w:jc w:val="right"/>
            </w:pPr>
            <w:r>
              <w:t>0 L</w:t>
            </w:r>
          </w:p>
        </w:tc>
      </w:tr>
      <w:tr>
        <w:trPr>
          <w:cantSplit/>
        </w:trPr>
        <w:tc>
          <w:tcPr>
            <w:tcW w:w="2382" w:type="dxa"/>
            <w:tcBorders>
              <w:top w:val="single" w:sz="4" w:space="0" w:color="auto"/>
              <w:left w:val="single" w:sz="4" w:space="0" w:color="auto"/>
              <w:bottom w:val="single" w:sz="4" w:space="0" w:color="auto"/>
              <w:right w:val="single" w:sz="4" w:space="0" w:color="auto"/>
            </w:tcBorders>
            <w:noWrap/>
          </w:tcPr>
          <w:p>
            <w:pPr>
              <w:pStyle w:val="TableNAm"/>
            </w:pPr>
            <w:r>
              <w:t>Any other liquor (including spirits) with an alcohol content greater than 15%</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tabs>
                <w:tab w:val="clear" w:pos="567"/>
              </w:tabs>
              <w:ind w:right="662"/>
              <w:jc w:val="right"/>
            </w:pPr>
            <w:r>
              <w:t>1 L</w:t>
            </w:r>
          </w:p>
        </w:tc>
        <w:tc>
          <w:tcPr>
            <w:tcW w:w="1794" w:type="dxa"/>
            <w:tcBorders>
              <w:top w:val="single" w:sz="4" w:space="0" w:color="auto"/>
              <w:left w:val="single" w:sz="4" w:space="0" w:color="auto"/>
              <w:bottom w:val="single" w:sz="4" w:space="0" w:color="auto"/>
              <w:right w:val="single" w:sz="4" w:space="0" w:color="auto"/>
            </w:tcBorders>
            <w:noWrap/>
            <w:vAlign w:val="bottom"/>
          </w:tcPr>
          <w:p>
            <w:pPr>
              <w:pStyle w:val="TableNAm"/>
              <w:ind w:right="613"/>
              <w:jc w:val="right"/>
            </w:pPr>
            <w:r>
              <w:t>0 L</w:t>
            </w:r>
          </w:p>
        </w:tc>
      </w:tr>
    </w:tbl>
    <w:p>
      <w:pPr>
        <w:pStyle w:val="Footnotesection"/>
      </w:pPr>
      <w:r>
        <w:tab/>
        <w:t>[Regulation 16AA inserted: SL 2021/163 r. 4; amended: SL 2021/207 r. 8; SL 2023/125 r. 4.]</w:t>
      </w:r>
    </w:p>
    <w:p>
      <w:pPr>
        <w:pStyle w:val="Heading5"/>
      </w:pPr>
      <w:bookmarkStart w:id="65" w:name="_Toc188000745"/>
      <w:r>
        <w:rPr>
          <w:rStyle w:val="CharSectno"/>
        </w:rPr>
        <w:t>16AB</w:t>
      </w:r>
      <w:r>
        <w:t>.</w:t>
      </w:r>
      <w:r>
        <w:tab/>
        <w:t>Persons of prescribed class (Act s. 109A(4)(b))</w:t>
      </w:r>
      <w:bookmarkEnd w:id="65"/>
    </w:p>
    <w:p>
      <w:pPr>
        <w:pStyle w:val="Subsection"/>
      </w:pPr>
      <w:r>
        <w:tab/>
      </w:r>
      <w:r>
        <w:tab/>
        <w:t>For the purposes of section 109A(4)(b) of the Act, the following classes of persons are prescribed —</w:t>
      </w:r>
    </w:p>
    <w:p>
      <w:pPr>
        <w:pStyle w:val="Indenta"/>
      </w:pPr>
      <w:r>
        <w:tab/>
        <w:t>(a)</w:t>
      </w:r>
      <w:r>
        <w:tab/>
        <w:t xml:space="preserve">persons who are — </w:t>
      </w:r>
    </w:p>
    <w:p>
      <w:pPr>
        <w:pStyle w:val="Indenti"/>
      </w:pPr>
      <w:r>
        <w:tab/>
        <w:t>(i)</w:t>
      </w:r>
      <w:r>
        <w:tab/>
        <w:t>staying at a place that is at least 40 km from their usual place of residence for a period of at least 1 night; and</w:t>
      </w:r>
    </w:p>
    <w:p>
      <w:pPr>
        <w:pStyle w:val="Indenti"/>
      </w:pPr>
      <w:r>
        <w:tab/>
        <w:t>(ii)</w:t>
      </w:r>
      <w:r>
        <w:tab/>
        <w:t>intending to stay away from their usual place of residence for a period of less than 12 months; and</w:t>
      </w:r>
    </w:p>
    <w:p>
      <w:pPr>
        <w:pStyle w:val="Indenti"/>
      </w:pPr>
      <w:r>
        <w:tab/>
        <w:t>(iii)</w:t>
      </w:r>
      <w:r>
        <w:tab/>
        <w:t>not in the course of travelling on a regular journey between their usual place of residence and their place of work or education; and</w:t>
      </w:r>
    </w:p>
    <w:p>
      <w:pPr>
        <w:pStyle w:val="Indenti"/>
      </w:pPr>
      <w:r>
        <w:lastRenderedPageBreak/>
        <w:tab/>
        <w:t>(iv)</w:t>
      </w:r>
      <w:r>
        <w:tab/>
        <w:t>travelling in the course of a holiday or for leisure, business, to visit friends or relatives, or for any other reason; and</w:t>
      </w:r>
    </w:p>
    <w:p>
      <w:pPr>
        <w:pStyle w:val="Indenti"/>
      </w:pPr>
      <w:r>
        <w:tab/>
        <w:t>(v)</w:t>
      </w:r>
      <w:r>
        <w:tab/>
        <w:t>not usually residents of the local government district of Broome, Carnarvon, Derby</w:t>
      </w:r>
      <w:r>
        <w:noBreakHyphen/>
        <w:t>West Kimberley, Halls Creek or Wyndham</w:t>
      </w:r>
      <w:r>
        <w:noBreakHyphen/>
        <w:t>East Kimberley;</w:t>
      </w:r>
    </w:p>
    <w:p>
      <w:pPr>
        <w:pStyle w:val="Indenta"/>
      </w:pPr>
      <w:r>
        <w:tab/>
        <w:t>(b)</w:t>
      </w:r>
      <w:r>
        <w:tab/>
        <w:t xml:space="preserve">farmers, including — </w:t>
      </w:r>
    </w:p>
    <w:p>
      <w:pPr>
        <w:pStyle w:val="Indenti"/>
      </w:pPr>
      <w:r>
        <w:tab/>
        <w:t>(i)</w:t>
      </w:r>
      <w:r>
        <w:tab/>
        <w:t xml:space="preserve">holders of pastoral leases (as defined in the </w:t>
      </w:r>
      <w:r>
        <w:rPr>
          <w:i/>
        </w:rPr>
        <w:t>Land Administration Act 1997</w:t>
      </w:r>
      <w:r>
        <w:t xml:space="preserve"> section 3(1)); and</w:t>
      </w:r>
    </w:p>
    <w:p>
      <w:pPr>
        <w:pStyle w:val="Indenti"/>
      </w:pPr>
      <w:r>
        <w:tab/>
        <w:t>(ii)</w:t>
      </w:r>
      <w:r>
        <w:tab/>
        <w:t>owners or operators of businesses involving horticulture, viticulture, apiculture, aquaculture, poultry farming, dairy farming or any other form of agriculture or primary production; and</w:t>
      </w:r>
    </w:p>
    <w:p>
      <w:pPr>
        <w:pStyle w:val="Indenti"/>
      </w:pPr>
      <w:r>
        <w:tab/>
        <w:t>(iii)</w:t>
      </w:r>
      <w:r>
        <w:tab/>
        <w:t>employees of persons referred to in subparagraphs (i) and (ii);</w:t>
      </w:r>
    </w:p>
    <w:p>
      <w:pPr>
        <w:pStyle w:val="Indenta"/>
        <w:keepNext/>
      </w:pPr>
      <w:r>
        <w:tab/>
        <w:t>(c)</w:t>
      </w:r>
      <w:r>
        <w:tab/>
        <w:t xml:space="preserve">operators of, or employees or contractors on, worksites — </w:t>
      </w:r>
    </w:p>
    <w:p>
      <w:pPr>
        <w:pStyle w:val="Indenti"/>
      </w:pPr>
      <w:r>
        <w:tab/>
        <w:t>(i)</w:t>
      </w:r>
      <w:r>
        <w:tab/>
        <w:t>in the mining, energy or infrastructure industries; and</w:t>
      </w:r>
    </w:p>
    <w:p>
      <w:pPr>
        <w:pStyle w:val="Indenti"/>
      </w:pPr>
      <w:r>
        <w:tab/>
        <w:t>(ii)</w:t>
      </w:r>
      <w:r>
        <w:tab/>
        <w:t>on which there are no licensed premises.</w:t>
      </w:r>
    </w:p>
    <w:p>
      <w:pPr>
        <w:pStyle w:val="Footnotesection"/>
      </w:pPr>
      <w:r>
        <w:tab/>
        <w:t>[Regulation 16AB inserted: SL 2021/163 r. 4; amended: SL 2023/125 r. 5.]</w:t>
      </w:r>
    </w:p>
    <w:p>
      <w:pPr>
        <w:pStyle w:val="Heading5"/>
      </w:pPr>
      <w:bookmarkStart w:id="66" w:name="_Toc188000746"/>
      <w:r>
        <w:rPr>
          <w:rStyle w:val="CharSectno"/>
        </w:rPr>
        <w:t>16AC</w:t>
      </w:r>
      <w:r>
        <w:t>.</w:t>
      </w:r>
      <w:r>
        <w:tab/>
        <w:t>Vehicles of prescribed class (Act s. 109A(4)(c))</w:t>
      </w:r>
      <w:bookmarkEnd w:id="66"/>
    </w:p>
    <w:p>
      <w:pPr>
        <w:pStyle w:val="Subsection"/>
      </w:pPr>
      <w:r>
        <w:tab/>
      </w:r>
      <w:r>
        <w:tab/>
        <w:t xml:space="preserve">For the purposes of section 109A(4)(c) of the Act, the following classes of vehicles are prescribed — </w:t>
      </w:r>
    </w:p>
    <w:p>
      <w:pPr>
        <w:pStyle w:val="Indenta"/>
      </w:pPr>
      <w:r>
        <w:tab/>
        <w:t>(a)</w:t>
      </w:r>
      <w:r>
        <w:tab/>
        <w:t>a vehicle being operated by a licensee;</w:t>
      </w:r>
    </w:p>
    <w:p>
      <w:pPr>
        <w:pStyle w:val="Indenta"/>
      </w:pPr>
      <w:r>
        <w:tab/>
        <w:t>(b)</w:t>
      </w:r>
      <w:r>
        <w:tab/>
        <w:t>a vehicle being operated by a person referred to in regulation 16AB;</w:t>
      </w:r>
    </w:p>
    <w:p>
      <w:pPr>
        <w:pStyle w:val="Indenta"/>
        <w:keepNext/>
      </w:pPr>
      <w:r>
        <w:lastRenderedPageBreak/>
        <w:tab/>
        <w:t>(c)</w:t>
      </w:r>
      <w:r>
        <w:tab/>
        <w:t>a vehicle being driven by a police officer in the course of duty.</w:t>
      </w:r>
    </w:p>
    <w:p>
      <w:pPr>
        <w:pStyle w:val="Footnotesection"/>
      </w:pPr>
      <w:r>
        <w:tab/>
        <w:t>[Regulation 16AC inserted: SL 2021/163 r. 4.]</w:t>
      </w:r>
    </w:p>
    <w:p>
      <w:pPr>
        <w:pStyle w:val="Heading5"/>
      </w:pPr>
      <w:bookmarkStart w:id="67" w:name="_Toc188000747"/>
      <w:r>
        <w:rPr>
          <w:rStyle w:val="CharSectno"/>
        </w:rPr>
        <w:t>16AD</w:t>
      </w:r>
      <w:r>
        <w:t>.</w:t>
      </w:r>
      <w:r>
        <w:tab/>
        <w:t>Prescribed circumstance (Act s. 109A(4)(d))</w:t>
      </w:r>
      <w:bookmarkEnd w:id="67"/>
    </w:p>
    <w:p>
      <w:pPr>
        <w:pStyle w:val="Subsection"/>
      </w:pPr>
      <w:r>
        <w:tab/>
      </w:r>
      <w:r>
        <w:tab/>
        <w:t xml:space="preserve">For the purposes of section 109A(4)(d) of the Act, the circumstance prescribed is that the liquor was carried in a vehicle in a quantity that does not, for a kind of liquor, exceed the amount calculated using the following formula — </w:t>
      </w:r>
    </w:p>
    <w:p>
      <w:pPr>
        <w:pStyle w:val="Equation"/>
        <w:keepNext/>
        <w:tabs>
          <w:tab w:val="left" w:pos="1418"/>
        </w:tabs>
        <w:spacing w:before="120"/>
      </w:pPr>
      <w:r>
        <w:rPr>
          <w:iCs/>
          <w:noProof w:val="0"/>
        </w:rPr>
        <w:tab/>
      </w:r>
      <m:oMath>
        <m:r>
          <w:rPr>
            <w:rFonts w:ascii="Cambria Math" w:hAnsi="Cambria Math"/>
          </w:rPr>
          <m:t>A</m:t>
        </m:r>
        <m:r>
          <m:rPr>
            <m:sty m:val="p"/>
          </m:rPr>
          <w:rPr>
            <w:rFonts w:ascii="Cambria Math" w:hAnsi="Cambria Math"/>
          </w:rPr>
          <m:t>=</m:t>
        </m:r>
        <m:r>
          <w:rPr>
            <w:rFonts w:ascii="Cambria Math" w:hAnsi="Cambria Math"/>
          </w:rPr>
          <m:t>Q</m:t>
        </m:r>
        <m:r>
          <m:rPr>
            <m:sty m:val="p"/>
          </m:rPr>
          <w:rPr>
            <w:rFonts w:ascii="Cambria Math" w:hAnsi="Cambria Math"/>
          </w:rPr>
          <m:t>×</m:t>
        </m:r>
        <m:r>
          <w:rPr>
            <w:rFonts w:ascii="Cambria Math" w:hAnsi="Cambria Math"/>
          </w:rPr>
          <m:t>O</m:t>
        </m:r>
      </m:oMath>
    </w:p>
    <w:p>
      <w:pPr>
        <w:pStyle w:val="MiscellaneousBody"/>
        <w:ind w:left="1418" w:hanging="851"/>
      </w:pPr>
      <w:r>
        <w:tab/>
        <w:t xml:space="preserve">where — </w:t>
      </w:r>
    </w:p>
    <w:p>
      <w:pPr>
        <w:pStyle w:val="MiscellaneousBody"/>
        <w:tabs>
          <w:tab w:val="left" w:pos="1701"/>
        </w:tabs>
        <w:ind w:left="2127" w:hanging="1277"/>
      </w:pPr>
      <w:r>
        <w:tab/>
        <w:t>A</w:t>
      </w:r>
      <w:r>
        <w:tab/>
        <w:t>is the amount;</w:t>
      </w:r>
    </w:p>
    <w:p>
      <w:pPr>
        <w:pStyle w:val="MiscellaneousBody"/>
        <w:tabs>
          <w:tab w:val="left" w:pos="1701"/>
        </w:tabs>
        <w:ind w:left="2127" w:hanging="1277"/>
      </w:pPr>
      <w:r>
        <w:tab/>
        <w:t>Q</w:t>
      </w:r>
      <w:r>
        <w:tab/>
        <w:t>is the quantity prescribed under regulation 16AA(3) for the kind of liquor;</w:t>
      </w:r>
    </w:p>
    <w:p>
      <w:pPr>
        <w:pStyle w:val="MiscellaneousBody"/>
        <w:tabs>
          <w:tab w:val="left" w:pos="1701"/>
        </w:tabs>
        <w:ind w:left="2127" w:hanging="1277"/>
      </w:pPr>
      <w:r>
        <w:tab/>
        <w:t>O</w:t>
      </w:r>
      <w:r>
        <w:tab/>
        <w:t xml:space="preserve">is — </w:t>
      </w:r>
    </w:p>
    <w:p>
      <w:pPr>
        <w:pStyle w:val="MiscellaneousBody"/>
        <w:tabs>
          <w:tab w:val="left" w:pos="2268"/>
        </w:tabs>
        <w:ind w:left="2835" w:hanging="1985"/>
      </w:pPr>
      <w:r>
        <w:tab/>
        <w:t>(a)</w:t>
      </w:r>
      <w:r>
        <w:tab/>
        <w:t>unless paragraph (b) applies, the number of occupants of the vehicle who are legally entitled to purchase liquor;</w:t>
      </w:r>
    </w:p>
    <w:p>
      <w:pPr>
        <w:pStyle w:val="MiscellaneousBody"/>
        <w:tabs>
          <w:tab w:val="left" w:pos="2268"/>
        </w:tabs>
        <w:ind w:left="2835" w:hanging="1985"/>
      </w:pPr>
      <w:r>
        <w:tab/>
        <w:t>(b)</w:t>
      </w:r>
      <w:r>
        <w:tab/>
        <w:t>if the number of occupants of the vehicle who are legally entitled to purchase liquor exceeds 5 — 5.</w:t>
      </w:r>
    </w:p>
    <w:p>
      <w:pPr>
        <w:pStyle w:val="Footnotesection"/>
      </w:pPr>
      <w:r>
        <w:tab/>
        <w:t>[Regulation 16AD inserted: SL 2021/163 r. 4.]</w:t>
      </w:r>
    </w:p>
    <w:p>
      <w:pPr>
        <w:pStyle w:val="Heading5"/>
      </w:pPr>
      <w:bookmarkStart w:id="68" w:name="_Toc188000748"/>
      <w:r>
        <w:rPr>
          <w:rStyle w:val="CharSectno"/>
        </w:rPr>
        <w:t>16A</w:t>
      </w:r>
      <w:r>
        <w:t>.</w:t>
      </w:r>
      <w:r>
        <w:tab/>
        <w:t xml:space="preserve">Sports arenas prescribed (Act s. 110(4B) </w:t>
      </w:r>
      <w:r>
        <w:rPr>
          <w:i/>
        </w:rPr>
        <w:t>sports arena</w:t>
      </w:r>
      <w:r>
        <w:t>)</w:t>
      </w:r>
      <w:bookmarkEnd w:id="68"/>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lastRenderedPageBreak/>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Gazette 19 Jan 2018 p. 231</w:t>
      </w:r>
      <w:r>
        <w:noBreakHyphen/>
        <w:t>2.]</w:t>
      </w:r>
    </w:p>
    <w:p>
      <w:pPr>
        <w:pStyle w:val="Ednotesection"/>
      </w:pPr>
      <w:r>
        <w:t>[</w:t>
      </w:r>
      <w:r>
        <w:rPr>
          <w:b/>
        </w:rPr>
        <w:t>17A</w:t>
      </w:r>
      <w:r>
        <w:tab/>
        <w:t>Deleted: Gazette 19 Jan 2018 p. 231.]</w:t>
      </w:r>
    </w:p>
    <w:p>
      <w:pPr>
        <w:pStyle w:val="Heading5"/>
        <w:rPr>
          <w:snapToGrid w:val="0"/>
        </w:rPr>
      </w:pPr>
      <w:bookmarkStart w:id="69" w:name="_Toc188000749"/>
      <w:r>
        <w:rPr>
          <w:rStyle w:val="CharSectno"/>
        </w:rPr>
        <w:t>17</w:t>
      </w:r>
      <w:r>
        <w:rPr>
          <w:snapToGrid w:val="0"/>
        </w:rPr>
        <w:t>.</w:t>
      </w:r>
      <w:r>
        <w:rPr>
          <w:snapToGrid w:val="0"/>
        </w:rPr>
        <w:tab/>
        <w:t>Out of bounds area, notice for (Act s. 121(6))</w:t>
      </w:r>
      <w:bookmarkEnd w:id="69"/>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Gazette 1 May 2007 p. 1881.]</w:t>
      </w:r>
    </w:p>
    <w:p>
      <w:pPr>
        <w:pStyle w:val="Heading5"/>
        <w:keepLines w:val="0"/>
        <w:spacing w:before="160"/>
      </w:pPr>
      <w:bookmarkStart w:id="70" w:name="_Toc188000750"/>
      <w:r>
        <w:rPr>
          <w:rStyle w:val="CharSectno"/>
        </w:rPr>
        <w:lastRenderedPageBreak/>
        <w:t>18</w:t>
      </w:r>
      <w:r>
        <w:t>.</w:t>
      </w:r>
      <w:r>
        <w:tab/>
        <w:t>Premises prescribed to be regulated premises (Act s. 122(1)(f))</w:t>
      </w:r>
      <w:bookmarkEnd w:id="70"/>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Indenta"/>
        <w:keepLines/>
      </w:pPr>
      <w:r>
        <w:tab/>
        <w:t>(g)</w:t>
      </w:r>
      <w:r>
        <w:tab/>
        <w:t>premises on which the sale or supply of liquor to, and the consumption of liquor by, a person who is at least 18 years of age is exempted from the application of the Act by regulation 8G.</w:t>
      </w:r>
    </w:p>
    <w:p>
      <w:pPr>
        <w:pStyle w:val="Footnotesection"/>
        <w:spacing w:before="80"/>
        <w:ind w:left="890" w:hanging="890"/>
      </w:pPr>
      <w:r>
        <w:tab/>
        <w:t>[Regulation 18 inserted: Gazette 15 Jul 2011 p. 2965</w:t>
      </w:r>
      <w:r>
        <w:noBreakHyphen/>
        <w:t>6; amended: SL 2021/94 r. 8.]</w:t>
      </w:r>
    </w:p>
    <w:p>
      <w:pPr>
        <w:pStyle w:val="Heading5"/>
        <w:rPr>
          <w:snapToGrid w:val="0"/>
        </w:rPr>
      </w:pPr>
      <w:bookmarkStart w:id="71" w:name="_Toc188000751"/>
      <w:r>
        <w:rPr>
          <w:rStyle w:val="CharSectno"/>
        </w:rPr>
        <w:lastRenderedPageBreak/>
        <w:t>18A</w:t>
      </w:r>
      <w:r>
        <w:rPr>
          <w:snapToGrid w:val="0"/>
        </w:rPr>
        <w:t>.</w:t>
      </w:r>
      <w:r>
        <w:rPr>
          <w:snapToGrid w:val="0"/>
        </w:rPr>
        <w:tab/>
        <w:t>Documents prescribed as evidence of age etc. (Act s. 126(1)(b)(i)(III) and s. 160(1))</w:t>
      </w:r>
      <w:bookmarkEnd w:id="71"/>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keepLines w:val="0"/>
        <w:ind w:left="890" w:hanging="890"/>
      </w:pPr>
      <w:r>
        <w:tab/>
        <w:t>[Regulation 18A inserted: Gazette 22 May 1998 p. 2943; amended: Gazette 1 May 2007 p. 1888</w:t>
      </w:r>
      <w:r>
        <w:noBreakHyphen/>
        <w:t xml:space="preserve">9; 19 Apr 2013 </w:t>
      </w:r>
      <w:r>
        <w:lastRenderedPageBreak/>
        <w:t>p. 1570</w:t>
      </w:r>
      <w:r>
        <w:noBreakHyphen/>
        <w:t xml:space="preserve">1; </w:t>
      </w:r>
      <w:r>
        <w:rPr>
          <w:spacing w:val="-4"/>
        </w:rPr>
        <w:t xml:space="preserve">17 Jun 2014 p. 2000; </w:t>
      </w:r>
      <w:r>
        <w:t>27 Jun 2014 p. 2355; 8 Jan 2015 p. 147; 19 Jan 2018 p. 232.]</w:t>
      </w:r>
    </w:p>
    <w:p>
      <w:pPr>
        <w:pStyle w:val="Heading5"/>
        <w:rPr>
          <w:snapToGrid w:val="0"/>
        </w:rPr>
      </w:pPr>
      <w:bookmarkStart w:id="72" w:name="_Toc188000752"/>
      <w:r>
        <w:rPr>
          <w:rStyle w:val="CharSectno"/>
        </w:rPr>
        <w:t>18B</w:t>
      </w:r>
      <w:r>
        <w:rPr>
          <w:snapToGrid w:val="0"/>
        </w:rPr>
        <w:t>.</w:t>
      </w:r>
      <w:r>
        <w:rPr>
          <w:snapToGrid w:val="0"/>
        </w:rPr>
        <w:tab/>
        <w:t>Proof of age card, issue of etc.</w:t>
      </w:r>
      <w:bookmarkEnd w:id="72"/>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3</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keepNext/>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lastRenderedPageBreak/>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Gazette 3 Dec 1996 p. 6690; amended: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73" w:name="_Toc188000753"/>
      <w:r>
        <w:rPr>
          <w:rStyle w:val="CharSectno"/>
        </w:rPr>
        <w:t>18C</w:t>
      </w:r>
      <w:r>
        <w:rPr>
          <w:snapToGrid w:val="0"/>
        </w:rPr>
        <w:t>.</w:t>
      </w:r>
      <w:r>
        <w:rPr>
          <w:snapToGrid w:val="0"/>
        </w:rPr>
        <w:tab/>
        <w:t>Proof of age card, form etc. of (r. 18B)</w:t>
      </w:r>
      <w:bookmarkEnd w:id="73"/>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Gazette 3 Dec 1996 p. 6690</w:t>
      </w:r>
      <w:r>
        <w:noBreakHyphen/>
        <w:t>1; amended: Gazette 22 Oct 2010 p. 5228.]</w:t>
      </w:r>
    </w:p>
    <w:p>
      <w:pPr>
        <w:pStyle w:val="Heading5"/>
        <w:keepLines w:val="0"/>
        <w:spacing w:before="280"/>
        <w:rPr>
          <w:snapToGrid w:val="0"/>
        </w:rPr>
      </w:pPr>
      <w:bookmarkStart w:id="74" w:name="_Toc188000754"/>
      <w:r>
        <w:rPr>
          <w:rStyle w:val="CharSectno"/>
        </w:rPr>
        <w:lastRenderedPageBreak/>
        <w:t>18D</w:t>
      </w:r>
      <w:r>
        <w:rPr>
          <w:snapToGrid w:val="0"/>
        </w:rPr>
        <w:t>.</w:t>
      </w:r>
      <w:r>
        <w:rPr>
          <w:snapToGrid w:val="0"/>
        </w:rPr>
        <w:tab/>
        <w:t>Lost etc. proof of age card, replacement of</w:t>
      </w:r>
      <w:bookmarkEnd w:id="74"/>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Gazette 3 Dec 1996 p. 6691.]</w:t>
      </w:r>
    </w:p>
    <w:p>
      <w:pPr>
        <w:pStyle w:val="Heading5"/>
        <w:keepLines w:val="0"/>
        <w:spacing w:before="280"/>
        <w:rPr>
          <w:snapToGrid w:val="0"/>
        </w:rPr>
      </w:pPr>
      <w:bookmarkStart w:id="75" w:name="_Toc188000755"/>
      <w:r>
        <w:rPr>
          <w:rStyle w:val="CharSectno"/>
        </w:rPr>
        <w:t>18E</w:t>
      </w:r>
      <w:r>
        <w:rPr>
          <w:snapToGrid w:val="0"/>
        </w:rPr>
        <w:t>.</w:t>
      </w:r>
      <w:r>
        <w:rPr>
          <w:snapToGrid w:val="0"/>
        </w:rPr>
        <w:tab/>
        <w:t>Agreement or arrangement prescribed (Act s. 104(2))</w:t>
      </w:r>
      <w:bookmarkEnd w:id="7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Gazette 22 May 1998 p. 2943; amended: Gazette 1 May 2007 p. 1888</w:t>
      </w:r>
      <w:r>
        <w:noBreakHyphen/>
        <w:t>9.]</w:t>
      </w:r>
    </w:p>
    <w:p>
      <w:pPr>
        <w:pStyle w:val="Heading5"/>
      </w:pPr>
      <w:bookmarkStart w:id="76" w:name="_Toc188000756"/>
      <w:r>
        <w:rPr>
          <w:rStyle w:val="CharSectno"/>
        </w:rPr>
        <w:t>18EA</w:t>
      </w:r>
      <w:r>
        <w:t>.</w:t>
      </w:r>
      <w:r>
        <w:tab/>
        <w:t>Information prescribed for websites (Act s. 113A)</w:t>
      </w:r>
      <w:bookmarkEnd w:id="76"/>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keepNext/>
        <w:spacing w:before="60"/>
      </w:pPr>
      <w:r>
        <w:lastRenderedPageBreak/>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2"/>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2"/>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Gazette 1 May 2007 p. 1881</w:t>
      </w:r>
      <w:r>
        <w:noBreakHyphen/>
        <w:t>2.]</w:t>
      </w:r>
    </w:p>
    <w:p>
      <w:pPr>
        <w:pStyle w:val="Heading5"/>
      </w:pPr>
      <w:bookmarkStart w:id="77" w:name="_Toc188000757"/>
      <w:r>
        <w:rPr>
          <w:rStyle w:val="CharSectno"/>
        </w:rPr>
        <w:t>18EBA</w:t>
      </w:r>
      <w:r>
        <w:t>.</w:t>
      </w:r>
      <w:r>
        <w:tab/>
        <w:t xml:space="preserve">Persons prescribed (Act s. 115AC(1A), 152K(1A), 152NZC(1), 152NZT(1) </w:t>
      </w:r>
      <w:r>
        <w:rPr>
          <w:i/>
        </w:rPr>
        <w:t>secure webpage</w:t>
      </w:r>
      <w:r>
        <w:t>)</w:t>
      </w:r>
      <w:bookmarkEnd w:id="77"/>
    </w:p>
    <w:p>
      <w:pPr>
        <w:pStyle w:val="Subsection"/>
        <w:keepNext/>
      </w:pPr>
      <w:r>
        <w:tab/>
      </w:r>
      <w:r>
        <w:tab/>
        <w:t xml:space="preserve">For the purposes of the definition of </w:t>
      </w:r>
      <w:r>
        <w:rPr>
          <w:b/>
          <w:i/>
        </w:rPr>
        <w:t>secure webpage</w:t>
      </w:r>
      <w:r>
        <w:t xml:space="preserve"> paragraph (c) in each of sections 115AC(1A), 152K(1A), 152NZC(1) and 152NZT(1),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Gazette 3 Jun 2011 p. 2000; amended: SL 2022/217 r. 4.]</w:t>
      </w:r>
    </w:p>
    <w:p>
      <w:pPr>
        <w:pStyle w:val="Heading5"/>
      </w:pPr>
      <w:bookmarkStart w:id="78" w:name="_Toc188000758"/>
      <w:r>
        <w:rPr>
          <w:rStyle w:val="CharSectno"/>
        </w:rPr>
        <w:lastRenderedPageBreak/>
        <w:t>18EBB</w:t>
      </w:r>
      <w:r>
        <w:t>.</w:t>
      </w:r>
      <w:r>
        <w:tab/>
        <w:t>Prescribed class of persons (Act s. 115AC(1AA)(b))</w:t>
      </w:r>
      <w:bookmarkEnd w:id="78"/>
    </w:p>
    <w:p>
      <w:pPr>
        <w:pStyle w:val="Subsection"/>
      </w:pPr>
      <w:r>
        <w:tab/>
      </w:r>
      <w:r>
        <w:tab/>
        <w:t>For the purposes of section 115AC(1AA)(b), a person belongs to a prescribed class of persons if the person is engaged by the Department to create or provide equipment, software, databases or any other thing to be used by responsible persons in identifying persons in relation to whom barring notices are in effect.</w:t>
      </w:r>
    </w:p>
    <w:p>
      <w:pPr>
        <w:pStyle w:val="Footnotesection"/>
      </w:pPr>
      <w:r>
        <w:tab/>
        <w:t>[Regulation 18EBB inserted: SL 2023/196 r. 6.]</w:t>
      </w:r>
    </w:p>
    <w:p>
      <w:pPr>
        <w:pStyle w:val="Heading5"/>
      </w:pPr>
      <w:bookmarkStart w:id="79" w:name="_Toc188000759"/>
      <w:r>
        <w:rPr>
          <w:rStyle w:val="CharSectno"/>
        </w:rPr>
        <w:t>18EB</w:t>
      </w:r>
      <w:r>
        <w:t>.</w:t>
      </w:r>
      <w:r>
        <w:tab/>
        <w:t>Incidents and information prescribed for register (Act s. 116A)</w:t>
      </w:r>
      <w:bookmarkEnd w:id="79"/>
    </w:p>
    <w:p>
      <w:pPr>
        <w:pStyle w:val="Subsection"/>
        <w:keepNext/>
      </w:pPr>
      <w:r>
        <w:tab/>
        <w:t>(1)</w:t>
      </w:r>
      <w:r>
        <w:tab/>
        <w:t>For the purposes of section 116A(1), the following incidents that take place at licensed premises are prescribed —</w:t>
      </w:r>
    </w:p>
    <w:p>
      <w:pPr>
        <w:pStyle w:val="Indenta"/>
        <w:keepNext/>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lastRenderedPageBreak/>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Indenta"/>
      </w:pPr>
      <w:r>
        <w:tab/>
        <w:t>(h)</w:t>
      </w:r>
      <w:r>
        <w:tab/>
        <w:t>if a responsible person in relation to the licensed premises uses the ID system — the ID system does not operate properly;</w:t>
      </w:r>
    </w:p>
    <w:p>
      <w:pPr>
        <w:pStyle w:val="Indenta"/>
      </w:pPr>
      <w:r>
        <w:tab/>
        <w:t>(i)</w:t>
      </w:r>
      <w:r>
        <w:tab/>
        <w:t>if a responsible person in relation to the licensed premises attempts to use the ID system — the ID system is not able to be used (other than because it does not operate properly).</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 xml:space="preserve">details of any action taken by the licensee, a manager or an employee in response to the incident, including any </w:t>
      </w:r>
      <w:r>
        <w:lastRenderedPageBreak/>
        <w:t>action taken to notify the licensing authority or a member of the Police Force or any other person engaged in providing emergency services.</w:t>
      </w:r>
    </w:p>
    <w:p>
      <w:pPr>
        <w:pStyle w:val="Footnotesection"/>
        <w:ind w:left="890" w:hanging="890"/>
      </w:pPr>
      <w:r>
        <w:tab/>
        <w:t>[Regulation 18EB inserted: Gazette 1 May 2007 p. 1882</w:t>
      </w:r>
      <w:r>
        <w:noBreakHyphen/>
        <w:t>4; amended: Gazette 28 Sep 2007 p. 4930; 22 Oct 2010 p. 5228</w:t>
      </w:r>
      <w:r>
        <w:noBreakHyphen/>
        <w:t>9; 3 Jun 2011 p. 1998; 10 Jan 2017 p. 145; SL 2023/196 r. 7.]</w:t>
      </w:r>
    </w:p>
    <w:p>
      <w:pPr>
        <w:pStyle w:val="Heading5"/>
      </w:pPr>
      <w:bookmarkStart w:id="80" w:name="_Toc188000760"/>
      <w:r>
        <w:rPr>
          <w:rStyle w:val="CharSectno"/>
        </w:rPr>
        <w:t>18EC</w:t>
      </w:r>
      <w:r>
        <w:t>.</w:t>
      </w:r>
      <w:r>
        <w:tab/>
        <w:t>Prescribed incidents involving physical force</w:t>
      </w:r>
      <w:bookmarkEnd w:id="8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keepNext/>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lastRenderedPageBreak/>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Gazette 10 Jan 2017 p. 145</w:t>
      </w:r>
      <w:r>
        <w:noBreakHyphen/>
        <w:t>6.]</w:t>
      </w:r>
    </w:p>
    <w:p>
      <w:pPr>
        <w:pStyle w:val="Heading5"/>
      </w:pPr>
      <w:bookmarkStart w:id="81" w:name="_Toc188000761"/>
      <w:r>
        <w:rPr>
          <w:rStyle w:val="CharSectno"/>
        </w:rPr>
        <w:t>18F</w:t>
      </w:r>
      <w:r>
        <w:t>.</w:t>
      </w:r>
      <w:r>
        <w:tab/>
        <w:t>Training courses prescribed (Act s. 121(11)(d))</w:t>
      </w:r>
      <w:bookmarkEnd w:id="8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Gazette 9 Jun 2009 p. 1927</w:t>
      </w:r>
      <w:r>
        <w:noBreakHyphen/>
        <w:t>8; amended: Gazette 15 Jan 2010 p. 72; 3 Jun 2011 p. 2000.]</w:t>
      </w:r>
    </w:p>
    <w:p>
      <w:pPr>
        <w:pStyle w:val="Heading5"/>
        <w:keepLines w:val="0"/>
      </w:pPr>
      <w:bookmarkStart w:id="82" w:name="_Toc188000762"/>
      <w:r>
        <w:rPr>
          <w:rStyle w:val="CharSectno"/>
        </w:rPr>
        <w:lastRenderedPageBreak/>
        <w:t>18G</w:t>
      </w:r>
      <w:r>
        <w:t>.</w:t>
      </w:r>
      <w:r>
        <w:tab/>
        <w:t>Confiscated document, how to be dealt with (Act s. 126(2b))</w:t>
      </w:r>
      <w:bookmarkEnd w:id="8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Gazette 1 May 2007 p. 1884; amended: Gazette 6 Jan 2012 p. 49 (disallowed: Gazette 18 Sep 2012 p. 4411).]</w:t>
      </w:r>
    </w:p>
    <w:p>
      <w:pPr>
        <w:pStyle w:val="Heading5"/>
      </w:pPr>
      <w:bookmarkStart w:id="83" w:name="_Toc188000763"/>
      <w:r>
        <w:rPr>
          <w:rStyle w:val="CharSectno"/>
        </w:rPr>
        <w:t>18H</w:t>
      </w:r>
      <w:r>
        <w:t>.</w:t>
      </w:r>
      <w:r>
        <w:tab/>
        <w:t>Provisions prescribed (Act s. 126E(4))</w:t>
      </w:r>
      <w:bookmarkEnd w:id="83"/>
    </w:p>
    <w:p>
      <w:pPr>
        <w:pStyle w:val="Subsection"/>
        <w:keepNext/>
        <w:keepLines/>
      </w:pPr>
      <w:r>
        <w:tab/>
      </w:r>
      <w:r>
        <w:tab/>
        <w:t>For the purposes of section 126E(4), sections 155(7) and 50(1a) are prescribed.</w:t>
      </w:r>
    </w:p>
    <w:p>
      <w:pPr>
        <w:pStyle w:val="Footnotesection"/>
        <w:ind w:left="890" w:hanging="890"/>
      </w:pPr>
      <w:r>
        <w:tab/>
        <w:t>[Regulation 18H inserted: Gazette 1 May 2007 p. 1884; amended: Gazette 3 Jun 2011 p. 2000; 27 Sep 2011 p. 3848.]</w:t>
      </w:r>
    </w:p>
    <w:p>
      <w:pPr>
        <w:pStyle w:val="Heading5"/>
        <w:rPr>
          <w:snapToGrid w:val="0"/>
        </w:rPr>
      </w:pPr>
      <w:bookmarkStart w:id="84" w:name="_Toc188000764"/>
      <w:r>
        <w:rPr>
          <w:rStyle w:val="CharSectno"/>
        </w:rPr>
        <w:t>19</w:t>
      </w:r>
      <w:r>
        <w:rPr>
          <w:snapToGrid w:val="0"/>
        </w:rPr>
        <w:t>.</w:t>
      </w:r>
      <w:r>
        <w:rPr>
          <w:snapToGrid w:val="0"/>
        </w:rPr>
        <w:tab/>
        <w:t>Subsidy, application for</w:t>
      </w:r>
      <w:bookmarkEnd w:id="8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Gazette 30 Jan 1998 p. 562; amended: Gazette 22 Oct 2002 p. 5255.]</w:t>
      </w:r>
    </w:p>
    <w:p>
      <w:pPr>
        <w:pStyle w:val="Heading5"/>
        <w:keepLines w:val="0"/>
        <w:rPr>
          <w:snapToGrid w:val="0"/>
        </w:rPr>
      </w:pPr>
      <w:bookmarkStart w:id="85" w:name="_Toc188000765"/>
      <w:r>
        <w:rPr>
          <w:rStyle w:val="CharSectno"/>
        </w:rPr>
        <w:lastRenderedPageBreak/>
        <w:t>20</w:t>
      </w:r>
      <w:r>
        <w:rPr>
          <w:snapToGrid w:val="0"/>
        </w:rPr>
        <w:t>.</w:t>
      </w:r>
      <w:r>
        <w:rPr>
          <w:snapToGrid w:val="0"/>
        </w:rPr>
        <w:tab/>
        <w:t xml:space="preserve">Persons prescribed (Act s. 129 </w:t>
      </w:r>
      <w:r>
        <w:rPr>
          <w:i/>
          <w:snapToGrid w:val="0"/>
        </w:rPr>
        <w:t>wholesaler</w:t>
      </w:r>
      <w:r>
        <w:rPr>
          <w:snapToGrid w:val="0"/>
        </w:rPr>
        <w:t>)</w:t>
      </w:r>
      <w:bookmarkEnd w:id="85"/>
    </w:p>
    <w:p>
      <w:pPr>
        <w:pStyle w:val="Subsection"/>
        <w:keepNext/>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Gazette 30 Jan 1998 p. 562; amended: Gazette 1 May 2007 p. 1888.]</w:t>
      </w:r>
    </w:p>
    <w:p>
      <w:pPr>
        <w:pStyle w:val="Heading5"/>
      </w:pPr>
      <w:bookmarkStart w:id="86" w:name="_Toc188000766"/>
      <w:r>
        <w:rPr>
          <w:rStyle w:val="CharSectno"/>
        </w:rPr>
        <w:t>21</w:t>
      </w:r>
      <w:r>
        <w:t>.</w:t>
      </w:r>
      <w:r>
        <w:tab/>
        <w:t>Wholesaler, subsidy for (Act s. 130)</w:t>
      </w:r>
      <w:bookmarkEnd w:id="86"/>
    </w:p>
    <w:p>
      <w:pPr>
        <w:pStyle w:val="Subsection"/>
        <w:keepNext/>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lastRenderedPageBreak/>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Gazette 28 Jul 2000 p. 4030; amended: Gazette 28 Jun 2002 p. 3106</w:t>
      </w:r>
      <w:r>
        <w:rPr>
          <w:rFonts w:ascii="Times" w:hAnsi="Times"/>
        </w:rPr>
        <w:t>; 9</w:t>
      </w:r>
      <w:r>
        <w:t> Jul 2004 p. 2774; 1 May 2007 p. 1888.]</w:t>
      </w:r>
    </w:p>
    <w:p>
      <w:pPr>
        <w:pStyle w:val="Heading5"/>
        <w:keepLines w:val="0"/>
      </w:pPr>
      <w:bookmarkStart w:id="87" w:name="_Toc188000767"/>
      <w:r>
        <w:rPr>
          <w:rStyle w:val="CharSectno"/>
        </w:rPr>
        <w:t>21A</w:t>
      </w:r>
      <w:r>
        <w:t>.</w:t>
      </w:r>
      <w:r>
        <w:tab/>
        <w:t>Wine producer, subsidy for (Act s. 130)</w:t>
      </w:r>
      <w:bookmarkEnd w:id="87"/>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4.25pt" o:ole="">
            <v:imagedata r:id="rId21" o:title=""/>
          </v:shape>
          <o:OLEObject Type="Embed" ProgID="Equation.3" ShapeID="_x0000_i1025" DrawAspect="Content" ObjectID="_1810977042" r:id="rId22"/>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lastRenderedPageBreak/>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60"/>
        <w:ind w:left="890" w:hanging="890"/>
      </w:pPr>
      <w:r>
        <w:tab/>
        <w:t>[Regulation 21A inserted: Gazette 28 Jul 2000 p. 4030</w:t>
      </w:r>
      <w:r>
        <w:noBreakHyphen/>
        <w:t>1; amended: Gazette 9 Jul 2004 p. 2774; 1 May 2007 p. 1888</w:t>
      </w:r>
      <w:r>
        <w:noBreakHyphen/>
        <w:t>9.]</w:t>
      </w:r>
    </w:p>
    <w:p>
      <w:pPr>
        <w:pStyle w:val="Ednotesection"/>
        <w:rPr>
          <w:b/>
        </w:rPr>
      </w:pPr>
      <w:r>
        <w:t>[</w:t>
      </w:r>
      <w:r>
        <w:rPr>
          <w:b/>
        </w:rPr>
        <w:t>21AB.</w:t>
      </w:r>
      <w:r>
        <w:rPr>
          <w:b/>
        </w:rPr>
        <w:tab/>
      </w:r>
      <w:r>
        <w:t>Deleted: Gazette 28 Jun 2002 p. 3106.]</w:t>
      </w:r>
    </w:p>
    <w:p>
      <w:pPr>
        <w:pStyle w:val="Heading5"/>
        <w:rPr>
          <w:snapToGrid w:val="0"/>
        </w:rPr>
      </w:pPr>
      <w:bookmarkStart w:id="88" w:name="_Toc188000768"/>
      <w:r>
        <w:rPr>
          <w:rStyle w:val="CharSectno"/>
        </w:rPr>
        <w:t>21AC</w:t>
      </w:r>
      <w:r>
        <w:rPr>
          <w:snapToGrid w:val="0"/>
        </w:rPr>
        <w:t>.</w:t>
      </w:r>
      <w:r>
        <w:rPr>
          <w:snapToGrid w:val="0"/>
        </w:rPr>
        <w:tab/>
        <w:t>Subsidy payable once in respect of sale of liquor</w:t>
      </w:r>
      <w:bookmarkEnd w:id="8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Gazette 6 Oct 1998 p. 5565.]</w:t>
      </w:r>
    </w:p>
    <w:p>
      <w:pPr>
        <w:pStyle w:val="Heading5"/>
        <w:rPr>
          <w:snapToGrid w:val="0"/>
        </w:rPr>
      </w:pPr>
      <w:bookmarkStart w:id="89" w:name="_Toc188000769"/>
      <w:r>
        <w:rPr>
          <w:rStyle w:val="CharSectno"/>
        </w:rPr>
        <w:t>21B</w:t>
      </w:r>
      <w:r>
        <w:rPr>
          <w:snapToGrid w:val="0"/>
        </w:rPr>
        <w:t>.</w:t>
      </w:r>
      <w:r>
        <w:rPr>
          <w:snapToGrid w:val="0"/>
        </w:rPr>
        <w:tab/>
        <w:t xml:space="preserve">Subsidy, conditions imposed by Director as to </w:t>
      </w:r>
      <w:r>
        <w:t>(Act s. 130(2))</w:t>
      </w:r>
      <w:bookmarkEnd w:id="8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Gazette 30 Jan 1998 p. 565; amended: Gazette 1 May 2007 p. 1888</w:t>
      </w:r>
      <w:r>
        <w:noBreakHyphen/>
        <w:t>9.]</w:t>
      </w:r>
    </w:p>
    <w:p>
      <w:pPr>
        <w:pStyle w:val="Heading5"/>
        <w:rPr>
          <w:snapToGrid w:val="0"/>
        </w:rPr>
      </w:pPr>
      <w:bookmarkStart w:id="90" w:name="_Toc188000770"/>
      <w:r>
        <w:rPr>
          <w:rStyle w:val="CharSectno"/>
        </w:rPr>
        <w:t>21C</w:t>
      </w:r>
      <w:r>
        <w:rPr>
          <w:snapToGrid w:val="0"/>
        </w:rPr>
        <w:t>.</w:t>
      </w:r>
      <w:r>
        <w:rPr>
          <w:snapToGrid w:val="0"/>
        </w:rPr>
        <w:tab/>
        <w:t>Licensees prescribed </w:t>
      </w:r>
      <w:r>
        <w:t>(Act s. </w:t>
      </w:r>
      <w:r>
        <w:rPr>
          <w:snapToGrid w:val="0"/>
        </w:rPr>
        <w:t>145(1))</w:t>
      </w:r>
      <w:bookmarkEnd w:id="9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lastRenderedPageBreak/>
        <w:tab/>
        <w:t>(c)</w:t>
      </w:r>
      <w:r>
        <w:rPr>
          <w:snapToGrid w:val="0"/>
        </w:rPr>
        <w:tab/>
        <w:t>the holder of a producer’s licence.</w:t>
      </w:r>
    </w:p>
    <w:p>
      <w:pPr>
        <w:pStyle w:val="Footnotesection"/>
        <w:spacing w:before="80"/>
        <w:ind w:left="890" w:hanging="890"/>
      </w:pPr>
      <w:r>
        <w:tab/>
        <w:t>[Regulation 21C inserted: Gazette 30 Jan 1998 p. 565; amended: Gazette 22 May 1998 p. 2943; 6 Oct 1998 p. 5565; 1 May 2007 p. 1888</w:t>
      </w:r>
      <w:r>
        <w:noBreakHyphen/>
        <w:t>9.]</w:t>
      </w:r>
    </w:p>
    <w:p>
      <w:pPr>
        <w:pStyle w:val="Heading5"/>
        <w:spacing w:before="180"/>
        <w:rPr>
          <w:snapToGrid w:val="0"/>
        </w:rPr>
      </w:pPr>
      <w:bookmarkStart w:id="91" w:name="_Toc188000771"/>
      <w:r>
        <w:rPr>
          <w:rStyle w:val="CharSectno"/>
        </w:rPr>
        <w:t>22</w:t>
      </w:r>
      <w:r>
        <w:rPr>
          <w:snapToGrid w:val="0"/>
        </w:rPr>
        <w:t>.</w:t>
      </w:r>
      <w:r>
        <w:rPr>
          <w:snapToGrid w:val="0"/>
        </w:rPr>
        <w:tab/>
        <w:t xml:space="preserve">Records prescribed etc. </w:t>
      </w:r>
      <w:r>
        <w:t>(Act s. </w:t>
      </w:r>
      <w:r>
        <w:rPr>
          <w:snapToGrid w:val="0"/>
        </w:rPr>
        <w:t>145)</w:t>
      </w:r>
      <w:bookmarkEnd w:id="9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keepNext/>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rPr>
          <w:snapToGrid w:val="0"/>
        </w:rPr>
      </w:pPr>
      <w:r>
        <w:rPr>
          <w:snapToGrid w:val="0"/>
        </w:rPr>
        <w:tab/>
        <w:t>(G)</w:t>
      </w:r>
      <w:r>
        <w:rPr>
          <w:snapToGrid w:val="0"/>
        </w:rPr>
        <w:tab/>
        <w:t xml:space="preserve">each duty or charge which is payable in respect of the liquor but which is not </w:t>
      </w:r>
      <w:r>
        <w:rPr>
          <w:snapToGrid w:val="0"/>
        </w:rPr>
        <w:lastRenderedPageBreak/>
        <w:t>otherwise included in an item in the invoice;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 xml:space="preserve">and a separate statement is to be kept of the amount of liquor sold or otherwise disposed of as referred to in subparagraphs (i) and (ii) where, in respect of one sale </w:t>
      </w:r>
      <w:r>
        <w:rPr>
          <w:snapToGrid w:val="0"/>
        </w:rPr>
        <w:lastRenderedPageBreak/>
        <w:t>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Gazette 30 Jan 1998 p. 565</w:t>
      </w:r>
      <w:r>
        <w:noBreakHyphen/>
        <w:t>6; 22 May 1998 p. 2943; 6 Oct 1998 p. 5565</w:t>
      </w:r>
      <w:r>
        <w:noBreakHyphen/>
        <w:t>6; 1 May 2007 p. 1888</w:t>
      </w:r>
      <w:r>
        <w:noBreakHyphen/>
        <w:t>9.]</w:t>
      </w:r>
    </w:p>
    <w:p>
      <w:pPr>
        <w:pStyle w:val="Heading5"/>
        <w:rPr>
          <w:snapToGrid w:val="0"/>
        </w:rPr>
      </w:pPr>
      <w:bookmarkStart w:id="92" w:name="_Toc188000772"/>
      <w:r>
        <w:rPr>
          <w:rStyle w:val="CharSectno"/>
        </w:rPr>
        <w:t>23</w:t>
      </w:r>
      <w:r>
        <w:rPr>
          <w:snapToGrid w:val="0"/>
        </w:rPr>
        <w:t>.</w:t>
      </w:r>
      <w:r>
        <w:rPr>
          <w:snapToGrid w:val="0"/>
        </w:rPr>
        <w:tab/>
        <w:t xml:space="preserve">Returns, verification and lodgment of </w:t>
      </w:r>
      <w:r>
        <w:t>(Act s. 146)</w:t>
      </w:r>
      <w:bookmarkEnd w:id="9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lastRenderedPageBreak/>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Gazette 30 Jan 1998 p. 566; 22 May 1998 p. 2943; 6 Oct 1998 p. 5566.]</w:t>
      </w:r>
    </w:p>
    <w:p>
      <w:pPr>
        <w:pStyle w:val="Heading5"/>
        <w:rPr>
          <w:snapToGrid w:val="0"/>
        </w:rPr>
      </w:pPr>
      <w:bookmarkStart w:id="93" w:name="_Toc188000773"/>
      <w:r>
        <w:rPr>
          <w:rStyle w:val="CharSectno"/>
        </w:rPr>
        <w:t>24</w:t>
      </w:r>
      <w:r>
        <w:rPr>
          <w:snapToGrid w:val="0"/>
        </w:rPr>
        <w:t>.</w:t>
      </w:r>
      <w:r>
        <w:rPr>
          <w:snapToGrid w:val="0"/>
        </w:rPr>
        <w:tab/>
        <w:t xml:space="preserve">Return of information required etc. </w:t>
      </w:r>
      <w:r>
        <w:t>(Act s. 145)</w:t>
      </w:r>
      <w:bookmarkEnd w:id="9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lastRenderedPageBreak/>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 xml:space="preserve">where the licence is held jointly by 2 or more persons, the full name and address of each such person, and of the person who was the manager of the business </w:t>
      </w:r>
      <w:r>
        <w:rPr>
          <w:snapToGrid w:val="0"/>
        </w:rPr>
        <w:lastRenderedPageBreak/>
        <w:t>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Gazette 30 Jan 1998 p. 566</w:t>
      </w:r>
      <w:r>
        <w:noBreakHyphen/>
        <w:t>7; 22 May 1998 p. 2943; 1 May 2007 p. 1888</w:t>
      </w:r>
      <w:r>
        <w:noBreakHyphen/>
        <w:t>9; 4 Mar 2016 p. 630.]</w:t>
      </w:r>
    </w:p>
    <w:p>
      <w:pPr>
        <w:pStyle w:val="Heading5"/>
      </w:pPr>
      <w:bookmarkStart w:id="94" w:name="_Toc188000774"/>
      <w:r>
        <w:rPr>
          <w:rStyle w:val="CharSectno"/>
        </w:rPr>
        <w:t>24AA</w:t>
      </w:r>
      <w:r>
        <w:t>.</w:t>
      </w:r>
      <w:r>
        <w:tab/>
        <w:t>Prescribed class of persons (Act s. 152K(2AA)(b))</w:t>
      </w:r>
      <w:bookmarkEnd w:id="94"/>
    </w:p>
    <w:p>
      <w:pPr>
        <w:pStyle w:val="Subsection"/>
      </w:pPr>
      <w:r>
        <w:tab/>
      </w:r>
      <w:r>
        <w:tab/>
        <w:t>For the purposes of section 152K(2AA)(b), a person belongs to a prescribed class of persons if the person is engaged by the Department to create or provide equipment, software, databases or any other thing to be used by responsible persons in identifying persons subject to prohibition orders.</w:t>
      </w:r>
    </w:p>
    <w:p>
      <w:pPr>
        <w:pStyle w:val="Footnotesection"/>
      </w:pPr>
      <w:r>
        <w:tab/>
        <w:t>[Regulation 24AA inserted: SL 2023/196 r. 8.]</w:t>
      </w:r>
    </w:p>
    <w:p>
      <w:pPr>
        <w:pStyle w:val="Heading5"/>
      </w:pPr>
      <w:bookmarkStart w:id="95" w:name="_Toc188000775"/>
      <w:r>
        <w:rPr>
          <w:rStyle w:val="CharSectno"/>
        </w:rPr>
        <w:t>24A</w:t>
      </w:r>
      <w:r>
        <w:t>.</w:t>
      </w:r>
      <w:r>
        <w:tab/>
        <w:t>Electronic means of service of documents under Part 5AA of Act (Act s. 152NZQ(4)(c))</w:t>
      </w:r>
      <w:bookmarkEnd w:id="95"/>
    </w:p>
    <w:p>
      <w:pPr>
        <w:pStyle w:val="Subsection"/>
      </w:pPr>
      <w:r>
        <w:tab/>
      </w:r>
      <w:r>
        <w:tab/>
        <w:t xml:space="preserve">For the purposes of section 152NZQ(4)(c), the other electronic means by which a document may be given to a named person are as follows — </w:t>
      </w:r>
    </w:p>
    <w:p>
      <w:pPr>
        <w:pStyle w:val="Indenta"/>
      </w:pPr>
      <w:r>
        <w:tab/>
        <w:t>(a)</w:t>
      </w:r>
      <w:r>
        <w:tab/>
        <w:t>sending a link to a uniform resource locator (URL) from which the document can be accessed or downloaded to an electronic address provided by the named person;</w:t>
      </w:r>
    </w:p>
    <w:p>
      <w:pPr>
        <w:pStyle w:val="Indenta"/>
      </w:pPr>
      <w:r>
        <w:lastRenderedPageBreak/>
        <w:tab/>
        <w:t>(b)</w:t>
      </w:r>
      <w:r>
        <w:tab/>
        <w:t>sending the document, or a link to a uniform resource locator (URL) from which the document can be accessed or downloaded, to a mobile phone number provided by the named person.</w:t>
      </w:r>
    </w:p>
    <w:p>
      <w:pPr>
        <w:pStyle w:val="Footnotesection"/>
        <w:spacing w:before="100"/>
        <w:ind w:left="890" w:hanging="890"/>
      </w:pPr>
      <w:r>
        <w:tab/>
        <w:t>[Regulation 24A inserted: SL 2022/217 r. 5.]</w:t>
      </w:r>
    </w:p>
    <w:p>
      <w:pPr>
        <w:pStyle w:val="Heading5"/>
      </w:pPr>
      <w:bookmarkStart w:id="96" w:name="_Toc188000776"/>
      <w:r>
        <w:rPr>
          <w:rStyle w:val="CharSectno"/>
        </w:rPr>
        <w:t>24B</w:t>
      </w:r>
      <w:r>
        <w:t>.</w:t>
      </w:r>
      <w:r>
        <w:tab/>
        <w:t>Consent to service of documents under Part 5AA of Act (Act s. 152NZQ(5))</w:t>
      </w:r>
      <w:bookmarkEnd w:id="96"/>
    </w:p>
    <w:p>
      <w:pPr>
        <w:pStyle w:val="Subsection"/>
      </w:pPr>
      <w:r>
        <w:tab/>
        <w:t>(1)</w:t>
      </w:r>
      <w:r>
        <w:tab/>
        <w:t xml:space="preserve">Consent under section 152NZQ(4)(b)(i), (c) or (d) may be given — </w:t>
      </w:r>
    </w:p>
    <w:p>
      <w:pPr>
        <w:pStyle w:val="Indenta"/>
      </w:pPr>
      <w:r>
        <w:tab/>
        <w:t>(a)</w:t>
      </w:r>
      <w:r>
        <w:tab/>
        <w:t>in writing; or</w:t>
      </w:r>
    </w:p>
    <w:p>
      <w:pPr>
        <w:pStyle w:val="Indenta"/>
      </w:pPr>
      <w:r>
        <w:tab/>
        <w:t>(b)</w:t>
      </w:r>
      <w:r>
        <w:tab/>
        <w:t>verbally; or</w:t>
      </w:r>
    </w:p>
    <w:p>
      <w:pPr>
        <w:pStyle w:val="Indenta"/>
      </w:pPr>
      <w:r>
        <w:tab/>
        <w:t>(c)</w:t>
      </w:r>
      <w:r>
        <w:tab/>
        <w:t>by non</w:t>
      </w:r>
      <w:r>
        <w:noBreakHyphen/>
        <w:t>verbal actions that a reasonable person would consider to indicate consent (for example, by gestures).</w:t>
      </w:r>
    </w:p>
    <w:p>
      <w:pPr>
        <w:pStyle w:val="Subsection"/>
      </w:pPr>
      <w:r>
        <w:tab/>
        <w:t>(2)</w:t>
      </w:r>
      <w:r>
        <w:tab/>
        <w:t>A person does not give consent under section 152NZQ(4)(b)(i), (c) or (d) merely because the person gives their personal details following a request under section 152NZM(3).</w:t>
      </w:r>
    </w:p>
    <w:p>
      <w:pPr>
        <w:pStyle w:val="Subsection"/>
      </w:pPr>
      <w:r>
        <w:tab/>
        <w:t>(3)</w:t>
      </w:r>
      <w:r>
        <w:tab/>
        <w:t xml:space="preserve">Consent is taken not to be given under section 152NZQ(4)(b)(i), (c) or (d) if — </w:t>
      </w:r>
    </w:p>
    <w:p>
      <w:pPr>
        <w:pStyle w:val="Indenta"/>
      </w:pPr>
      <w:r>
        <w:tab/>
        <w:t>(a)</w:t>
      </w:r>
      <w:r>
        <w:tab/>
        <w:t>the named person was coerced or pressured to give consent; or</w:t>
      </w:r>
    </w:p>
    <w:p>
      <w:pPr>
        <w:pStyle w:val="Indenta"/>
      </w:pPr>
      <w:r>
        <w:tab/>
        <w:t>(b)</w:t>
      </w:r>
      <w:r>
        <w:tab/>
        <w:t>the named person did not have the capacity to give consent (including as a result of a physical or mental disability, illness or impairment); or</w:t>
      </w:r>
    </w:p>
    <w:p>
      <w:pPr>
        <w:pStyle w:val="Indenta"/>
      </w:pPr>
      <w:r>
        <w:tab/>
        <w:t>(c)</w:t>
      </w:r>
      <w:r>
        <w:tab/>
        <w:t>due to a limited understanding of the language used in communications about consent, the named person did not understand the communications.</w:t>
      </w:r>
    </w:p>
    <w:p>
      <w:pPr>
        <w:pStyle w:val="Subsection"/>
        <w:rPr>
          <w:rStyle w:val="DraftersNotes"/>
        </w:rPr>
      </w:pPr>
      <w:r>
        <w:tab/>
        <w:t>(4)</w:t>
      </w:r>
      <w:r>
        <w:tab/>
        <w:t>This regulation does not limit the circumstances in which consent is not given.</w:t>
      </w:r>
    </w:p>
    <w:p>
      <w:pPr>
        <w:pStyle w:val="Footnotesection"/>
        <w:spacing w:before="100"/>
        <w:ind w:left="890" w:hanging="890"/>
      </w:pPr>
      <w:r>
        <w:tab/>
        <w:t>[Regulation 24B inserted: SL 2022/217 r. 5.]</w:t>
      </w:r>
    </w:p>
    <w:p>
      <w:pPr>
        <w:pStyle w:val="Heading5"/>
      </w:pPr>
      <w:bookmarkStart w:id="97" w:name="_Toc188000777"/>
      <w:r>
        <w:rPr>
          <w:rStyle w:val="CharSectno"/>
        </w:rPr>
        <w:lastRenderedPageBreak/>
        <w:t>24C</w:t>
      </w:r>
      <w:r>
        <w:t>.</w:t>
      </w:r>
      <w:r>
        <w:tab/>
        <w:t>Time when documents under Part 5AA of Act are served (Act s. 152NZR(6))</w:t>
      </w:r>
      <w:bookmarkEnd w:id="97"/>
    </w:p>
    <w:p>
      <w:pPr>
        <w:pStyle w:val="Subsection"/>
      </w:pPr>
      <w:r>
        <w:tab/>
        <w:t>(1)</w:t>
      </w:r>
      <w:r>
        <w:tab/>
        <w:t xml:space="preserve">A document served by giving the document to a named person at an electronic address provided by the named person or by the electronic means referred to in regulation 24A(a) is taken to be served on the named person — </w:t>
      </w:r>
    </w:p>
    <w:p>
      <w:pPr>
        <w:pStyle w:val="Indenta"/>
      </w:pPr>
      <w:r>
        <w:tab/>
        <w:t>(a)</w:t>
      </w:r>
      <w:r>
        <w:tab/>
        <w:t>at the time the document, or the link to a uniform resource locator (URL) from which the document can be accessed or downloaded, is sent to the electronic address; or</w:t>
      </w:r>
    </w:p>
    <w:p>
      <w:pPr>
        <w:pStyle w:val="Indenta"/>
      </w:pPr>
      <w:r>
        <w:tab/>
        <w:t>(b)</w:t>
      </w:r>
      <w:r>
        <w:tab/>
        <w:t>if it is proved that the document or link was delivered to the electronic address at a different time — at the time at which the document or link was delivered.</w:t>
      </w:r>
    </w:p>
    <w:p>
      <w:pPr>
        <w:pStyle w:val="Subsection"/>
      </w:pPr>
      <w:r>
        <w:tab/>
        <w:t>(2)</w:t>
      </w:r>
      <w:r>
        <w:tab/>
        <w:t>Despite subregulation (1), the document is taken not to be served if the sender receives a notification that delivery has failed or it is proved that the document or link was not delivered to the electronic address.</w:t>
      </w:r>
    </w:p>
    <w:p>
      <w:pPr>
        <w:pStyle w:val="Subsection"/>
      </w:pPr>
      <w:r>
        <w:tab/>
        <w:t>(3)</w:t>
      </w:r>
      <w:r>
        <w:tab/>
        <w:t xml:space="preserve">A document served by giving the document to a named person by the electronic means referred to in regulation 24A(b) is taken to be served on the named person — </w:t>
      </w:r>
    </w:p>
    <w:p>
      <w:pPr>
        <w:pStyle w:val="Indenta"/>
      </w:pPr>
      <w:r>
        <w:tab/>
        <w:t>(a)</w:t>
      </w:r>
      <w:r>
        <w:tab/>
        <w:t>at the time the document, or the link to a uniform resource locator (URL) from which the document can be accessed or downloaded, is sent to the mobile phone number; or</w:t>
      </w:r>
    </w:p>
    <w:p>
      <w:pPr>
        <w:pStyle w:val="Indenta"/>
      </w:pPr>
      <w:r>
        <w:tab/>
        <w:t>(b)</w:t>
      </w:r>
      <w:r>
        <w:tab/>
        <w:t>if it is proved that, due to circumstances outside of the named person’s control, the document or link was delivered to the mobile phone number at a different time — at the time at which the document or link was delivered.</w:t>
      </w:r>
    </w:p>
    <w:p>
      <w:pPr>
        <w:pStyle w:val="Subsection"/>
        <w:keepNext/>
      </w:pPr>
      <w:r>
        <w:tab/>
        <w:t>(4)</w:t>
      </w:r>
      <w:r>
        <w:tab/>
        <w:t xml:space="preserve">Despite subregulation (3), the document is taken not to be served if it is proved that, due to circumstances outside of the </w:t>
      </w:r>
      <w:r>
        <w:lastRenderedPageBreak/>
        <w:t>named person’s control, the document or link was not delivered to the mobile phone number.</w:t>
      </w:r>
    </w:p>
    <w:p>
      <w:pPr>
        <w:pStyle w:val="Footnotesection"/>
        <w:spacing w:before="100"/>
        <w:ind w:left="890" w:hanging="890"/>
      </w:pPr>
      <w:r>
        <w:tab/>
        <w:t>[Regulation 24C inserted: SL 2022/217 r. 5.]</w:t>
      </w:r>
    </w:p>
    <w:p>
      <w:pPr>
        <w:pStyle w:val="Heading5"/>
      </w:pPr>
      <w:bookmarkStart w:id="98" w:name="_Toc188000778"/>
      <w:r>
        <w:rPr>
          <w:rStyle w:val="CharSectno"/>
        </w:rPr>
        <w:t>25A</w:t>
      </w:r>
      <w:r>
        <w:t>.</w:t>
      </w:r>
      <w:r>
        <w:tab/>
        <w:t>Class of persons prescribed (Act s. 152P(4)(b))</w:t>
      </w:r>
      <w:bookmarkEnd w:id="98"/>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Gazette 7 Oct 2011 p. 4069.]</w:t>
      </w:r>
    </w:p>
    <w:p>
      <w:pPr>
        <w:pStyle w:val="Heading5"/>
      </w:pPr>
      <w:bookmarkStart w:id="99" w:name="_Toc188000779"/>
      <w:r>
        <w:rPr>
          <w:rStyle w:val="CharSectno"/>
        </w:rPr>
        <w:t>25B</w:t>
      </w:r>
      <w:r>
        <w:t>.</w:t>
      </w:r>
      <w:r>
        <w:tab/>
        <w:t>Fee payable for review of decision related to banned drinker orders (Act s. 152YY(1))</w:t>
      </w:r>
      <w:bookmarkEnd w:id="99"/>
    </w:p>
    <w:p>
      <w:pPr>
        <w:pStyle w:val="Subsection"/>
      </w:pPr>
      <w:r>
        <w:tab/>
        <w:t>(1)</w:t>
      </w:r>
      <w:r>
        <w:tab/>
        <w:t>A fee of $280.50 is payable to the Commission in respect of an application under section 152YY(1).</w:t>
      </w:r>
    </w:p>
    <w:p>
      <w:pPr>
        <w:pStyle w:val="Subsection"/>
      </w:pPr>
      <w:r>
        <w:tab/>
        <w:t>(2)</w:t>
      </w:r>
      <w:r>
        <w:tab/>
        <w:t>The person liable to pay the fee is the applicant.</w:t>
      </w:r>
    </w:p>
    <w:p>
      <w:pPr>
        <w:pStyle w:val="Subsection"/>
      </w:pPr>
      <w:r>
        <w:tab/>
        <w:t>(3)</w:t>
      </w:r>
      <w:r>
        <w:tab/>
        <w:t>The fee must be paid on the day on which the application is made and, if an application under section 152YY(1) is made without payment of the fee, the application is taken not to have been made until the fee has been paid.</w:t>
      </w:r>
    </w:p>
    <w:p>
      <w:pPr>
        <w:pStyle w:val="Subsection"/>
      </w:pPr>
      <w:r>
        <w:tab/>
        <w:t>(4)</w:t>
      </w:r>
      <w:r>
        <w:tab/>
        <w:t>The Director may reduce, waive or refund, in whole or in part, any fee payable under this regulation.</w:t>
      </w:r>
    </w:p>
    <w:p>
      <w:pPr>
        <w:pStyle w:val="Footnotesection"/>
      </w:pPr>
      <w:r>
        <w:tab/>
        <w:t>[Regulation 25B inserted: SL 2023/196 r. 9; amended: SL 2023/196 r. 13; SL 2024/213 r. 12.]</w:t>
      </w:r>
    </w:p>
    <w:p>
      <w:pPr>
        <w:pStyle w:val="Heading5"/>
      </w:pPr>
      <w:bookmarkStart w:id="100" w:name="_Toc188000780"/>
      <w:r>
        <w:rPr>
          <w:rStyle w:val="CharSectno"/>
        </w:rPr>
        <w:t>25C</w:t>
      </w:r>
      <w:r>
        <w:t>.</w:t>
      </w:r>
      <w:r>
        <w:tab/>
        <w:t>Disclosure of information about banned drinker order and banned drinker (Act s. 152ZC(2)(d))</w:t>
      </w:r>
      <w:bookmarkEnd w:id="100"/>
    </w:p>
    <w:p>
      <w:pPr>
        <w:pStyle w:val="Subsection"/>
      </w:pPr>
      <w:r>
        <w:tab/>
      </w:r>
      <w:r>
        <w:tab/>
        <w:t>For the purposes of section 152ZC(2)(d), Scantek Solutions Pty Ltd (ACN 158 339 514) is prescribed in relation to each banned drinker.</w:t>
      </w:r>
    </w:p>
    <w:p>
      <w:pPr>
        <w:pStyle w:val="Footnotesection"/>
      </w:pPr>
      <w:r>
        <w:tab/>
        <w:t>[Regulation 25C inserted: SL 2023/196 r. 9.]</w:t>
      </w:r>
    </w:p>
    <w:p>
      <w:pPr>
        <w:pStyle w:val="Heading5"/>
        <w:rPr>
          <w:snapToGrid w:val="0"/>
        </w:rPr>
      </w:pPr>
      <w:bookmarkStart w:id="101" w:name="_Toc188000781"/>
      <w:r>
        <w:rPr>
          <w:rStyle w:val="CharSectno"/>
        </w:rPr>
        <w:lastRenderedPageBreak/>
        <w:t>25</w:t>
      </w:r>
      <w:r>
        <w:rPr>
          <w:snapToGrid w:val="0"/>
        </w:rPr>
        <w:t>.</w:t>
      </w:r>
      <w:r>
        <w:rPr>
          <w:snapToGrid w:val="0"/>
        </w:rPr>
        <w:tab/>
        <w:t>Money payable under Act, how payable</w:t>
      </w:r>
      <w:bookmarkEnd w:id="101"/>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Gazette 24 Aug 1990 p. 4337; 30 Oct 1998 p. 6015; 1 May 2007 p. 1885.]</w:t>
      </w:r>
    </w:p>
    <w:p>
      <w:pPr>
        <w:pStyle w:val="Heading5"/>
        <w:keepLines w:val="0"/>
        <w:rPr>
          <w:snapToGrid w:val="0"/>
        </w:rPr>
      </w:pPr>
      <w:bookmarkStart w:id="102" w:name="_Toc188000782"/>
      <w:r>
        <w:rPr>
          <w:rStyle w:val="CharSectno"/>
        </w:rPr>
        <w:t>26</w:t>
      </w:r>
      <w:r>
        <w:rPr>
          <w:snapToGrid w:val="0"/>
        </w:rPr>
        <w:t>.</w:t>
      </w:r>
      <w:r>
        <w:rPr>
          <w:snapToGrid w:val="0"/>
        </w:rPr>
        <w:tab/>
        <w:t>Fees generally (Sch. 3)</w:t>
      </w:r>
      <w:bookmarkEnd w:id="102"/>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$321.00; or</w:t>
      </w:r>
    </w:p>
    <w:p>
      <w:pPr>
        <w:pStyle w:val="Indenta"/>
      </w:pPr>
      <w:r>
        <w:tab/>
        <w:t>(b)</w:t>
      </w:r>
      <w:r>
        <w:tab/>
        <w:t>if 3 or more such permits have been issued — an additional amount of $647.00</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lastRenderedPageBreak/>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 xml:space="preserve">3; 21 May 2013 p. 2014; 8 Nov 2013 p. 4977-8; 14 Nov 2014 p. 4284; </w:t>
      </w:r>
      <w:r>
        <w:lastRenderedPageBreak/>
        <w:t>6 Nov 2015 p. 4584; 28 Oct 2016 p. 4913; 10 Nov 2017 p. 5587; 7 Sep 2018 p. 3196; 22 Oct 2019 p. 3724; SL 2022/144 r. 12; SL 2023/156 r. 12; SL 2024/213 r. 13.]</w:t>
      </w:r>
    </w:p>
    <w:p>
      <w:pPr>
        <w:pStyle w:val="Heading5"/>
      </w:pPr>
      <w:bookmarkStart w:id="103" w:name="_Toc188000783"/>
      <w:r>
        <w:rPr>
          <w:rStyle w:val="CharSectno"/>
        </w:rPr>
        <w:t>27A</w:t>
      </w:r>
      <w:r>
        <w:t>.</w:t>
      </w:r>
      <w:r>
        <w:tab/>
        <w:t>Reduction in licence fee for new licences</w:t>
      </w:r>
      <w:bookmarkEnd w:id="103"/>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Gazette 21 Mar 2014 p. 742.]</w:t>
      </w:r>
    </w:p>
    <w:p>
      <w:pPr>
        <w:pStyle w:val="Heading5"/>
      </w:pPr>
      <w:bookmarkStart w:id="104" w:name="_Toc188000784"/>
      <w:r>
        <w:rPr>
          <w:rStyle w:val="CharSectno"/>
        </w:rPr>
        <w:t>27</w:t>
      </w:r>
      <w:r>
        <w:rPr>
          <w:snapToGrid w:val="0"/>
        </w:rPr>
        <w:t>.</w:t>
      </w:r>
      <w:r>
        <w:rPr>
          <w:snapToGrid w:val="0"/>
        </w:rPr>
        <w:tab/>
      </w:r>
      <w:r>
        <w:t>Prescribed offences for infringement notices (Act s. 167(2))</w:t>
      </w:r>
      <w:bookmarkEnd w:id="104"/>
    </w:p>
    <w:p>
      <w:pPr>
        <w:pStyle w:val="Ednotesubsection"/>
        <w:rPr>
          <w:snapToGrid/>
        </w:rPr>
      </w:pPr>
      <w:r>
        <w:rPr>
          <w:snapToGrid/>
        </w:rPr>
        <w:tab/>
        <w:t>[(1)</w:t>
      </w:r>
      <w:r>
        <w:rPr>
          <w:snapToGrid/>
        </w:rPr>
        <w:tab/>
        <w:t>deleted]</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lastRenderedPageBreak/>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lastRenderedPageBreak/>
              <w:t>s. 115(2)</w:t>
            </w:r>
          </w:p>
          <w:p>
            <w:pPr>
              <w:pStyle w:val="TableNAm"/>
              <w:spacing w:before="100"/>
            </w:pPr>
            <w:r>
              <w:t>s. 115(4B)</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p>
            <w:pPr>
              <w:pStyle w:val="TableNAm"/>
              <w:spacing w:before="100"/>
            </w:pPr>
            <w:r>
              <w:t>s. 119(4)</w:t>
            </w:r>
          </w:p>
          <w:p>
            <w:pPr>
              <w:pStyle w:val="TableNAm"/>
              <w:spacing w:before="100"/>
            </w:pPr>
            <w:r>
              <w:t>s. 119(5)</w:t>
            </w:r>
          </w:p>
        </w:tc>
        <w:tc>
          <w:tcPr>
            <w:tcW w:w="2693" w:type="dxa"/>
          </w:tcPr>
          <w:p>
            <w:pPr>
              <w:pStyle w:val="TableNAm"/>
              <w:spacing w:before="100"/>
            </w:pPr>
            <w:r>
              <w:lastRenderedPageBreak/>
              <w:t>s. 119(7)</w:t>
            </w:r>
          </w:p>
          <w:p>
            <w:pPr>
              <w:pStyle w:val="TableNAm"/>
              <w:spacing w:before="100"/>
            </w:pPr>
            <w:r>
              <w:t>s. 119(11)</w:t>
            </w:r>
          </w:p>
          <w:p>
            <w:pPr>
              <w:pStyle w:val="TableNAm"/>
              <w:spacing w:before="100"/>
            </w:pPr>
            <w:r>
              <w:lastRenderedPageBreak/>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lastRenderedPageBreak/>
              <w:t>s. 152O(1)</w:t>
            </w:r>
          </w:p>
          <w:p>
            <w:pPr>
              <w:pStyle w:val="TableNAm"/>
              <w:spacing w:before="100"/>
            </w:pPr>
            <w:r>
              <w:t>s. 152S(2)</w:t>
            </w:r>
          </w:p>
          <w:p>
            <w:pPr>
              <w:pStyle w:val="TableNAm"/>
              <w:spacing w:before="100"/>
            </w:pPr>
            <w:r>
              <w:t>s. 152S(5)</w:t>
            </w:r>
          </w:p>
          <w:p>
            <w:pPr>
              <w:pStyle w:val="TableNAm"/>
            </w:pPr>
            <w:r>
              <w:t>s. 152T(3)</w:t>
            </w:r>
          </w:p>
          <w:p>
            <w:pPr>
              <w:pStyle w:val="TableNAm"/>
            </w:pPr>
            <w:r>
              <w:t>s. 152ZA(2)</w:t>
            </w:r>
          </w:p>
          <w:p>
            <w:pPr>
              <w:pStyle w:val="TableNAm"/>
            </w:pPr>
            <w:r>
              <w:t>s. 152ZB(1)</w:t>
            </w:r>
          </w:p>
          <w:p>
            <w:pPr>
              <w:pStyle w:val="TableNAm"/>
            </w:pPr>
            <w:r>
              <w:t>s. 152ZD(1)</w:t>
            </w:r>
          </w:p>
          <w:p>
            <w:pPr>
              <w:pStyle w:val="TableNAm"/>
              <w:spacing w:before="100"/>
            </w:pPr>
            <w:r>
              <w:t>s. 152ZJ(1)</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lastRenderedPageBreak/>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lastRenderedPageBreak/>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keepNext/>
              <w:rPr>
                <w:i/>
              </w:rPr>
            </w:pPr>
            <w:r>
              <w:rPr>
                <w:i/>
              </w:rPr>
              <w:t xml:space="preserve">Liquor Control (Irrungadji Restricted Area) Regulations 2010 </w:t>
            </w:r>
            <w:r>
              <w:t>regulation 7(1)</w:t>
            </w:r>
          </w:p>
        </w:tc>
      </w:tr>
      <w:tr>
        <w:tc>
          <w:tcPr>
            <w:tcW w:w="5245" w:type="dxa"/>
          </w:tcPr>
          <w:p>
            <w:pPr>
              <w:pStyle w:val="TableNAm"/>
              <w:keepNext/>
              <w:rPr>
                <w:i/>
              </w:rPr>
            </w:pPr>
            <w:r>
              <w:rPr>
                <w:i/>
              </w:rPr>
              <w:t>Liquor Control (Jarlmadangah Burru Restricted Area) Regulations 2019</w:t>
            </w:r>
            <w:r>
              <w:t xml:space="preserve"> regulation 7(1)</w:t>
            </w:r>
          </w:p>
        </w:tc>
      </w:tr>
      <w:tr>
        <w:tc>
          <w:tcPr>
            <w:tcW w:w="5245" w:type="dxa"/>
          </w:tcPr>
          <w:p>
            <w:pPr>
              <w:pStyle w:val="TableNAm"/>
              <w:keepNext/>
              <w:rPr>
                <w:i/>
              </w:rPr>
            </w:pPr>
            <w:r>
              <w:rPr>
                <w:i/>
              </w:rPr>
              <w:t xml:space="preserve">Liquor Control (Jigalong Restricted Area) Regulations 2009 </w:t>
            </w:r>
            <w:r>
              <w:t>regulation 7(1)</w:t>
            </w:r>
          </w:p>
        </w:tc>
      </w:tr>
      <w:tr>
        <w:tc>
          <w:tcPr>
            <w:tcW w:w="5245" w:type="dxa"/>
          </w:tcPr>
          <w:p>
            <w:pPr>
              <w:pStyle w:val="TableNAm"/>
              <w:keepNext/>
              <w:rPr>
                <w:i/>
              </w:rPr>
            </w:pPr>
            <w:r>
              <w:rPr>
                <w:i/>
              </w:rPr>
              <w:t xml:space="preserve">Liquor Control (Joy Springs Restricted Area) Regulations 2023 </w:t>
            </w:r>
            <w:r>
              <w:rPr>
                <w:szCs w:val="24"/>
              </w:rPr>
              <w:t>regulation 6(1)</w:t>
            </w:r>
          </w:p>
        </w:tc>
      </w:tr>
      <w:tr>
        <w:trPr>
          <w:cantSplit/>
        </w:trPr>
        <w:tc>
          <w:tcPr>
            <w:tcW w:w="5245" w:type="dxa"/>
          </w:tcPr>
          <w:p>
            <w:pPr>
              <w:pStyle w:val="TableNAm"/>
              <w:rPr>
                <w:i/>
              </w:rPr>
            </w:pPr>
            <w:r>
              <w:rPr>
                <w:i/>
              </w:rPr>
              <w:t xml:space="preserve">Liquor Control (Juwurlinji Restricted Area) Regulations 2009 </w:t>
            </w:r>
            <w:r>
              <w:t>regulation 7(1)</w:t>
            </w:r>
          </w:p>
        </w:tc>
      </w:tr>
      <w:tr>
        <w:trPr>
          <w:cantSplit/>
        </w:trPr>
        <w:tc>
          <w:tcPr>
            <w:tcW w:w="5245" w:type="dxa"/>
          </w:tcPr>
          <w:p>
            <w:pPr>
              <w:pStyle w:val="TableNAm"/>
              <w:rPr>
                <w:i/>
              </w:rPr>
            </w:pPr>
            <w:r>
              <w:rPr>
                <w:i/>
              </w:rPr>
              <w:t>Liquor Control (Kadjina Restricted Area) Regulations 2020</w:t>
            </w:r>
            <w:r>
              <w:rPr>
                <w:szCs w:val="24"/>
              </w:rPr>
              <w:t xml:space="preserve"> regulation 6(1)</w:t>
            </w:r>
          </w:p>
        </w:tc>
      </w:tr>
      <w:tr>
        <w:trPr>
          <w:cantSplit/>
        </w:trPr>
        <w:tc>
          <w:tcPr>
            <w:tcW w:w="5245" w:type="dxa"/>
          </w:tcPr>
          <w:p>
            <w:pPr>
              <w:pStyle w:val="TableNAm"/>
              <w:rPr>
                <w:i/>
              </w:rPr>
            </w:pPr>
            <w:r>
              <w:rPr>
                <w:i/>
              </w:rPr>
              <w:t>Liquor Control (Kalumburu Restricted Area) Regulations 2018</w:t>
            </w:r>
            <w:r>
              <w:t xml:space="preserve"> regulation 8(1)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lastRenderedPageBreak/>
              <w:t>Liquor Control (Mingullatharndo Restricted Area) Regulations 2023</w:t>
            </w:r>
            <w:r>
              <w:rPr>
                <w:szCs w:val="24"/>
              </w:rPr>
              <w:t xml:space="preserve"> regulation 6(1)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bCs/>
                <w:i/>
              </w:rPr>
              <w:t>Liquor Control (Ngurrawaana Restricted Area) Regulations 2018</w:t>
            </w:r>
            <w:r>
              <w:rPr>
                <w:bCs/>
              </w:rPr>
              <w:t xml:space="preserve"> 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szCs w:val="24"/>
              </w:rPr>
              <w:t xml:space="preserve">Liquor Control (Parnngurr Restricted Area) Regulations 2018 </w:t>
            </w:r>
            <w:r>
              <w:rPr>
                <w:szCs w:val="24"/>
              </w:rPr>
              <w:t>regulation 8(1)</w:t>
            </w:r>
          </w:p>
        </w:tc>
      </w:tr>
      <w:tr>
        <w:trPr>
          <w:cantSplit/>
        </w:trPr>
        <w:tc>
          <w:tcPr>
            <w:tcW w:w="5245" w:type="dxa"/>
          </w:tcPr>
          <w:p>
            <w:pPr>
              <w:pStyle w:val="TableNAm"/>
              <w:rPr>
                <w:i/>
                <w:szCs w:val="24"/>
              </w:rPr>
            </w:pPr>
            <w:r>
              <w:rPr>
                <w:i/>
              </w:rPr>
              <w:t>Liquor Control (Parnpajinya Restricted Area) Regulations 2020</w:t>
            </w:r>
            <w:r>
              <w:rPr>
                <w:i/>
                <w:szCs w:val="24"/>
              </w:rPr>
              <w:t xml:space="preserve"> </w:t>
            </w:r>
            <w:r>
              <w:rPr>
                <w:szCs w:val="24"/>
              </w:rPr>
              <w:t>regulation 6(1)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Liquor Control (Strelley Restricted Area) Regulations 2024</w:t>
            </w:r>
            <w:r>
              <w:rPr>
                <w:i/>
                <w:szCs w:val="24"/>
              </w:rPr>
              <w:t xml:space="preserve"> </w:t>
            </w:r>
            <w:r>
              <w:rPr>
                <w:szCs w:val="24"/>
              </w:rPr>
              <w:t>regulation 6(1)</w:t>
            </w:r>
          </w:p>
        </w:tc>
      </w:tr>
      <w:tr>
        <w:tc>
          <w:tcPr>
            <w:tcW w:w="5245" w:type="dxa"/>
          </w:tcPr>
          <w:p>
            <w:pPr>
              <w:pStyle w:val="TableNAm"/>
              <w:rPr>
                <w:i/>
              </w:rPr>
            </w:pPr>
            <w:r>
              <w:rPr>
                <w:i/>
              </w:rPr>
              <w:t>Liquor Control (Transitional Housing and Support Program Restricted Areas) Regulations 2016</w:t>
            </w:r>
            <w:r>
              <w:t xml:space="preserve"> regulation 7(1)</w:t>
            </w:r>
          </w:p>
        </w:tc>
      </w:tr>
      <w:tr>
        <w:tc>
          <w:tcPr>
            <w:tcW w:w="5245" w:type="dxa"/>
          </w:tcPr>
          <w:p>
            <w:pPr>
              <w:pStyle w:val="TableNAm"/>
              <w:keepNext/>
              <w:rPr>
                <w:i/>
              </w:rPr>
            </w:pPr>
            <w:r>
              <w:rPr>
                <w:i/>
                <w:szCs w:val="24"/>
              </w:rPr>
              <w:lastRenderedPageBreak/>
              <w:t xml:space="preserve">Liquor Control (Wakathuni Restricted Area) Regulations 2018 </w:t>
            </w:r>
            <w:r>
              <w:rPr>
                <w:szCs w:val="24"/>
              </w:rPr>
              <w:t>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(Weymul Restricted Area) Regulations 2024</w:t>
            </w:r>
            <w:r>
              <w:t xml:space="preserve"> </w:t>
            </w:r>
            <w:r>
              <w:rPr>
                <w:szCs w:val="24"/>
              </w:rPr>
              <w:t>regulation 6(1)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keepNext/>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 2 Mar 2018 p. 672; 6 Jul 2018 p. 2548; 14 Sep 2018 p. 3319; 2 Oct 2018 p. 3801; 14 Jun 2019 p. 1900; 13 Dec 2019 p. 4243; SL 2020/81 r. 10; SL 2020/218 r. 10; SL 2021/94 r. 9; SL 2023/159 r. 10; SL 2023/174 r. 10; SL 2023/196 r. 10; SL 2024/37 r. 10; SL 2024/138 r. 10.]</w:t>
      </w:r>
    </w:p>
    <w:p>
      <w:pPr>
        <w:pStyle w:val="Heading5"/>
      </w:pPr>
      <w:bookmarkStart w:id="105" w:name="_Toc188000785"/>
      <w:r>
        <w:rPr>
          <w:rStyle w:val="CharSectno"/>
        </w:rPr>
        <w:lastRenderedPageBreak/>
        <w:t>28</w:t>
      </w:r>
      <w:r>
        <w:t>.</w:t>
      </w:r>
      <w:r>
        <w:tab/>
        <w:t>Protected entertainment precincts (Act s. 175(1E))</w:t>
      </w:r>
      <w:bookmarkEnd w:id="105"/>
    </w:p>
    <w:p>
      <w:pPr>
        <w:pStyle w:val="Ednotesubsection"/>
        <w:keepNext/>
      </w:pPr>
      <w:r>
        <w:tab/>
        <w:t>[(1)</w:t>
      </w:r>
      <w:r>
        <w:tab/>
        <w:t>deleted]</w:t>
      </w:r>
    </w:p>
    <w:p>
      <w:pPr>
        <w:pStyle w:val="Subsection"/>
      </w:pPr>
      <w:r>
        <w:tab/>
        <w:t>(2)</w:t>
      </w:r>
      <w:r>
        <w:tab/>
        <w:t>Each area of the State described in the Table is a protected entertainment precinct.</w:t>
      </w:r>
    </w:p>
    <w:p>
      <w:pPr>
        <w:pStyle w:val="THeadingNAm"/>
      </w:pPr>
      <w:r>
        <w:t>Table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8"/>
        <w:gridCol w:w="2689"/>
        <w:gridCol w:w="3406"/>
      </w:tblGrid>
      <w:tr>
        <w:trPr>
          <w:tblHeader/>
        </w:trPr>
        <w:tc>
          <w:tcPr>
            <w:tcW w:w="738" w:type="dxa"/>
            <w:noWrap/>
          </w:tcPr>
          <w:p>
            <w:pPr>
              <w:pStyle w:val="TableNAm"/>
              <w:jc w:val="center"/>
              <w:rPr>
                <w:b/>
              </w:rPr>
            </w:pPr>
            <w:r>
              <w:rPr>
                <w:b/>
              </w:rPr>
              <w:t>Item</w:t>
            </w:r>
          </w:p>
        </w:tc>
        <w:tc>
          <w:tcPr>
            <w:tcW w:w="2689" w:type="dxa"/>
            <w:noWrap/>
          </w:tcPr>
          <w:p>
            <w:pPr>
              <w:pStyle w:val="TableNAm"/>
              <w:jc w:val="center"/>
              <w:rPr>
                <w:b/>
              </w:rPr>
            </w:pPr>
            <w:r>
              <w:rPr>
                <w:b/>
              </w:rPr>
              <w:t>Protected entertainment precinct</w:t>
            </w:r>
          </w:p>
        </w:tc>
        <w:tc>
          <w:tcPr>
            <w:tcW w:w="3406" w:type="dxa"/>
            <w:noWrap/>
          </w:tcPr>
          <w:p>
            <w:pPr>
              <w:pStyle w:val="TableNAm"/>
              <w:jc w:val="center"/>
              <w:rPr>
                <w:b/>
              </w:rPr>
            </w:pPr>
            <w:r>
              <w:rPr>
                <w:b/>
              </w:rPr>
              <w:t>Area of the State</w:t>
            </w:r>
          </w:p>
        </w:tc>
      </w:tr>
      <w:tr>
        <w:tc>
          <w:tcPr>
            <w:tcW w:w="738" w:type="dxa"/>
            <w:noWrap/>
          </w:tcPr>
          <w:p>
            <w:pPr>
              <w:pStyle w:val="TableNAm"/>
            </w:pPr>
            <w:r>
              <w:t>1.</w:t>
            </w:r>
          </w:p>
        </w:tc>
        <w:tc>
          <w:tcPr>
            <w:tcW w:w="2689" w:type="dxa"/>
            <w:noWrap/>
          </w:tcPr>
          <w:p>
            <w:pPr>
              <w:pStyle w:val="TableNAm"/>
              <w:rPr>
                <w:rStyle w:val="DraftersNotes"/>
                <w:b w:val="0"/>
                <w:i w:val="0"/>
              </w:rPr>
            </w:pPr>
            <w:r>
              <w:t>Fremantle</w:t>
            </w:r>
          </w:p>
        </w:tc>
        <w:tc>
          <w:tcPr>
            <w:tcW w:w="3406" w:type="dxa"/>
            <w:noWrap/>
          </w:tcPr>
          <w:p>
            <w:pPr>
              <w:pStyle w:val="TableNAm"/>
            </w:pPr>
            <w:r>
              <w:t>The area delineated in red and coloured blue on Deposited Plan 425727 version 1.</w:t>
            </w:r>
          </w:p>
        </w:tc>
      </w:tr>
      <w:tr>
        <w:tc>
          <w:tcPr>
            <w:tcW w:w="738" w:type="dxa"/>
            <w:noWrap/>
          </w:tcPr>
          <w:p>
            <w:pPr>
              <w:pStyle w:val="TableNAm"/>
            </w:pPr>
            <w:r>
              <w:t>2.</w:t>
            </w:r>
          </w:p>
        </w:tc>
        <w:tc>
          <w:tcPr>
            <w:tcW w:w="2689" w:type="dxa"/>
            <w:noWrap/>
          </w:tcPr>
          <w:p>
            <w:pPr>
              <w:pStyle w:val="TableNAm"/>
            </w:pPr>
            <w:r>
              <w:t>Hillarys</w:t>
            </w:r>
          </w:p>
        </w:tc>
        <w:tc>
          <w:tcPr>
            <w:tcW w:w="3406" w:type="dxa"/>
            <w:noWrap/>
          </w:tcPr>
          <w:p>
            <w:pPr>
              <w:pStyle w:val="TableNAm"/>
            </w:pPr>
            <w:r>
              <w:t>The area delineated in red and coloured blue on Deposited Plan 425728 version 2.</w:t>
            </w:r>
          </w:p>
        </w:tc>
      </w:tr>
      <w:tr>
        <w:tc>
          <w:tcPr>
            <w:tcW w:w="738" w:type="dxa"/>
            <w:noWrap/>
          </w:tcPr>
          <w:p>
            <w:pPr>
              <w:pStyle w:val="TableNAm"/>
            </w:pPr>
            <w:r>
              <w:t>3.</w:t>
            </w:r>
          </w:p>
        </w:tc>
        <w:tc>
          <w:tcPr>
            <w:tcW w:w="2689" w:type="dxa"/>
            <w:noWrap/>
          </w:tcPr>
          <w:p>
            <w:pPr>
              <w:pStyle w:val="TableNAm"/>
            </w:pPr>
            <w:r>
              <w:t>Mandurah</w:t>
            </w:r>
          </w:p>
        </w:tc>
        <w:tc>
          <w:tcPr>
            <w:tcW w:w="3406" w:type="dxa"/>
            <w:noWrap/>
          </w:tcPr>
          <w:p>
            <w:pPr>
              <w:pStyle w:val="TableNAm"/>
            </w:pPr>
            <w:r>
              <w:t>The area delineated in red and coloured blue on Deposited Plan 425729 version 1.</w:t>
            </w:r>
          </w:p>
        </w:tc>
      </w:tr>
      <w:tr>
        <w:tc>
          <w:tcPr>
            <w:tcW w:w="738" w:type="dxa"/>
            <w:noWrap/>
          </w:tcPr>
          <w:p>
            <w:pPr>
              <w:pStyle w:val="TableNAm"/>
            </w:pPr>
            <w:r>
              <w:t>4.</w:t>
            </w:r>
          </w:p>
        </w:tc>
        <w:tc>
          <w:tcPr>
            <w:tcW w:w="2689" w:type="dxa"/>
            <w:noWrap/>
          </w:tcPr>
          <w:p>
            <w:pPr>
              <w:pStyle w:val="TableNAm"/>
            </w:pPr>
            <w:r>
              <w:t>Perth and Northbridge</w:t>
            </w:r>
          </w:p>
        </w:tc>
        <w:tc>
          <w:tcPr>
            <w:tcW w:w="3406" w:type="dxa"/>
            <w:noWrap/>
          </w:tcPr>
          <w:p>
            <w:pPr>
              <w:pStyle w:val="TableNAm"/>
            </w:pPr>
            <w:r>
              <w:t>The area delineated in red and coloured blue on Deposited Plan 425730 version 1.</w:t>
            </w:r>
          </w:p>
        </w:tc>
      </w:tr>
      <w:tr>
        <w:tc>
          <w:tcPr>
            <w:tcW w:w="738" w:type="dxa"/>
            <w:noWrap/>
          </w:tcPr>
          <w:p>
            <w:pPr>
              <w:pStyle w:val="TableNAm"/>
            </w:pPr>
            <w:r>
              <w:t>5.</w:t>
            </w:r>
          </w:p>
        </w:tc>
        <w:tc>
          <w:tcPr>
            <w:tcW w:w="2689" w:type="dxa"/>
            <w:noWrap/>
          </w:tcPr>
          <w:p>
            <w:pPr>
              <w:pStyle w:val="TableNAm"/>
            </w:pPr>
            <w:r>
              <w:t>Scarborough</w:t>
            </w:r>
          </w:p>
        </w:tc>
        <w:tc>
          <w:tcPr>
            <w:tcW w:w="3406" w:type="dxa"/>
            <w:noWrap/>
          </w:tcPr>
          <w:p>
            <w:pPr>
              <w:pStyle w:val="TableNAm"/>
            </w:pPr>
            <w:r>
              <w:t>The area delineated in red and coloured blue on Deposited Plan 425731 version 1.</w:t>
            </w:r>
          </w:p>
        </w:tc>
      </w:tr>
    </w:tbl>
    <w:p>
      <w:pPr>
        <w:pStyle w:val="Subsection"/>
      </w:pPr>
      <w:r>
        <w:tab/>
        <w:t>(3)</w:t>
      </w:r>
      <w:r>
        <w:tab/>
        <w:t>An image of each deposited plan referred to in subregulation (2) is shown, for information purposes only, in Schedule 4.</w:t>
      </w:r>
    </w:p>
    <w:p>
      <w:pPr>
        <w:pStyle w:val="Footnotesection"/>
        <w:spacing w:before="100"/>
        <w:ind w:left="890" w:hanging="890"/>
      </w:pPr>
      <w:r>
        <w:tab/>
        <w:t>[Regulation 28 inserted: SL 2022/217 r. 6; amended: SL 2023/196 r. 11; SL 2025/9 r. 4.]</w:t>
      </w:r>
    </w:p>
    <w:p>
      <w:pPr>
        <w:pStyle w:val="Heading5"/>
      </w:pPr>
      <w:bookmarkStart w:id="106" w:name="_Toc188000786"/>
      <w:r>
        <w:rPr>
          <w:rStyle w:val="CharSectno"/>
        </w:rPr>
        <w:lastRenderedPageBreak/>
        <w:t>29</w:t>
      </w:r>
      <w:r>
        <w:t>.</w:t>
      </w:r>
      <w:r>
        <w:tab/>
        <w:t>Banned drinker areas (Act s. 175(1G))</w:t>
      </w:r>
      <w:bookmarkEnd w:id="106"/>
    </w:p>
    <w:p>
      <w:pPr>
        <w:pStyle w:val="Subsection"/>
      </w:pPr>
      <w:r>
        <w:tab/>
        <w:t>(1)</w:t>
      </w:r>
      <w:r>
        <w:tab/>
        <w:t>Each area of the State described in the Table, other than an area described in subregulation (2), is a banned drinker area.</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1701"/>
        <w:gridCol w:w="3402"/>
      </w:tblGrid>
      <w:tr>
        <w:trPr>
          <w:tblHeader/>
        </w:trPr>
        <w:tc>
          <w:tcPr>
            <w:tcW w:w="993" w:type="dxa"/>
          </w:tcPr>
          <w:p>
            <w:pPr>
              <w:pStyle w:val="TableNAm"/>
              <w:jc w:val="center"/>
              <w:rPr>
                <w:b/>
                <w:bCs/>
              </w:rPr>
            </w:pPr>
            <w:r>
              <w:rPr>
                <w:b/>
                <w:bCs/>
              </w:rPr>
              <w:t>Item</w:t>
            </w:r>
          </w:p>
        </w:tc>
        <w:tc>
          <w:tcPr>
            <w:tcW w:w="1701" w:type="dxa"/>
          </w:tcPr>
          <w:p>
            <w:pPr>
              <w:pStyle w:val="TableNAm"/>
              <w:jc w:val="center"/>
              <w:rPr>
                <w:b/>
                <w:bCs/>
              </w:rPr>
            </w:pPr>
            <w:r>
              <w:rPr>
                <w:b/>
                <w:bCs/>
              </w:rPr>
              <w:t xml:space="preserve">Banned drinker area </w:t>
            </w:r>
          </w:p>
        </w:tc>
        <w:tc>
          <w:tcPr>
            <w:tcW w:w="3402" w:type="dxa"/>
          </w:tcPr>
          <w:p>
            <w:pPr>
              <w:pStyle w:val="TableNAm"/>
              <w:jc w:val="center"/>
              <w:rPr>
                <w:b/>
                <w:bCs/>
              </w:rPr>
            </w:pPr>
            <w:r>
              <w:rPr>
                <w:b/>
                <w:bCs/>
              </w:rPr>
              <w:t xml:space="preserve">Area of the State </w:t>
            </w:r>
          </w:p>
        </w:tc>
      </w:tr>
      <w:tr>
        <w:tc>
          <w:tcPr>
            <w:tcW w:w="993" w:type="dxa"/>
          </w:tcPr>
          <w:p>
            <w:pPr>
              <w:pStyle w:val="TableNAm"/>
            </w:pPr>
            <w:r>
              <w:t>1.</w:t>
            </w:r>
          </w:p>
        </w:tc>
        <w:tc>
          <w:tcPr>
            <w:tcW w:w="1701" w:type="dxa"/>
          </w:tcPr>
          <w:p>
            <w:pPr>
              <w:pStyle w:val="TableNAm"/>
            </w:pPr>
            <w:r>
              <w:t xml:space="preserve">Carnarvon and surrounds </w:t>
            </w:r>
          </w:p>
        </w:tc>
        <w:tc>
          <w:tcPr>
            <w:tcW w:w="3402" w:type="dxa"/>
          </w:tcPr>
          <w:p>
            <w:pPr>
              <w:pStyle w:val="TableNAm"/>
            </w:pPr>
            <w:r>
              <w:t>The area delineated in blue and coloured blue on Deposited Plan 426604 version 1.</w:t>
            </w:r>
          </w:p>
        </w:tc>
      </w:tr>
      <w:tr>
        <w:tc>
          <w:tcPr>
            <w:tcW w:w="993" w:type="dxa"/>
          </w:tcPr>
          <w:p>
            <w:pPr>
              <w:pStyle w:val="TableNAm"/>
            </w:pPr>
            <w:r>
              <w:t>2.</w:t>
            </w:r>
          </w:p>
        </w:tc>
        <w:tc>
          <w:tcPr>
            <w:tcW w:w="1701" w:type="dxa"/>
          </w:tcPr>
          <w:p>
            <w:pPr>
              <w:pStyle w:val="TableNAm"/>
            </w:pPr>
            <w:r>
              <w:t xml:space="preserve">Kalgoorlie and surrounds </w:t>
            </w:r>
          </w:p>
        </w:tc>
        <w:tc>
          <w:tcPr>
            <w:tcW w:w="3402" w:type="dxa"/>
          </w:tcPr>
          <w:p>
            <w:pPr>
              <w:pStyle w:val="TableNAm"/>
              <w:rPr>
                <w:rStyle w:val="DraftersNotes"/>
              </w:rPr>
            </w:pPr>
            <w:r>
              <w:t>The area delineated in blue and coloured blue on Deposited Plan 426610 version 1.</w:t>
            </w:r>
          </w:p>
        </w:tc>
      </w:tr>
      <w:tr>
        <w:tc>
          <w:tcPr>
            <w:tcW w:w="993" w:type="dxa"/>
          </w:tcPr>
          <w:p>
            <w:pPr>
              <w:pStyle w:val="TableNAm"/>
            </w:pPr>
            <w:r>
              <w:t>3.</w:t>
            </w:r>
          </w:p>
        </w:tc>
        <w:tc>
          <w:tcPr>
            <w:tcW w:w="1701" w:type="dxa"/>
          </w:tcPr>
          <w:p>
            <w:pPr>
              <w:pStyle w:val="TableNAm"/>
            </w:pPr>
            <w:r>
              <w:t xml:space="preserve">Kimberley region </w:t>
            </w:r>
          </w:p>
        </w:tc>
        <w:tc>
          <w:tcPr>
            <w:tcW w:w="3402" w:type="dxa"/>
          </w:tcPr>
          <w:p>
            <w:pPr>
              <w:pStyle w:val="TableNAm"/>
              <w:rPr>
                <w:rStyle w:val="DraftersNotes"/>
              </w:rPr>
            </w:pPr>
            <w:r>
              <w:t xml:space="preserve">The area delineated in blue and coloured blue on Deposited Plan 426608 version 1. </w:t>
            </w:r>
          </w:p>
        </w:tc>
      </w:tr>
      <w:tr>
        <w:tc>
          <w:tcPr>
            <w:tcW w:w="993" w:type="dxa"/>
          </w:tcPr>
          <w:p>
            <w:pPr>
              <w:pStyle w:val="TableNAm"/>
            </w:pPr>
            <w:r>
              <w:t>4.</w:t>
            </w:r>
          </w:p>
        </w:tc>
        <w:tc>
          <w:tcPr>
            <w:tcW w:w="1701" w:type="dxa"/>
          </w:tcPr>
          <w:p>
            <w:pPr>
              <w:pStyle w:val="TableNAm"/>
            </w:pPr>
            <w:r>
              <w:t xml:space="preserve">Pilbara region </w:t>
            </w:r>
          </w:p>
        </w:tc>
        <w:tc>
          <w:tcPr>
            <w:tcW w:w="3402" w:type="dxa"/>
          </w:tcPr>
          <w:p>
            <w:pPr>
              <w:pStyle w:val="TableNAm"/>
              <w:rPr>
                <w:rStyle w:val="DraftersNotes"/>
              </w:rPr>
            </w:pPr>
            <w:r>
              <w:t xml:space="preserve">The area delineated in blue and coloured blue on Deposited Plan 426609 version 1. </w:t>
            </w:r>
          </w:p>
        </w:tc>
      </w:tr>
    </w:tbl>
    <w:p>
      <w:pPr>
        <w:pStyle w:val="Subsection"/>
      </w:pPr>
      <w:r>
        <w:tab/>
        <w:t>(2)</w:t>
      </w:r>
      <w:r>
        <w:tab/>
        <w:t>For the purposes of subregulation (1), the area is an area in relation to which a special facility licence has been granted in accordance with regulation 9A(1).</w:t>
      </w:r>
    </w:p>
    <w:p>
      <w:pPr>
        <w:pStyle w:val="Footnotesection"/>
      </w:pPr>
      <w:r>
        <w:tab/>
        <w:t>[Regulation 29 inserted: SL 2023/196 r. 12.]</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07" w:name="_Toc187996503"/>
      <w:bookmarkStart w:id="108" w:name="_Toc187997537"/>
      <w:bookmarkStart w:id="109" w:name="_Toc188000787"/>
      <w:r>
        <w:rPr>
          <w:rStyle w:val="CharSchNo"/>
        </w:rPr>
        <w:lastRenderedPageBreak/>
        <w:t>Schedule 1</w:t>
      </w:r>
      <w:bookmarkEnd w:id="107"/>
      <w:bookmarkEnd w:id="108"/>
      <w:bookmarkEnd w:id="109"/>
    </w:p>
    <w:p>
      <w:pPr>
        <w:pStyle w:val="yShoulderClause"/>
        <w:spacing w:before="60"/>
        <w:rPr>
          <w:snapToGrid w:val="0"/>
        </w:rPr>
      </w:pPr>
      <w:r>
        <w:rPr>
          <w:snapToGrid w:val="0"/>
        </w:rPr>
        <w:t>[Regulation 3]</w:t>
      </w:r>
    </w:p>
    <w:p>
      <w:pPr>
        <w:pStyle w:val="yHeading2"/>
        <w:outlineLvl w:val="9"/>
      </w:pPr>
      <w:bookmarkStart w:id="110" w:name="_Toc187996504"/>
      <w:bookmarkStart w:id="111" w:name="_Toc187997538"/>
      <w:bookmarkStart w:id="112" w:name="_Toc188000788"/>
      <w:r>
        <w:rPr>
          <w:rStyle w:val="CharSchText"/>
        </w:rPr>
        <w:t>Forms</w:t>
      </w:r>
      <w:bookmarkEnd w:id="110"/>
      <w:bookmarkEnd w:id="111"/>
      <w:bookmarkEnd w:id="112"/>
    </w:p>
    <w:p>
      <w:pPr>
        <w:pStyle w:val="yEdnotedivision"/>
      </w:pPr>
      <w:r>
        <w:t>[Forms 1</w:t>
      </w:r>
      <w:r>
        <w:noBreakHyphen/>
        <w:t>18 deleted: Gazette 1 May 2007 p. 1887.]</w:t>
      </w:r>
    </w:p>
    <w:p>
      <w:pPr>
        <w:pStyle w:val="yMiscellaneousBody"/>
        <w:jc w:val="center"/>
      </w:pPr>
      <w:r>
        <w:rPr>
          <w:rStyle w:val="CharSClsNo"/>
          <w:b/>
        </w:rPr>
        <w:t>Form 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1</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lastRenderedPageBreak/>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Gazette 9 Jul 2004 p. 2774</w:t>
      </w:r>
      <w:r>
        <w:noBreakHyphen/>
        <w:t>5.]</w:t>
      </w:r>
    </w:p>
    <w:p>
      <w:pPr>
        <w:pStyle w:val="yMiscellaneousBody"/>
        <w:pageBreakBefore/>
        <w:jc w:val="center"/>
      </w:pPr>
      <w:r>
        <w:rPr>
          <w:rStyle w:val="CharSClsNo"/>
          <w:b/>
        </w:rPr>
        <w:lastRenderedPageBreak/>
        <w:t>Form 19A</w:t>
      </w:r>
    </w:p>
    <w:p>
      <w:pPr>
        <w:pStyle w:val="yMiscellaneousHeading"/>
        <w:rPr>
          <w:iCs/>
          <w:snapToGrid w:val="0"/>
          <w:sz w:val="20"/>
        </w:rPr>
      </w:pPr>
      <w:r>
        <w:rPr>
          <w:i/>
          <w:iCs/>
          <w:snapToGrid w:val="0"/>
          <w:sz w:val="20"/>
        </w:rPr>
        <w:t>Liquor Control Act 1988 </w:t>
      </w:r>
      <w:r>
        <w:rPr>
          <w:snapToGrid w:val="0"/>
          <w:sz w:val="20"/>
          <w:vertAlign w:val="superscript"/>
        </w:rPr>
        <w:t>1</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lastRenderedPageBreak/>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Gazette 9 Jul 2004 p. 2776</w:t>
      </w:r>
      <w:r>
        <w:noBreakHyphen/>
        <w:t>7.]</w:t>
      </w:r>
    </w:p>
    <w:p>
      <w:pPr>
        <w:pStyle w:val="yMiscellaneousBody"/>
        <w:pageBreakBefore/>
        <w:jc w:val="center"/>
        <w:rPr>
          <w:b/>
          <w:bCs/>
          <w:snapToGrid w:val="0"/>
        </w:rPr>
      </w:pPr>
      <w:r>
        <w:rPr>
          <w:rStyle w:val="CharSClsNo"/>
          <w:b/>
        </w:rPr>
        <w:lastRenderedPageBreak/>
        <w:t>Form 20</w:t>
      </w:r>
    </w:p>
    <w:p>
      <w:pPr>
        <w:pStyle w:val="yMiscellaneousHeading"/>
        <w:keepLines/>
        <w:rPr>
          <w:iCs/>
          <w:snapToGrid w:val="0"/>
          <w:sz w:val="20"/>
        </w:rPr>
      </w:pPr>
      <w:r>
        <w:rPr>
          <w:i/>
          <w:iCs/>
          <w:snapToGrid w:val="0"/>
          <w:sz w:val="20"/>
        </w:rPr>
        <w:t>Liquor Control Act 1988</w:t>
      </w:r>
      <w:r>
        <w:rPr>
          <w:snapToGrid w:val="0"/>
          <w:sz w:val="20"/>
          <w:vertAlign w:val="superscript"/>
        </w:rPr>
        <w:t> 1</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1</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Gazette 28 Sep 2007 p. 4930</w:t>
      </w:r>
      <w:r>
        <w:noBreakHyphen/>
        <w:t>1.]</w:t>
      </w:r>
    </w:p>
    <w:p>
      <w:pPr>
        <w:pStyle w:val="yEdnotesection"/>
        <w:spacing w:before="120"/>
      </w:pPr>
      <w:r>
        <w:t>[Forms 21 and 22 deleted: Gazette 2 Oct 2018 p. 3801.]</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pPr>
        <w:pStyle w:val="yScheduleHeading"/>
      </w:pPr>
      <w:bookmarkStart w:id="113" w:name="_Toc187996505"/>
      <w:bookmarkStart w:id="114" w:name="_Toc187997539"/>
      <w:bookmarkStart w:id="115" w:name="_Toc188000789"/>
      <w:r>
        <w:rPr>
          <w:rStyle w:val="CharSchNo"/>
        </w:rPr>
        <w:lastRenderedPageBreak/>
        <w:t>Schedule 2</w:t>
      </w:r>
      <w:bookmarkEnd w:id="113"/>
      <w:bookmarkEnd w:id="114"/>
      <w:bookmarkEnd w:id="115"/>
    </w:p>
    <w:p>
      <w:pPr>
        <w:pStyle w:val="yShoulderClause"/>
        <w:spacing w:before="60"/>
        <w:rPr>
          <w:snapToGrid w:val="0"/>
        </w:rPr>
      </w:pPr>
      <w:r>
        <w:rPr>
          <w:snapToGrid w:val="0"/>
        </w:rPr>
        <w:t>[Regulation 13]</w:t>
      </w:r>
    </w:p>
    <w:p>
      <w:pPr>
        <w:pStyle w:val="yHeading2"/>
        <w:spacing w:before="120" w:after="80"/>
      </w:pPr>
      <w:bookmarkStart w:id="116" w:name="_Toc187996506"/>
      <w:bookmarkStart w:id="117" w:name="_Toc187997540"/>
      <w:bookmarkStart w:id="118" w:name="_Toc188000790"/>
      <w:r>
        <w:rPr>
          <w:rStyle w:val="CharSchText"/>
        </w:rPr>
        <w:t>Details of applicant</w:t>
      </w:r>
      <w:bookmarkEnd w:id="116"/>
      <w:bookmarkEnd w:id="117"/>
      <w:bookmarkEnd w:id="118"/>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Gazette 22 May 1998 p. 2944; 6 Oct 1998 p. 5567; 28 Sep 2001 p. 5357</w:t>
      </w:r>
      <w:r>
        <w:noBreakHyphen/>
        <w:t>8; 30 Jun 2003 p. 2612; 24 Oct 2008 p. 4683</w:t>
      </w:r>
      <w:r>
        <w:noBreakHyphen/>
        <w:t>4.]</w:t>
      </w:r>
    </w:p>
    <w:p>
      <w:pPr>
        <w:pStyle w:val="yScheduleHeading"/>
      </w:pPr>
      <w:bookmarkStart w:id="119" w:name="_Toc187996507"/>
      <w:bookmarkStart w:id="120" w:name="_Toc187997541"/>
      <w:bookmarkStart w:id="121" w:name="_Toc188000791"/>
      <w:r>
        <w:rPr>
          <w:rStyle w:val="CharSchNo"/>
        </w:rPr>
        <w:lastRenderedPageBreak/>
        <w:t>Schedule 3</w:t>
      </w:r>
      <w:r>
        <w:t xml:space="preserve"> — </w:t>
      </w:r>
      <w:r>
        <w:rPr>
          <w:rStyle w:val="CharSchText"/>
        </w:rPr>
        <w:t>Fees</w:t>
      </w:r>
      <w:bookmarkEnd w:id="119"/>
      <w:bookmarkEnd w:id="120"/>
      <w:bookmarkEnd w:id="121"/>
    </w:p>
    <w:p>
      <w:pPr>
        <w:pStyle w:val="yShoulderClause"/>
      </w:pPr>
      <w:r>
        <w:t>[r. 11, 14ADF, 18B, 26 and 27A]</w:t>
      </w:r>
    </w:p>
    <w:p>
      <w:pPr>
        <w:pStyle w:val="yFootnoteheading"/>
      </w:pPr>
      <w:r>
        <w:tab/>
        <w:t>[Heading inserted: SL 2024/213 r. 14.]</w:t>
      </w:r>
    </w:p>
    <w:tbl>
      <w:tblPr>
        <w:tblW w:w="679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46"/>
        <w:gridCol w:w="4819"/>
        <w:gridCol w:w="1134"/>
      </w:tblGrid>
      <w:tr>
        <w:trPr>
          <w:tblHeader/>
        </w:trPr>
        <w:tc>
          <w:tcPr>
            <w:tcW w:w="846" w:type="dxa"/>
            <w:tcBorders>
              <w:top w:val="single" w:sz="4" w:space="0" w:color="auto"/>
              <w:left w:val="single" w:sz="4" w:space="0" w:color="auto"/>
              <w:bottom w:val="single" w:sz="4" w:space="0" w:color="auto"/>
              <w:right w:val="single" w:sz="4" w:space="0" w:color="auto"/>
            </w:tcBorders>
          </w:tcPr>
          <w:p>
            <w:pPr>
              <w:pStyle w:val="yTableNAm"/>
              <w:jc w:val="center"/>
              <w:rPr>
                <w:b/>
                <w:bCs/>
              </w:rPr>
            </w:pPr>
            <w:r>
              <w:rPr>
                <w:b/>
                <w:bCs/>
              </w:rPr>
              <w:t>Item</w:t>
            </w:r>
          </w:p>
        </w:tc>
        <w:tc>
          <w:tcPr>
            <w:tcW w:w="4819" w:type="dxa"/>
            <w:tcBorders>
              <w:left w:val="single" w:sz="4" w:space="0" w:color="auto"/>
            </w:tcBorders>
          </w:tcPr>
          <w:p>
            <w:pPr>
              <w:pStyle w:val="yTableNAm"/>
              <w:jc w:val="center"/>
              <w:rPr>
                <w:b/>
                <w:bCs/>
              </w:rPr>
            </w:pPr>
            <w:r>
              <w:rPr>
                <w:b/>
                <w:bCs/>
              </w:rPr>
              <w:t>Description</w:t>
            </w:r>
          </w:p>
        </w:tc>
        <w:tc>
          <w:tcPr>
            <w:tcW w:w="1134" w:type="dxa"/>
          </w:tcPr>
          <w:p>
            <w:pPr>
              <w:pStyle w:val="yTableNAm"/>
              <w:jc w:val="center"/>
              <w:rPr>
                <w:b/>
                <w:bCs/>
              </w:rPr>
            </w:pPr>
            <w:r>
              <w:rPr>
                <w:b/>
                <w:bCs/>
              </w:rPr>
              <w:t>Fee</w:t>
            </w:r>
            <w:r>
              <w:rPr>
                <w:b/>
                <w:bCs/>
              </w:rPr>
              <w:br/>
              <w:t>$</w:t>
            </w:r>
          </w:p>
        </w:tc>
      </w:tr>
      <w:tr>
        <w:tc>
          <w:tcPr>
            <w:tcW w:w="846" w:type="dxa"/>
            <w:tcBorders>
              <w:top w:val="single" w:sz="4" w:space="0" w:color="auto"/>
            </w:tcBorders>
          </w:tcPr>
          <w:p>
            <w:pPr>
              <w:pStyle w:val="yTableNAm"/>
            </w:pPr>
            <w:r>
              <w:t>1.</w:t>
            </w:r>
          </w:p>
        </w:tc>
        <w:tc>
          <w:tcPr>
            <w:tcW w:w="4819" w:type="dxa"/>
          </w:tcPr>
          <w:p>
            <w:pPr>
              <w:pStyle w:val="yTableNAm"/>
            </w:pPr>
            <w:r>
              <w:t>Application for the grant or removal of a hotel licence, nightclub licence, casino liquor licence, special facility licence or liquor store licence</w:t>
            </w:r>
          </w:p>
        </w:tc>
        <w:tc>
          <w:tcPr>
            <w:tcW w:w="1134" w:type="dxa"/>
            <w:vAlign w:val="bottom"/>
          </w:tcPr>
          <w:p>
            <w:pPr>
              <w:pStyle w:val="yTableNAm"/>
              <w:jc w:val="right"/>
            </w:pPr>
            <w:r>
              <w:t>4 029.00</w:t>
            </w:r>
          </w:p>
        </w:tc>
      </w:tr>
      <w:tr>
        <w:tc>
          <w:tcPr>
            <w:tcW w:w="846" w:type="dxa"/>
          </w:tcPr>
          <w:p>
            <w:pPr>
              <w:pStyle w:val="yTableNAm"/>
            </w:pPr>
            <w:r>
              <w:t>2.</w:t>
            </w:r>
          </w:p>
        </w:tc>
        <w:tc>
          <w:tcPr>
            <w:tcW w:w="4819" w:type="dxa"/>
          </w:tcPr>
          <w:p>
            <w:pPr>
              <w:pStyle w:val="yTableNAm"/>
            </w:pPr>
            <w:r>
              <w:t>Application for the grant or removal of a small bar licence, club licence, restaurant licence, producer’s licence or wholesaler’s licence</w:t>
            </w:r>
          </w:p>
        </w:tc>
        <w:tc>
          <w:tcPr>
            <w:tcW w:w="1134" w:type="dxa"/>
            <w:vAlign w:val="bottom"/>
          </w:tcPr>
          <w:p>
            <w:pPr>
              <w:pStyle w:val="yTableNAm"/>
              <w:jc w:val="right"/>
            </w:pPr>
            <w:r>
              <w:t>1 033.00</w:t>
            </w:r>
          </w:p>
        </w:tc>
      </w:tr>
      <w:tr>
        <w:trPr>
          <w:cantSplit/>
        </w:trPr>
        <w:tc>
          <w:tcPr>
            <w:tcW w:w="846" w:type="dxa"/>
          </w:tcPr>
          <w:p>
            <w:pPr>
              <w:pStyle w:val="yTableNAm"/>
            </w:pPr>
            <w:r>
              <w:t>3.</w:t>
            </w:r>
          </w:p>
        </w:tc>
        <w:tc>
          <w:tcPr>
            <w:tcW w:w="4819" w:type="dxa"/>
          </w:tcPr>
          <w:p>
            <w:pPr>
              <w:pStyle w:val="yTableNAm"/>
            </w:pPr>
            <w:r>
              <w:t>Application for the transfer of a licence</w:t>
            </w:r>
          </w:p>
        </w:tc>
        <w:tc>
          <w:tcPr>
            <w:tcW w:w="1134" w:type="dxa"/>
            <w:vAlign w:val="bottom"/>
          </w:tcPr>
          <w:p>
            <w:pPr>
              <w:pStyle w:val="yTableNAm"/>
              <w:jc w:val="right"/>
            </w:pPr>
            <w:r>
              <w:t>989.00</w:t>
            </w:r>
          </w:p>
        </w:tc>
      </w:tr>
      <w:tr>
        <w:trPr>
          <w:cantSplit/>
        </w:trPr>
        <w:tc>
          <w:tcPr>
            <w:tcW w:w="846" w:type="dxa"/>
          </w:tcPr>
          <w:p>
            <w:pPr>
              <w:pStyle w:val="yTableNAm"/>
            </w:pPr>
            <w:r>
              <w:t>4.</w:t>
            </w:r>
          </w:p>
        </w:tc>
        <w:tc>
          <w:tcPr>
            <w:tcW w:w="4819" w:type="dxa"/>
          </w:tcPr>
          <w:p>
            <w:pPr>
              <w:pStyle w:val="yTableNAm"/>
            </w:pPr>
            <w:r>
              <w:t>Licence fee for any licence other than a club restricted licence</w:t>
            </w:r>
          </w:p>
        </w:tc>
        <w:tc>
          <w:tcPr>
            <w:tcW w:w="1134" w:type="dxa"/>
            <w:vAlign w:val="bottom"/>
          </w:tcPr>
          <w:p>
            <w:pPr>
              <w:pStyle w:val="yTableNAm"/>
              <w:jc w:val="right"/>
            </w:pPr>
            <w:r>
              <w:t>680.50</w:t>
            </w:r>
          </w:p>
        </w:tc>
      </w:tr>
      <w:tr>
        <w:trPr>
          <w:cantSplit/>
        </w:trPr>
        <w:tc>
          <w:tcPr>
            <w:tcW w:w="846" w:type="dxa"/>
          </w:tcPr>
          <w:p>
            <w:pPr>
              <w:pStyle w:val="yTableNAm"/>
            </w:pPr>
            <w:r>
              <w:t>5.</w:t>
            </w:r>
          </w:p>
        </w:tc>
        <w:tc>
          <w:tcPr>
            <w:tcW w:w="4819" w:type="dxa"/>
          </w:tcPr>
          <w:p>
            <w:pPr>
              <w:pStyle w:val="yTableNAm"/>
            </w:pPr>
            <w:r>
              <w:t>Licence fee for a club restricted licence</w:t>
            </w:r>
          </w:p>
        </w:tc>
        <w:tc>
          <w:tcPr>
            <w:tcW w:w="1134" w:type="dxa"/>
            <w:vAlign w:val="bottom"/>
          </w:tcPr>
          <w:p>
            <w:pPr>
              <w:pStyle w:val="yTableNAm"/>
              <w:jc w:val="right"/>
            </w:pPr>
            <w:r>
              <w:t>334.00</w:t>
            </w:r>
          </w:p>
        </w:tc>
      </w:tr>
      <w:tr>
        <w:trPr>
          <w:cantSplit/>
        </w:trPr>
        <w:tc>
          <w:tcPr>
            <w:tcW w:w="846" w:type="dxa"/>
            <w:tcBorders>
              <w:bottom w:val="nil"/>
            </w:tcBorders>
          </w:tcPr>
          <w:p>
            <w:pPr>
              <w:pStyle w:val="yTableNAm"/>
            </w:pPr>
            <w:r>
              <w:t>6.</w:t>
            </w:r>
          </w:p>
        </w:tc>
        <w:tc>
          <w:tcPr>
            <w:tcW w:w="4819" w:type="dxa"/>
            <w:tcBorders>
              <w:bottom w:val="nil"/>
            </w:tcBorders>
          </w:tcPr>
          <w:p>
            <w:pPr>
              <w:pStyle w:val="yTableNAm"/>
            </w:pPr>
            <w:r>
              <w:t xml:space="preserve">Application for an occasional licence if the anticipated number of patrons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up to 250</w:t>
            </w:r>
          </w:p>
        </w:tc>
        <w:tc>
          <w:tcPr>
            <w:tcW w:w="1134" w:type="dxa"/>
            <w:tcBorders>
              <w:top w:val="nil"/>
              <w:bottom w:val="nil"/>
            </w:tcBorders>
            <w:vAlign w:val="bottom"/>
          </w:tcPr>
          <w:p>
            <w:pPr>
              <w:pStyle w:val="yTableNAm"/>
              <w:jc w:val="right"/>
            </w:pPr>
            <w:r>
              <w:rPr>
                <w:szCs w:val="22"/>
              </w:rPr>
              <w:t>60.50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between 251 and 500</w:t>
            </w:r>
          </w:p>
        </w:tc>
        <w:tc>
          <w:tcPr>
            <w:tcW w:w="1134" w:type="dxa"/>
            <w:tcBorders>
              <w:top w:val="nil"/>
              <w:bottom w:val="nil"/>
            </w:tcBorders>
            <w:vAlign w:val="bottom"/>
          </w:tcPr>
          <w:p>
            <w:pPr>
              <w:pStyle w:val="yTableNAm"/>
              <w:jc w:val="right"/>
            </w:pPr>
            <w:r>
              <w:rPr>
                <w:szCs w:val="22"/>
              </w:rPr>
              <w:t>126.50</w:t>
            </w:r>
          </w:p>
        </w:tc>
      </w:tr>
      <w:tr>
        <w:trPr>
          <w:cantSplit/>
        </w:trPr>
        <w:tc>
          <w:tcPr>
            <w:tcW w:w="846" w:type="dxa"/>
            <w:tcBorders>
              <w:top w:val="nil"/>
              <w:bottom w:val="nil"/>
            </w:tcBorders>
          </w:tcPr>
          <w:p/>
        </w:tc>
        <w:tc>
          <w:tcPr>
            <w:tcW w:w="4819" w:type="dxa"/>
            <w:tcBorders>
              <w:top w:val="nil"/>
              <w:bottom w:val="nil"/>
            </w:tcBorders>
          </w:tcPr>
          <w:p>
            <w:pPr>
              <w:pStyle w:val="yTableNAm"/>
            </w:pPr>
            <w:r>
              <w:t>(c)</w:t>
            </w:r>
            <w:r>
              <w:tab/>
              <w:t>between 501 and 1 000</w:t>
            </w:r>
          </w:p>
        </w:tc>
        <w:tc>
          <w:tcPr>
            <w:tcW w:w="1134" w:type="dxa"/>
            <w:tcBorders>
              <w:top w:val="nil"/>
              <w:bottom w:val="nil"/>
            </w:tcBorders>
            <w:vAlign w:val="bottom"/>
          </w:tcPr>
          <w:p>
            <w:pPr>
              <w:pStyle w:val="yTableNAm"/>
              <w:jc w:val="right"/>
            </w:pPr>
            <w:r>
              <w:rPr>
                <w:szCs w:val="22"/>
              </w:rPr>
              <w:t>260.50</w:t>
            </w:r>
          </w:p>
        </w:tc>
      </w:tr>
      <w:tr>
        <w:trPr>
          <w:cantSplit/>
        </w:trPr>
        <w:tc>
          <w:tcPr>
            <w:tcW w:w="846" w:type="dxa"/>
            <w:tcBorders>
              <w:top w:val="nil"/>
              <w:bottom w:val="nil"/>
            </w:tcBorders>
          </w:tcPr>
          <w:p/>
        </w:tc>
        <w:tc>
          <w:tcPr>
            <w:tcW w:w="4819" w:type="dxa"/>
            <w:tcBorders>
              <w:top w:val="nil"/>
              <w:bottom w:val="nil"/>
            </w:tcBorders>
          </w:tcPr>
          <w:p>
            <w:pPr>
              <w:pStyle w:val="yTableNAm"/>
            </w:pPr>
            <w:r>
              <w:t>(d)</w:t>
            </w:r>
            <w:r>
              <w:tab/>
              <w:t>between 1 001 and 5 000</w:t>
            </w:r>
          </w:p>
        </w:tc>
        <w:tc>
          <w:tcPr>
            <w:tcW w:w="1134" w:type="dxa"/>
            <w:tcBorders>
              <w:top w:val="nil"/>
              <w:bottom w:val="nil"/>
            </w:tcBorders>
            <w:vAlign w:val="bottom"/>
          </w:tcPr>
          <w:p>
            <w:pPr>
              <w:pStyle w:val="yTableNAm"/>
              <w:jc w:val="right"/>
            </w:pPr>
            <w:r>
              <w:rPr>
                <w:szCs w:val="22"/>
              </w:rPr>
              <w:t>1 324.00</w:t>
            </w:r>
          </w:p>
        </w:tc>
      </w:tr>
      <w:tr>
        <w:trPr>
          <w:cantSplit/>
        </w:trPr>
        <w:tc>
          <w:tcPr>
            <w:tcW w:w="846" w:type="dxa"/>
            <w:tcBorders>
              <w:top w:val="nil"/>
              <w:bottom w:val="nil"/>
            </w:tcBorders>
          </w:tcPr>
          <w:p/>
        </w:tc>
        <w:tc>
          <w:tcPr>
            <w:tcW w:w="4819" w:type="dxa"/>
            <w:tcBorders>
              <w:top w:val="nil"/>
              <w:bottom w:val="nil"/>
            </w:tcBorders>
          </w:tcPr>
          <w:p>
            <w:pPr>
              <w:pStyle w:val="yTableNAm"/>
            </w:pPr>
            <w:r>
              <w:t>(e)</w:t>
            </w:r>
            <w:r>
              <w:tab/>
              <w:t>between 5 001 and 10 000</w:t>
            </w:r>
          </w:p>
        </w:tc>
        <w:tc>
          <w:tcPr>
            <w:tcW w:w="1134" w:type="dxa"/>
            <w:tcBorders>
              <w:top w:val="nil"/>
              <w:bottom w:val="nil"/>
            </w:tcBorders>
            <w:vAlign w:val="bottom"/>
          </w:tcPr>
          <w:p>
            <w:pPr>
              <w:pStyle w:val="yTableNAm"/>
              <w:jc w:val="right"/>
            </w:pPr>
            <w:r>
              <w:rPr>
                <w:szCs w:val="22"/>
              </w:rPr>
              <w:t>2 653.00</w:t>
            </w:r>
          </w:p>
        </w:tc>
      </w:tr>
      <w:tr>
        <w:trPr>
          <w:cantSplit/>
        </w:trPr>
        <w:tc>
          <w:tcPr>
            <w:tcW w:w="846" w:type="dxa"/>
            <w:tcBorders>
              <w:top w:val="nil"/>
            </w:tcBorders>
          </w:tcPr>
          <w:p/>
        </w:tc>
        <w:tc>
          <w:tcPr>
            <w:tcW w:w="4819" w:type="dxa"/>
            <w:tcBorders>
              <w:top w:val="nil"/>
            </w:tcBorders>
          </w:tcPr>
          <w:p>
            <w:pPr>
              <w:pStyle w:val="yTableNAm"/>
            </w:pPr>
            <w:r>
              <w:t>(f)</w:t>
            </w:r>
            <w:r>
              <w:tab/>
              <w:t>over 10 000</w:t>
            </w:r>
          </w:p>
        </w:tc>
        <w:tc>
          <w:tcPr>
            <w:tcW w:w="1134" w:type="dxa"/>
            <w:tcBorders>
              <w:top w:val="nil"/>
            </w:tcBorders>
            <w:vAlign w:val="bottom"/>
          </w:tcPr>
          <w:p>
            <w:pPr>
              <w:pStyle w:val="yTableNAm"/>
              <w:jc w:val="right"/>
            </w:pPr>
            <w:r>
              <w:rPr>
                <w:szCs w:val="22"/>
              </w:rPr>
              <w:t>5 319.00</w:t>
            </w:r>
          </w:p>
        </w:tc>
      </w:tr>
      <w:tr>
        <w:trPr>
          <w:cantSplit/>
        </w:trPr>
        <w:tc>
          <w:tcPr>
            <w:tcW w:w="846" w:type="dxa"/>
            <w:tcBorders>
              <w:bottom w:val="nil"/>
            </w:tcBorders>
          </w:tcPr>
          <w:p>
            <w:pPr>
              <w:pStyle w:val="yTableNAm"/>
              <w:keepNext/>
            </w:pPr>
            <w:r>
              <w:lastRenderedPageBreak/>
              <w:t>7.</w:t>
            </w:r>
          </w:p>
        </w:tc>
        <w:tc>
          <w:tcPr>
            <w:tcW w:w="4819" w:type="dxa"/>
            <w:tcBorders>
              <w:bottom w:val="nil"/>
            </w:tcBorders>
          </w:tcPr>
          <w:p>
            <w:pPr>
              <w:pStyle w:val="yTableNAm"/>
              <w:keepNext/>
            </w:pPr>
            <w:r>
              <w:t xml:space="preserve">Application for extended trading permit for a period of over 21 days — </w:t>
            </w:r>
          </w:p>
        </w:tc>
        <w:tc>
          <w:tcPr>
            <w:tcW w:w="1134" w:type="dxa"/>
            <w:tcBorders>
              <w:bottom w:val="nil"/>
            </w:tcBorders>
            <w:vAlign w:val="bottom"/>
          </w:tcPr>
          <w:p>
            <w:pPr>
              <w:pStyle w:val="yTableNAm"/>
              <w:keepNext/>
              <w:jc w:val="right"/>
            </w:pPr>
          </w:p>
        </w:tc>
      </w:tr>
      <w:tr>
        <w:trPr>
          <w:cantSplit/>
        </w:trPr>
        <w:tc>
          <w:tcPr>
            <w:tcW w:w="846" w:type="dxa"/>
            <w:tcBorders>
              <w:top w:val="nil"/>
              <w:bottom w:val="single" w:sz="4" w:space="0" w:color="auto"/>
            </w:tcBorders>
          </w:tcPr>
          <w:p/>
        </w:tc>
        <w:tc>
          <w:tcPr>
            <w:tcW w:w="4819" w:type="dxa"/>
            <w:tcBorders>
              <w:top w:val="nil"/>
              <w:bottom w:val="single" w:sz="4" w:space="0" w:color="auto"/>
            </w:tcBorders>
          </w:tcPr>
          <w:p>
            <w:pPr>
              <w:pStyle w:val="yTableNAm"/>
              <w:ind w:left="567" w:hanging="567"/>
            </w:pPr>
            <w:r>
              <w:t>(a)</w:t>
            </w:r>
            <w:r>
              <w:tab/>
              <w:t>issued for the purpose referred to in section 60(4)(e)</w:t>
            </w:r>
          </w:p>
        </w:tc>
        <w:tc>
          <w:tcPr>
            <w:tcW w:w="1134" w:type="dxa"/>
            <w:tcBorders>
              <w:top w:val="nil"/>
              <w:bottom w:val="single" w:sz="4" w:space="0" w:color="auto"/>
            </w:tcBorders>
            <w:vAlign w:val="bottom"/>
          </w:tcPr>
          <w:p>
            <w:pPr>
              <w:pStyle w:val="yTableNAm"/>
              <w:jc w:val="right"/>
            </w:pPr>
            <w:r>
              <w:rPr>
                <w:szCs w:val="22"/>
              </w:rPr>
              <w:t>404.50</w:t>
            </w:r>
          </w:p>
        </w:tc>
      </w:tr>
      <w:tr>
        <w:trPr>
          <w:cantSplit/>
        </w:trPr>
        <w:tc>
          <w:tcPr>
            <w:tcW w:w="846" w:type="dxa"/>
            <w:tcBorders>
              <w:top w:val="single" w:sz="4" w:space="0" w:color="auto"/>
              <w:bottom w:val="nil"/>
            </w:tcBorders>
          </w:tcPr>
          <w:p/>
        </w:tc>
        <w:tc>
          <w:tcPr>
            <w:tcW w:w="4819" w:type="dxa"/>
            <w:tcBorders>
              <w:top w:val="single" w:sz="4" w:space="0" w:color="auto"/>
              <w:bottom w:val="nil"/>
            </w:tcBorders>
          </w:tcPr>
          <w:p>
            <w:pPr>
              <w:pStyle w:val="yTableNAm"/>
              <w:ind w:left="567" w:hanging="567"/>
            </w:pPr>
            <w:r>
              <w:t>(b)</w:t>
            </w:r>
            <w:r>
              <w:tab/>
              <w:t>issued for the purpose referred to in section 60(4)(h)</w:t>
            </w:r>
          </w:p>
        </w:tc>
        <w:tc>
          <w:tcPr>
            <w:tcW w:w="1134" w:type="dxa"/>
            <w:tcBorders>
              <w:top w:val="single" w:sz="4" w:space="0" w:color="auto"/>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 xml:space="preserve">issued for the purpose referred to in section 60(4)(ia)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if no previous application for that purpose has been made by any licensee in respect of the relevant premises</w:t>
            </w:r>
          </w:p>
        </w:tc>
        <w:tc>
          <w:tcPr>
            <w:tcW w:w="1134" w:type="dxa"/>
            <w:tcBorders>
              <w:top w:val="nil"/>
              <w:bottom w:val="nil"/>
            </w:tcBorders>
            <w:vAlign w:val="bottom"/>
          </w:tcPr>
          <w:p>
            <w:pPr>
              <w:pStyle w:val="yTableNAm"/>
              <w:jc w:val="right"/>
            </w:pPr>
            <w:r>
              <w:t>404.50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if subparagraph (i) does not apply</w:t>
            </w:r>
          </w:p>
        </w:tc>
        <w:tc>
          <w:tcPr>
            <w:tcW w:w="1134" w:type="dxa"/>
            <w:tcBorders>
              <w:top w:val="nil"/>
              <w:bottom w:val="nil"/>
            </w:tcBorders>
            <w:vAlign w:val="bottom"/>
          </w:tcPr>
          <w:p>
            <w:pPr>
              <w:pStyle w:val="yTableNAm"/>
              <w:jc w:val="right"/>
            </w:pPr>
            <w:r>
              <w:t>340.50</w:t>
            </w:r>
          </w:p>
        </w:tc>
      </w:tr>
      <w:tr>
        <w:trPr>
          <w:cantSplit/>
        </w:trPr>
        <w:tc>
          <w:tcPr>
            <w:tcW w:w="846" w:type="dxa"/>
            <w:tcBorders>
              <w:top w:val="nil"/>
            </w:tcBorders>
          </w:tcPr>
          <w:p/>
        </w:tc>
        <w:tc>
          <w:tcPr>
            <w:tcW w:w="4819" w:type="dxa"/>
            <w:tcBorders>
              <w:top w:val="nil"/>
            </w:tcBorders>
          </w:tcPr>
          <w:p>
            <w:pPr>
              <w:pStyle w:val="yTableNAm"/>
              <w:ind w:left="567" w:hanging="567"/>
              <w:rPr>
                <w:szCs w:val="22"/>
              </w:rPr>
            </w:pPr>
            <w:r>
              <w:rPr>
                <w:szCs w:val="22"/>
              </w:rPr>
              <w:t>(d)</w:t>
            </w:r>
            <w:r>
              <w:rPr>
                <w:szCs w:val="22"/>
              </w:rPr>
              <w:tab/>
              <w:t xml:space="preserve">issued for any </w:t>
            </w:r>
            <w:r>
              <w:t>other</w:t>
            </w:r>
            <w:r>
              <w:rPr>
                <w:szCs w:val="22"/>
              </w:rPr>
              <w:t xml:space="preserve"> purpose</w:t>
            </w:r>
          </w:p>
        </w:tc>
        <w:tc>
          <w:tcPr>
            <w:tcW w:w="1134" w:type="dxa"/>
            <w:tcBorders>
              <w:top w:val="nil"/>
            </w:tcBorders>
            <w:vAlign w:val="bottom"/>
          </w:tcPr>
          <w:p>
            <w:pPr>
              <w:pStyle w:val="yTableNAm"/>
              <w:jc w:val="right"/>
            </w:pPr>
            <w:r>
              <w:t>1 361.50</w:t>
            </w:r>
          </w:p>
        </w:tc>
      </w:tr>
      <w:tr>
        <w:trPr>
          <w:cantSplit/>
        </w:trPr>
        <w:tc>
          <w:tcPr>
            <w:tcW w:w="846" w:type="dxa"/>
            <w:tcBorders>
              <w:bottom w:val="nil"/>
            </w:tcBorders>
          </w:tcPr>
          <w:p>
            <w:pPr>
              <w:pStyle w:val="yTableNAm"/>
            </w:pPr>
            <w:r>
              <w:t>8.</w:t>
            </w:r>
          </w:p>
        </w:tc>
        <w:tc>
          <w:tcPr>
            <w:tcW w:w="4819" w:type="dxa"/>
            <w:tcBorders>
              <w:bottom w:val="nil"/>
            </w:tcBorders>
          </w:tcPr>
          <w:p>
            <w:pPr>
              <w:pStyle w:val="yTableNAm"/>
            </w:pPr>
            <w:r>
              <w:t xml:space="preserve">Application for extended trading permit (in respect of a licence other than a club restricted licence) for a period of 21 days or less if the maximum number of patrons on any day of the period to which the application relates is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(c)</w:t>
            </w:r>
            <w: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(d)</w:t>
            </w:r>
            <w: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ind w:left="567" w:hanging="567"/>
            </w:pPr>
            <w:r>
              <w:t>(e)</w:t>
            </w:r>
            <w: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lastRenderedPageBreak/>
              <w:t>9.</w:t>
            </w:r>
          </w:p>
        </w:tc>
        <w:tc>
          <w:tcPr>
            <w:tcW w:w="4819" w:type="dxa"/>
          </w:tcPr>
          <w:p>
            <w:pPr>
              <w:pStyle w:val="yTableNAm"/>
            </w:pPr>
            <w:r>
              <w:t>Application for extended trading permit (in respect of a club restricted licence) for a period of 21 days or less</w:t>
            </w:r>
          </w:p>
        </w:tc>
        <w:tc>
          <w:tcPr>
            <w:tcW w:w="1134" w:type="dxa"/>
            <w:vAlign w:val="bottom"/>
          </w:tcPr>
          <w:p>
            <w:pPr>
              <w:pStyle w:val="yTableNAm"/>
              <w:jc w:val="right"/>
            </w:pPr>
            <w:r>
              <w:t>49.50</w:t>
            </w:r>
          </w:p>
        </w:tc>
      </w:tr>
      <w:tr>
        <w:trPr>
          <w:cantSplit/>
        </w:trPr>
        <w:tc>
          <w:tcPr>
            <w:tcW w:w="846" w:type="dxa"/>
            <w:tcBorders>
              <w:bottom w:val="nil"/>
            </w:tcBorders>
          </w:tcPr>
          <w:p>
            <w:pPr>
              <w:pStyle w:val="yTableNAm"/>
            </w:pPr>
            <w:r>
              <w:t>10.</w:t>
            </w:r>
          </w:p>
        </w:tc>
        <w:tc>
          <w:tcPr>
            <w:tcW w:w="4819" w:type="dxa"/>
            <w:tcBorders>
              <w:bottom w:val="nil"/>
            </w:tcBorders>
          </w:tcPr>
          <w:p>
            <w:pPr>
              <w:pStyle w:val="yTableNAm"/>
            </w:pPr>
            <w:r>
              <w:t xml:space="preserve">Application for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14DA(3)</w:t>
            </w:r>
          </w:p>
        </w:tc>
        <w:tc>
          <w:tcPr>
            <w:tcW w:w="1134" w:type="dxa"/>
            <w:tcBorders>
              <w:top w:val="nil"/>
              <w:bottom w:val="nil"/>
            </w:tcBorders>
            <w:vAlign w:val="bottom"/>
          </w:tcPr>
          <w:p>
            <w:pPr>
              <w:pStyle w:val="yTableNAm"/>
              <w:jc w:val="right"/>
            </w:pPr>
            <w:r>
              <w:t>207.00</w:t>
            </w:r>
          </w:p>
        </w:tc>
      </w:tr>
      <w:tr>
        <w:trPr>
          <w:cantSplit/>
        </w:trPr>
        <w:tc>
          <w:tcPr>
            <w:tcW w:w="846" w:type="dxa"/>
            <w:tcBorders>
              <w:top w:val="nil"/>
              <w:bottom w:val="nil"/>
            </w:tcBorders>
          </w:tcPr>
          <w:p/>
        </w:tc>
        <w:tc>
          <w:tcPr>
            <w:tcW w:w="4819" w:type="dxa"/>
            <w:tcBorders>
              <w:top w:val="nil"/>
              <w:bottom w:val="nil"/>
            </w:tcBorders>
          </w:tcPr>
          <w:p>
            <w:pPr>
              <w:pStyle w:val="yTableNAm"/>
            </w:pPr>
            <w:r>
              <w:t>(b)</w:t>
            </w:r>
            <w:r>
              <w:tab/>
              <w:t>lodged under r. 14ADA(4)(a)</w:t>
            </w:r>
          </w:p>
        </w:tc>
        <w:tc>
          <w:tcPr>
            <w:tcW w:w="1134" w:type="dxa"/>
            <w:tcBorders>
              <w:top w:val="nil"/>
              <w:bottom w:val="nil"/>
            </w:tcBorders>
            <w:vAlign w:val="bottom"/>
          </w:tcPr>
          <w:p>
            <w:pPr>
              <w:pStyle w:val="yTableNAm"/>
              <w:jc w:val="right"/>
            </w:pPr>
            <w:r>
              <w:t>68.00</w:t>
            </w:r>
          </w:p>
        </w:tc>
      </w:tr>
      <w:tr>
        <w:trPr>
          <w:cantSplit/>
        </w:trPr>
        <w:tc>
          <w:tcPr>
            <w:tcW w:w="846" w:type="dxa"/>
            <w:tcBorders>
              <w:top w:val="nil"/>
            </w:tcBorders>
          </w:tcPr>
          <w:p/>
        </w:tc>
        <w:tc>
          <w:tcPr>
            <w:tcW w:w="4819" w:type="dxa"/>
            <w:tcBorders>
              <w:top w:val="nil"/>
            </w:tcBorders>
          </w:tcPr>
          <w:p>
            <w:pPr>
              <w:pStyle w:val="yTableNAm"/>
            </w:pPr>
            <w:r>
              <w:t>(c)</w:t>
            </w:r>
            <w:r>
              <w:tab/>
              <w:t>lodged under r. 14ADA(4)(b)</w:t>
            </w:r>
          </w:p>
        </w:tc>
        <w:tc>
          <w:tcPr>
            <w:tcW w:w="1134" w:type="dxa"/>
            <w:tcBorders>
              <w:top w:val="nil"/>
            </w:tcBorders>
            <w:vAlign w:val="bottom"/>
          </w:tcPr>
          <w:p>
            <w:pPr>
              <w:pStyle w:val="yTableNAm"/>
              <w:jc w:val="right"/>
            </w:pPr>
            <w:r>
              <w:t>17.50</w:t>
            </w:r>
          </w:p>
        </w:tc>
      </w:tr>
      <w:tr>
        <w:trPr>
          <w:cantSplit/>
        </w:trPr>
        <w:tc>
          <w:tcPr>
            <w:tcW w:w="846" w:type="dxa"/>
            <w:tcBorders>
              <w:bottom w:val="nil"/>
            </w:tcBorders>
          </w:tcPr>
          <w:p>
            <w:pPr>
              <w:pStyle w:val="yTableNAm"/>
            </w:pPr>
            <w:r>
              <w:t>11.</w:t>
            </w:r>
          </w:p>
        </w:tc>
        <w:tc>
          <w:tcPr>
            <w:tcW w:w="4819" w:type="dxa"/>
            <w:tcBorders>
              <w:bottom w:val="nil"/>
            </w:tcBorders>
          </w:tcPr>
          <w:p>
            <w:pPr>
              <w:pStyle w:val="yTableNAm"/>
            </w:pPr>
            <w:r>
              <w:t xml:space="preserve">Application for renewal of manager’s approval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14ADD(3)(a)</w:t>
            </w:r>
          </w:p>
        </w:tc>
        <w:tc>
          <w:tcPr>
            <w:tcW w:w="1134" w:type="dxa"/>
            <w:tcBorders>
              <w:top w:val="nil"/>
              <w:bottom w:val="nil"/>
            </w:tcBorders>
            <w:vAlign w:val="bottom"/>
          </w:tcPr>
          <w:p>
            <w:pPr>
              <w:pStyle w:val="yTableNAm"/>
              <w:jc w:val="right"/>
            </w:pPr>
            <w:r>
              <w:t>186.50</w:t>
            </w:r>
          </w:p>
        </w:tc>
      </w:tr>
      <w:tr>
        <w:trPr>
          <w:cantSplit/>
        </w:trPr>
        <w:tc>
          <w:tcPr>
            <w:tcW w:w="846" w:type="dxa"/>
            <w:tcBorders>
              <w:top w:val="nil"/>
            </w:tcBorders>
          </w:tcPr>
          <w:p/>
        </w:tc>
        <w:tc>
          <w:tcPr>
            <w:tcW w:w="4819" w:type="dxa"/>
            <w:tcBorders>
              <w:top w:val="nil"/>
            </w:tcBorders>
          </w:tcPr>
          <w:p>
            <w:pPr>
              <w:pStyle w:val="yTableNAm"/>
            </w:pPr>
            <w:r>
              <w:t>(b)</w:t>
            </w:r>
            <w:r>
              <w:tab/>
              <w:t>lodged under r. 14ADD(3)(b)</w:t>
            </w:r>
          </w:p>
        </w:tc>
        <w:tc>
          <w:tcPr>
            <w:tcW w:w="1134" w:type="dxa"/>
            <w:tcBorders>
              <w:top w:val="nil"/>
            </w:tcBorders>
            <w:vAlign w:val="bottom"/>
          </w:tcPr>
          <w:p>
            <w:pPr>
              <w:pStyle w:val="yTableNAm"/>
              <w:jc w:val="right"/>
            </w:pPr>
            <w:r>
              <w:t>145.50</w:t>
            </w:r>
          </w:p>
        </w:tc>
      </w:tr>
      <w:tr>
        <w:trPr>
          <w:cantSplit/>
        </w:trPr>
        <w:tc>
          <w:tcPr>
            <w:tcW w:w="846" w:type="dxa"/>
            <w:tcBorders>
              <w:bottom w:val="nil"/>
            </w:tcBorders>
          </w:tcPr>
          <w:p>
            <w:pPr>
              <w:pStyle w:val="yTableNAm"/>
            </w:pPr>
            <w:r>
              <w:t>12.</w:t>
            </w:r>
          </w:p>
        </w:tc>
        <w:tc>
          <w:tcPr>
            <w:tcW w:w="4819" w:type="dxa"/>
            <w:tcBorders>
              <w:bottom w:val="nil"/>
            </w:tcBorders>
          </w:tcPr>
          <w:p>
            <w:pPr>
              <w:pStyle w:val="yTableNAm"/>
            </w:pPr>
            <w:r>
              <w:t xml:space="preserve">Application for replacement identification card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lodged under r. 14ADF(2)(b)(i)</w:t>
            </w:r>
          </w:p>
        </w:tc>
        <w:tc>
          <w:tcPr>
            <w:tcW w:w="1134" w:type="dxa"/>
            <w:tcBorders>
              <w:top w:val="nil"/>
              <w:bottom w:val="nil"/>
            </w:tcBorders>
            <w:vAlign w:val="bottom"/>
          </w:tcPr>
          <w:p>
            <w:pPr>
              <w:pStyle w:val="yTableNAm"/>
              <w:jc w:val="right"/>
            </w:pPr>
            <w:r>
              <w:t>58.50</w:t>
            </w:r>
          </w:p>
        </w:tc>
      </w:tr>
      <w:tr>
        <w:trPr>
          <w:cantSplit/>
        </w:trPr>
        <w:tc>
          <w:tcPr>
            <w:tcW w:w="846" w:type="dxa"/>
            <w:tcBorders>
              <w:top w:val="nil"/>
            </w:tcBorders>
          </w:tcPr>
          <w:p/>
        </w:tc>
        <w:tc>
          <w:tcPr>
            <w:tcW w:w="4819" w:type="dxa"/>
            <w:tcBorders>
              <w:top w:val="nil"/>
            </w:tcBorders>
          </w:tcPr>
          <w:p>
            <w:pPr>
              <w:pStyle w:val="yTableNAm"/>
            </w:pPr>
            <w:r>
              <w:t>(b)</w:t>
            </w:r>
            <w:r>
              <w:tab/>
              <w:t>lodged under r. 14ADF(2)(b)(ii)</w:t>
            </w:r>
          </w:p>
        </w:tc>
        <w:tc>
          <w:tcPr>
            <w:tcW w:w="1134" w:type="dxa"/>
            <w:tcBorders>
              <w:top w:val="nil"/>
            </w:tcBorders>
            <w:vAlign w:val="bottom"/>
          </w:tcPr>
          <w:p>
            <w:pPr>
              <w:pStyle w:val="yTableNAm"/>
              <w:jc w:val="right"/>
            </w:pPr>
            <w:r>
              <w:t>10.50</w:t>
            </w:r>
          </w:p>
        </w:tc>
      </w:tr>
      <w:tr>
        <w:trPr>
          <w:cantSplit/>
        </w:trPr>
        <w:tc>
          <w:tcPr>
            <w:tcW w:w="846" w:type="dxa"/>
            <w:tcBorders>
              <w:bottom w:val="nil"/>
            </w:tcBorders>
          </w:tcPr>
          <w:p>
            <w:pPr>
              <w:pStyle w:val="yTableNAm"/>
            </w:pPr>
            <w:r>
              <w:t>13.</w:t>
            </w:r>
          </w:p>
        </w:tc>
        <w:tc>
          <w:tcPr>
            <w:tcW w:w="4819" w:type="dxa"/>
            <w:tcBorders>
              <w:bottom w:val="nil"/>
            </w:tcBorders>
          </w:tcPr>
          <w:p>
            <w:pPr>
              <w:pStyle w:val="yTableNAm"/>
            </w:pPr>
            <w:r>
              <w:t xml:space="preserve">Application for approval of person in position of authority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(a)</w:t>
            </w:r>
            <w:r>
              <w:tab/>
              <w:t>under licence other than club licence or club restricted licence</w:t>
            </w:r>
          </w:p>
        </w:tc>
        <w:tc>
          <w:tcPr>
            <w:tcW w:w="1134" w:type="dxa"/>
            <w:tcBorders>
              <w:top w:val="nil"/>
              <w:bottom w:val="nil"/>
            </w:tcBorders>
            <w:vAlign w:val="bottom"/>
          </w:tcPr>
          <w:p>
            <w:pPr>
              <w:pStyle w:val="yTableNAm"/>
              <w:jc w:val="right"/>
            </w:pPr>
            <w:r>
              <w:t>183.50</w:t>
            </w:r>
          </w:p>
        </w:tc>
      </w:tr>
      <w:tr>
        <w:trPr>
          <w:cantSplit/>
        </w:trPr>
        <w:tc>
          <w:tcPr>
            <w:tcW w:w="846" w:type="dxa"/>
            <w:tcBorders>
              <w:top w:val="nil"/>
            </w:tcBorders>
          </w:tcPr>
          <w:p/>
        </w:tc>
        <w:tc>
          <w:tcPr>
            <w:tcW w:w="4819" w:type="dxa"/>
            <w:tcBorders>
              <w:top w:val="nil"/>
            </w:tcBorders>
          </w:tcPr>
          <w:p>
            <w:pPr>
              <w:pStyle w:val="yTableNAm"/>
            </w:pPr>
            <w:r>
              <w:t>(b)</w:t>
            </w:r>
            <w:r>
              <w:tab/>
              <w:t>under club licence or club restricted licence</w:t>
            </w:r>
          </w:p>
        </w:tc>
        <w:tc>
          <w:tcPr>
            <w:tcW w:w="1134" w:type="dxa"/>
            <w:tcBorders>
              <w:top w:val="nil"/>
            </w:tcBorders>
            <w:vAlign w:val="bottom"/>
          </w:tcPr>
          <w:p>
            <w:pPr>
              <w:pStyle w:val="yTableNAm"/>
              <w:jc w:val="right"/>
            </w:pPr>
            <w:r>
              <w:t>125.50</w:t>
            </w:r>
          </w:p>
        </w:tc>
      </w:tr>
      <w:tr>
        <w:trPr>
          <w:cantSplit/>
        </w:trPr>
        <w:tc>
          <w:tcPr>
            <w:tcW w:w="846" w:type="dxa"/>
          </w:tcPr>
          <w:p>
            <w:pPr>
              <w:pStyle w:val="yTableNAm"/>
            </w:pPr>
            <w:r>
              <w:t>14.</w:t>
            </w:r>
          </w:p>
        </w:tc>
        <w:tc>
          <w:tcPr>
            <w:tcW w:w="4819" w:type="dxa"/>
          </w:tcPr>
          <w:p>
            <w:pPr>
              <w:pStyle w:val="yTableNAm"/>
            </w:pPr>
            <w:r>
              <w:t>Application for approval for alteration or redefinition of licensed premises</w:t>
            </w:r>
          </w:p>
        </w:tc>
        <w:tc>
          <w:tcPr>
            <w:tcW w:w="1134" w:type="dxa"/>
            <w:vAlign w:val="bottom"/>
          </w:tcPr>
          <w:p>
            <w:pPr>
              <w:pStyle w:val="yTableNAm"/>
              <w:jc w:val="right"/>
            </w:pPr>
            <w:r>
              <w:t>463.50</w:t>
            </w:r>
          </w:p>
        </w:tc>
      </w:tr>
      <w:tr>
        <w:trPr>
          <w:cantSplit/>
        </w:trPr>
        <w:tc>
          <w:tcPr>
            <w:tcW w:w="846" w:type="dxa"/>
          </w:tcPr>
          <w:p>
            <w:pPr>
              <w:pStyle w:val="yTableNAm"/>
            </w:pPr>
            <w:r>
              <w:t>15.</w:t>
            </w:r>
          </w:p>
        </w:tc>
        <w:tc>
          <w:tcPr>
            <w:tcW w:w="4819" w:type="dxa"/>
          </w:tcPr>
          <w:p>
            <w:pPr>
              <w:pStyle w:val="yTableNAm"/>
            </w:pPr>
            <w:r>
              <w:t>Application for a protection order under section 87(1)</w:t>
            </w:r>
          </w:p>
        </w:tc>
        <w:tc>
          <w:tcPr>
            <w:tcW w:w="1134" w:type="dxa"/>
            <w:vAlign w:val="bottom"/>
          </w:tcPr>
          <w:p>
            <w:pPr>
              <w:pStyle w:val="yTableNAm"/>
              <w:jc w:val="right"/>
            </w:pPr>
            <w:r>
              <w:t>269.50</w:t>
            </w:r>
          </w:p>
        </w:tc>
      </w:tr>
      <w:tr>
        <w:trPr>
          <w:cantSplit/>
        </w:trPr>
        <w:tc>
          <w:tcPr>
            <w:tcW w:w="846" w:type="dxa"/>
          </w:tcPr>
          <w:p>
            <w:pPr>
              <w:pStyle w:val="yTableNAm"/>
            </w:pPr>
            <w:r>
              <w:lastRenderedPageBreak/>
              <w:t>16.</w:t>
            </w:r>
          </w:p>
        </w:tc>
        <w:tc>
          <w:tcPr>
            <w:tcW w:w="4819" w:type="dxa"/>
          </w:tcPr>
          <w:p>
            <w:pPr>
              <w:pStyle w:val="yTableNAm"/>
            </w:pPr>
            <w:r>
              <w:t>Application for duplicate licence</w:t>
            </w:r>
          </w:p>
        </w:tc>
        <w:tc>
          <w:tcPr>
            <w:tcW w:w="1134" w:type="dxa"/>
            <w:vAlign w:val="bottom"/>
          </w:tcPr>
          <w:p>
            <w:pPr>
              <w:pStyle w:val="yTableNAm"/>
              <w:jc w:val="right"/>
            </w:pPr>
            <w:r>
              <w:t>40.00</w:t>
            </w:r>
          </w:p>
        </w:tc>
      </w:tr>
      <w:tr>
        <w:trPr>
          <w:cantSplit/>
        </w:trPr>
        <w:tc>
          <w:tcPr>
            <w:tcW w:w="846" w:type="dxa"/>
          </w:tcPr>
          <w:p>
            <w:pPr>
              <w:pStyle w:val="yTableNAm"/>
            </w:pPr>
            <w:r>
              <w:t>17.</w:t>
            </w:r>
          </w:p>
        </w:tc>
        <w:tc>
          <w:tcPr>
            <w:tcW w:w="4819" w:type="dxa"/>
          </w:tcPr>
          <w:p>
            <w:pPr>
              <w:pStyle w:val="yTableNAm"/>
            </w:pPr>
            <w:r>
              <w:t>Application for approval of change of name of licensed premises</w:t>
            </w:r>
          </w:p>
        </w:tc>
        <w:tc>
          <w:tcPr>
            <w:tcW w:w="1134" w:type="dxa"/>
            <w:vAlign w:val="bottom"/>
          </w:tcPr>
          <w:p>
            <w:pPr>
              <w:pStyle w:val="yTableNAm"/>
              <w:jc w:val="right"/>
            </w:pPr>
            <w:r>
              <w:t>84.50</w:t>
            </w:r>
          </w:p>
        </w:tc>
      </w:tr>
      <w:tr>
        <w:trPr>
          <w:cantSplit/>
        </w:trPr>
        <w:tc>
          <w:tcPr>
            <w:tcW w:w="846" w:type="dxa"/>
            <w:tcBorders>
              <w:bottom w:val="nil"/>
            </w:tcBorders>
          </w:tcPr>
          <w:p>
            <w:pPr>
              <w:pStyle w:val="yTableNAm"/>
            </w:pPr>
            <w:r>
              <w:t>18.</w:t>
            </w:r>
          </w:p>
        </w:tc>
        <w:tc>
          <w:tcPr>
            <w:tcW w:w="4819" w:type="dxa"/>
            <w:tcBorders>
              <w:bottom w:val="nil"/>
            </w:tcBorders>
          </w:tcPr>
          <w:p>
            <w:pPr>
              <w:pStyle w:val="yTableNAm"/>
            </w:pPr>
            <w:r>
              <w:t xml:space="preserve">Application to add, vary or cancel condition of licence or permit (other than club restricted licence)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pPr>
            <w:r>
              <w:t>(a)</w:t>
            </w:r>
            <w:r>
              <w:tab/>
              <w:t>for a period of over 21 days</w:t>
            </w:r>
          </w:p>
        </w:tc>
        <w:tc>
          <w:tcPr>
            <w:tcW w:w="1134" w:type="dxa"/>
            <w:tcBorders>
              <w:top w:val="nil"/>
              <w:bottom w:val="nil"/>
            </w:tcBorders>
            <w:vAlign w:val="bottom"/>
          </w:tcPr>
          <w:p>
            <w:pPr>
              <w:pStyle w:val="yTableNAm"/>
              <w:jc w:val="right"/>
            </w:pPr>
            <w:r>
              <w:t>276.00</w:t>
            </w:r>
          </w:p>
        </w:tc>
      </w:tr>
      <w:tr>
        <w:trPr>
          <w:cantSplit/>
        </w:trPr>
        <w:tc>
          <w:tcPr>
            <w:tcW w:w="846" w:type="dxa"/>
            <w:tcBorders>
              <w:top w:val="nil"/>
              <w:bottom w:val="nil"/>
            </w:tcBorders>
          </w:tcPr>
          <w:p/>
        </w:tc>
        <w:tc>
          <w:tcPr>
            <w:tcW w:w="4819" w:type="dxa"/>
            <w:tcBorders>
              <w:top w:val="nil"/>
              <w:bottom w:val="nil"/>
            </w:tcBorders>
          </w:tcPr>
          <w:p>
            <w:pPr>
              <w:pStyle w:val="yTableNAm"/>
              <w:ind w:left="567" w:hanging="567"/>
            </w:pPr>
            <w:r>
              <w:t>(b)</w:t>
            </w:r>
            <w:r>
              <w:tab/>
              <w:t xml:space="preserve">for a period of 21 days or less if the maximum number of patrons on any day of the period to which the application relates is — </w:t>
            </w:r>
          </w:p>
        </w:tc>
        <w:tc>
          <w:tcPr>
            <w:tcW w:w="1134" w:type="dxa"/>
            <w:tcBorders>
              <w:top w:val="nil"/>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w:t>
            </w:r>
            <w:r>
              <w:rPr>
                <w:szCs w:val="22"/>
              </w:rPr>
              <w:tab/>
              <w:t>up to 500</w:t>
            </w:r>
          </w:p>
        </w:tc>
        <w:tc>
          <w:tcPr>
            <w:tcW w:w="1134" w:type="dxa"/>
            <w:tcBorders>
              <w:top w:val="nil"/>
              <w:bottom w:val="nil"/>
            </w:tcBorders>
            <w:vAlign w:val="bottom"/>
          </w:tcPr>
          <w:p>
            <w:pPr>
              <w:pStyle w:val="yTableNAm"/>
              <w:jc w:val="right"/>
            </w:pPr>
            <w:r>
              <w:t>126.50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w:t>
            </w:r>
            <w:r>
              <w:rPr>
                <w:szCs w:val="22"/>
              </w:rPr>
              <w:tab/>
              <w:t>between 501 and 1 000</w:t>
            </w:r>
          </w:p>
        </w:tc>
        <w:tc>
          <w:tcPr>
            <w:tcW w:w="1134" w:type="dxa"/>
            <w:tcBorders>
              <w:top w:val="nil"/>
              <w:bottom w:val="nil"/>
            </w:tcBorders>
            <w:vAlign w:val="bottom"/>
          </w:tcPr>
          <w:p>
            <w:pPr>
              <w:pStyle w:val="yTableNAm"/>
              <w:jc w:val="right"/>
            </w:pPr>
            <w:r>
              <w:t>260.50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(iii)</w:t>
            </w:r>
            <w:r>
              <w:rPr>
                <w:szCs w:val="22"/>
              </w:rPr>
              <w:tab/>
              <w:t>between 1 001 and 5 000</w:t>
            </w:r>
          </w:p>
        </w:tc>
        <w:tc>
          <w:tcPr>
            <w:tcW w:w="1134" w:type="dxa"/>
            <w:tcBorders>
              <w:top w:val="nil"/>
              <w:bottom w:val="nil"/>
            </w:tcBorders>
            <w:vAlign w:val="bottom"/>
          </w:tcPr>
          <w:p>
            <w:pPr>
              <w:pStyle w:val="yTableNAm"/>
              <w:jc w:val="right"/>
            </w:pPr>
            <w:r>
              <w:t>1 324.00</w:t>
            </w: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 w:val="right" w:pos="878"/>
              </w:tabs>
              <w:ind w:left="1162" w:hanging="1128"/>
              <w:rPr>
                <w:szCs w:val="22"/>
              </w:rPr>
            </w:pPr>
            <w:r>
              <w:rPr>
                <w:szCs w:val="22"/>
              </w:rPr>
              <w:tab/>
              <w:t>(iv)</w:t>
            </w:r>
            <w:r>
              <w:rPr>
                <w:szCs w:val="22"/>
              </w:rPr>
              <w:tab/>
              <w:t>between 5 001 and 10 000</w:t>
            </w:r>
          </w:p>
        </w:tc>
        <w:tc>
          <w:tcPr>
            <w:tcW w:w="1134" w:type="dxa"/>
            <w:tcBorders>
              <w:top w:val="nil"/>
              <w:bottom w:val="nil"/>
            </w:tcBorders>
            <w:vAlign w:val="bottom"/>
          </w:tcPr>
          <w:p>
            <w:pPr>
              <w:pStyle w:val="yTableNAm"/>
              <w:jc w:val="right"/>
            </w:pPr>
            <w:r>
              <w:t>2 653.00</w:t>
            </w:r>
          </w:p>
        </w:tc>
      </w:tr>
      <w:tr>
        <w:trPr>
          <w:cantSplit/>
        </w:trPr>
        <w:tc>
          <w:tcPr>
            <w:tcW w:w="846" w:type="dxa"/>
            <w:tcBorders>
              <w:top w:val="nil"/>
            </w:tcBorders>
          </w:tcPr>
          <w:p/>
        </w:tc>
        <w:tc>
          <w:tcPr>
            <w:tcW w:w="4819" w:type="dxa"/>
            <w:tcBorders>
              <w:top w:val="nil"/>
            </w:tcBorders>
          </w:tcPr>
          <w:p>
            <w:pPr>
              <w:pStyle w:val="yTableNAm"/>
              <w:tabs>
                <w:tab w:val="clear" w:pos="567"/>
                <w:tab w:val="right" w:pos="878"/>
              </w:tabs>
              <w:ind w:left="1162" w:hanging="1128"/>
              <w:rPr>
                <w:szCs w:val="22"/>
              </w:rPr>
            </w:pPr>
            <w:r>
              <w:rPr>
                <w:szCs w:val="22"/>
              </w:rPr>
              <w:tab/>
              <w:t>(v)</w:t>
            </w:r>
            <w:r>
              <w:rPr>
                <w:szCs w:val="22"/>
              </w:rPr>
              <w:tab/>
              <w:t>over 10 000</w:t>
            </w:r>
          </w:p>
        </w:tc>
        <w:tc>
          <w:tcPr>
            <w:tcW w:w="1134" w:type="dxa"/>
            <w:tcBorders>
              <w:top w:val="nil"/>
            </w:tcBorders>
            <w:vAlign w:val="bottom"/>
          </w:tcPr>
          <w:p>
            <w:pPr>
              <w:pStyle w:val="yTableNAm"/>
              <w:jc w:val="right"/>
            </w:pPr>
            <w:r>
              <w:t>5 319.00</w:t>
            </w:r>
          </w:p>
        </w:tc>
      </w:tr>
      <w:tr>
        <w:trPr>
          <w:cantSplit/>
        </w:trPr>
        <w:tc>
          <w:tcPr>
            <w:tcW w:w="846" w:type="dxa"/>
          </w:tcPr>
          <w:p>
            <w:pPr>
              <w:pStyle w:val="yTableNAm"/>
            </w:pPr>
            <w:r>
              <w:t>19.</w:t>
            </w:r>
          </w:p>
        </w:tc>
        <w:tc>
          <w:tcPr>
            <w:tcW w:w="4819" w:type="dxa"/>
          </w:tcPr>
          <w:p>
            <w:pPr>
              <w:pStyle w:val="yTableNAm"/>
            </w:pPr>
            <w:r>
              <w:t>Application to add, vary or cancel condition of club restricted licence</w:t>
            </w:r>
          </w:p>
        </w:tc>
        <w:tc>
          <w:tcPr>
            <w:tcW w:w="1134" w:type="dxa"/>
            <w:vAlign w:val="bottom"/>
          </w:tcPr>
          <w:p>
            <w:pPr>
              <w:pStyle w:val="yTableNAm"/>
              <w:jc w:val="right"/>
            </w:pPr>
            <w:r>
              <w:t>50.50</w:t>
            </w:r>
          </w:p>
        </w:tc>
      </w:tr>
      <w:tr>
        <w:trPr>
          <w:cantSplit/>
        </w:trPr>
        <w:tc>
          <w:tcPr>
            <w:tcW w:w="846" w:type="dxa"/>
          </w:tcPr>
          <w:p>
            <w:pPr>
              <w:pStyle w:val="yTableNAm"/>
            </w:pPr>
            <w:r>
              <w:t>20.</w:t>
            </w:r>
          </w:p>
        </w:tc>
        <w:tc>
          <w:tcPr>
            <w:tcW w:w="4819" w:type="dxa"/>
          </w:tcPr>
          <w:p>
            <w:pPr>
              <w:pStyle w:val="yTableNAm"/>
            </w:pPr>
            <w:r>
              <w:t>Application under section 62(6) to vary any plans or specifications the subject of a condition</w:t>
            </w:r>
          </w:p>
        </w:tc>
        <w:tc>
          <w:tcPr>
            <w:tcW w:w="1134" w:type="dxa"/>
            <w:vAlign w:val="bottom"/>
          </w:tcPr>
          <w:p>
            <w:pPr>
              <w:pStyle w:val="yTableNAm"/>
              <w:jc w:val="right"/>
            </w:pPr>
            <w:r>
              <w:t>321.00</w:t>
            </w:r>
          </w:p>
        </w:tc>
      </w:tr>
      <w:tr>
        <w:trPr>
          <w:cantSplit/>
        </w:trPr>
        <w:tc>
          <w:tcPr>
            <w:tcW w:w="846" w:type="dxa"/>
          </w:tcPr>
          <w:p>
            <w:pPr>
              <w:pStyle w:val="yTableNAm"/>
            </w:pPr>
            <w:r>
              <w:t>21.</w:t>
            </w:r>
          </w:p>
        </w:tc>
        <w:tc>
          <w:tcPr>
            <w:tcW w:w="4819" w:type="dxa"/>
          </w:tcPr>
          <w:p>
            <w:pPr>
              <w:pStyle w:val="yTableNAm"/>
            </w:pPr>
            <w:r>
              <w:t>Application for approval of agreement or arrangement</w:t>
            </w:r>
          </w:p>
        </w:tc>
        <w:tc>
          <w:tcPr>
            <w:tcW w:w="1134" w:type="dxa"/>
            <w:vAlign w:val="bottom"/>
          </w:tcPr>
          <w:p>
            <w:pPr>
              <w:pStyle w:val="yTableNAm"/>
              <w:jc w:val="right"/>
            </w:pPr>
            <w:r>
              <w:t>269.50</w:t>
            </w:r>
          </w:p>
        </w:tc>
      </w:tr>
      <w:tr>
        <w:trPr>
          <w:cantSplit/>
        </w:trPr>
        <w:tc>
          <w:tcPr>
            <w:tcW w:w="846" w:type="dxa"/>
          </w:tcPr>
          <w:p>
            <w:pPr>
              <w:pStyle w:val="yTableNAm"/>
            </w:pPr>
            <w:r>
              <w:t>22.</w:t>
            </w:r>
          </w:p>
        </w:tc>
        <w:tc>
          <w:tcPr>
            <w:tcW w:w="4819" w:type="dxa"/>
          </w:tcPr>
          <w:p>
            <w:pPr>
              <w:pStyle w:val="yTableNAm"/>
            </w:pPr>
            <w:r>
              <w:t>Application under section 115AD for review of decision to give notice</w:t>
            </w:r>
          </w:p>
        </w:tc>
        <w:tc>
          <w:tcPr>
            <w:tcW w:w="1134" w:type="dxa"/>
            <w:vAlign w:val="bottom"/>
          </w:tcPr>
          <w:p>
            <w:pPr>
              <w:pStyle w:val="yTableNAm"/>
              <w:jc w:val="right"/>
            </w:pPr>
            <w:r>
              <w:t>280.50</w:t>
            </w:r>
          </w:p>
        </w:tc>
      </w:tr>
      <w:tr>
        <w:trPr>
          <w:cantSplit/>
        </w:trPr>
        <w:tc>
          <w:tcPr>
            <w:tcW w:w="846" w:type="dxa"/>
          </w:tcPr>
          <w:p>
            <w:pPr>
              <w:pStyle w:val="yTableNAm"/>
            </w:pPr>
            <w:r>
              <w:lastRenderedPageBreak/>
              <w:t>23.</w:t>
            </w:r>
          </w:p>
        </w:tc>
        <w:tc>
          <w:tcPr>
            <w:tcW w:w="4819" w:type="dxa"/>
          </w:tcPr>
          <w:p>
            <w:pPr>
              <w:pStyle w:val="yTableNAm"/>
            </w:pPr>
            <w:r>
              <w:t>Application under section 152NH(2) for review of decision to make or vary short</w:t>
            </w:r>
            <w:r>
              <w:noBreakHyphen/>
              <w:t>term exclusion order</w:t>
            </w:r>
          </w:p>
        </w:tc>
        <w:tc>
          <w:tcPr>
            <w:tcW w:w="1134" w:type="dxa"/>
            <w:vAlign w:val="bottom"/>
          </w:tcPr>
          <w:p>
            <w:pPr>
              <w:pStyle w:val="yTableNAm"/>
              <w:jc w:val="right"/>
            </w:pPr>
            <w:r>
              <w:t>280.50</w:t>
            </w:r>
          </w:p>
        </w:tc>
      </w:tr>
      <w:tr>
        <w:trPr>
          <w:cantSplit/>
        </w:trPr>
        <w:tc>
          <w:tcPr>
            <w:tcW w:w="846" w:type="dxa"/>
          </w:tcPr>
          <w:p>
            <w:pPr>
              <w:pStyle w:val="yTableNAm"/>
            </w:pPr>
            <w:r>
              <w:t>24.</w:t>
            </w:r>
          </w:p>
        </w:tc>
        <w:tc>
          <w:tcPr>
            <w:tcW w:w="4819" w:type="dxa"/>
          </w:tcPr>
          <w:p>
            <w:pPr>
              <w:pStyle w:val="yTableNAm"/>
            </w:pPr>
            <w:r>
              <w:t>Application under section 119A for approval to conduct non</w:t>
            </w:r>
            <w:r>
              <w:noBreakHyphen/>
              <w:t>liquor business on licensed premises</w:t>
            </w:r>
          </w:p>
        </w:tc>
        <w:tc>
          <w:tcPr>
            <w:tcW w:w="1134" w:type="dxa"/>
            <w:vAlign w:val="bottom"/>
          </w:tcPr>
          <w:p>
            <w:pPr>
              <w:pStyle w:val="yTableNAm"/>
              <w:jc w:val="right"/>
            </w:pPr>
            <w:r>
              <w:t>255.50</w:t>
            </w:r>
          </w:p>
        </w:tc>
      </w:tr>
      <w:tr>
        <w:trPr>
          <w:cantSplit/>
        </w:trPr>
        <w:tc>
          <w:tcPr>
            <w:tcW w:w="846" w:type="dxa"/>
          </w:tcPr>
          <w:p>
            <w:pPr>
              <w:pStyle w:val="yTableNAm"/>
            </w:pPr>
            <w:r>
              <w:t>25.</w:t>
            </w:r>
          </w:p>
        </w:tc>
        <w:tc>
          <w:tcPr>
            <w:tcW w:w="4819" w:type="dxa"/>
          </w:tcPr>
          <w:p>
            <w:pPr>
              <w:pStyle w:val="yTableNAm"/>
            </w:pPr>
            <w:r>
              <w:t>Application under section 152W(3), other than by an occupier of premises, for a liquor restriction declaration in relation to the premises</w:t>
            </w:r>
          </w:p>
        </w:tc>
        <w:tc>
          <w:tcPr>
            <w:tcW w:w="1134" w:type="dxa"/>
            <w:vAlign w:val="bottom"/>
          </w:tcPr>
          <w:p>
            <w:pPr>
              <w:pStyle w:val="yTableNAm"/>
              <w:jc w:val="right"/>
            </w:pPr>
            <w:r>
              <w:t>306.50</w:t>
            </w:r>
          </w:p>
        </w:tc>
      </w:tr>
      <w:tr>
        <w:trPr>
          <w:cantSplit/>
        </w:trPr>
        <w:tc>
          <w:tcPr>
            <w:tcW w:w="846" w:type="dxa"/>
          </w:tcPr>
          <w:p>
            <w:pPr>
              <w:pStyle w:val="yTableNAm"/>
            </w:pPr>
            <w:r>
              <w:t>26.</w:t>
            </w:r>
          </w:p>
        </w:tc>
        <w:tc>
          <w:tcPr>
            <w:tcW w:w="4819" w:type="dxa"/>
          </w:tcPr>
          <w:p>
            <w:pPr>
              <w:pStyle w:val="yTableNAm"/>
            </w:pPr>
            <w:r>
              <w:t>Application under section 126A for approval of entertainment for juveniles on licensed premises</w:t>
            </w:r>
          </w:p>
        </w:tc>
        <w:tc>
          <w:tcPr>
            <w:tcW w:w="1134" w:type="dxa"/>
            <w:vAlign w:val="bottom"/>
          </w:tcPr>
          <w:p>
            <w:pPr>
              <w:pStyle w:val="yTableNAm"/>
              <w:jc w:val="right"/>
            </w:pPr>
            <w:r>
              <w:t>73.50</w:t>
            </w:r>
          </w:p>
        </w:tc>
      </w:tr>
      <w:tr>
        <w:trPr>
          <w:cantSplit/>
        </w:trPr>
        <w:tc>
          <w:tcPr>
            <w:tcW w:w="846" w:type="dxa"/>
          </w:tcPr>
          <w:p>
            <w:pPr>
              <w:pStyle w:val="yTableNAm"/>
            </w:pPr>
            <w:r>
              <w:t>27.</w:t>
            </w:r>
          </w:p>
        </w:tc>
        <w:tc>
          <w:tcPr>
            <w:tcW w:w="4819" w:type="dxa"/>
          </w:tcPr>
          <w:p>
            <w:pPr>
              <w:pStyle w:val="yTableNAm"/>
            </w:pPr>
            <w:r>
              <w:t>Supply of list of licensed premises, or list of owners of licensed premises, in electronic form</w:t>
            </w:r>
          </w:p>
        </w:tc>
        <w:tc>
          <w:tcPr>
            <w:tcW w:w="1134" w:type="dxa"/>
            <w:vAlign w:val="bottom"/>
          </w:tcPr>
          <w:p>
            <w:pPr>
              <w:pStyle w:val="yTableNAm"/>
              <w:jc w:val="right"/>
            </w:pPr>
            <w:r>
              <w:t>67.00</w:t>
            </w:r>
          </w:p>
        </w:tc>
      </w:tr>
      <w:tr>
        <w:trPr>
          <w:cantSplit/>
        </w:trPr>
        <w:tc>
          <w:tcPr>
            <w:tcW w:w="846" w:type="dxa"/>
          </w:tcPr>
          <w:p>
            <w:pPr>
              <w:pStyle w:val="yTableNAm"/>
            </w:pPr>
            <w:r>
              <w:t>28.</w:t>
            </w:r>
          </w:p>
        </w:tc>
        <w:tc>
          <w:tcPr>
            <w:tcW w:w="4819" w:type="dxa"/>
          </w:tcPr>
          <w:p>
            <w:pPr>
              <w:pStyle w:val="yTableNAm"/>
            </w:pPr>
            <w:r>
              <w:t>Supply of address labels for licensed premises</w:t>
            </w:r>
          </w:p>
        </w:tc>
        <w:tc>
          <w:tcPr>
            <w:tcW w:w="1134" w:type="dxa"/>
            <w:vAlign w:val="bottom"/>
          </w:tcPr>
          <w:p>
            <w:pPr>
              <w:pStyle w:val="yTableNAm"/>
              <w:jc w:val="right"/>
            </w:pPr>
            <w:r>
              <w:t>164.50</w:t>
            </w:r>
          </w:p>
        </w:tc>
      </w:tr>
      <w:tr>
        <w:trPr>
          <w:cantSplit/>
        </w:trPr>
        <w:tc>
          <w:tcPr>
            <w:tcW w:w="846" w:type="dxa"/>
          </w:tcPr>
          <w:p>
            <w:pPr>
              <w:pStyle w:val="yTableNAm"/>
            </w:pPr>
            <w:r>
              <w:t>29.</w:t>
            </w:r>
          </w:p>
        </w:tc>
        <w:tc>
          <w:tcPr>
            <w:tcW w:w="4819" w:type="dxa"/>
          </w:tcPr>
          <w:p>
            <w:pPr>
              <w:pStyle w:val="yTableNAm"/>
            </w:pPr>
            <w:r>
              <w:t>Supply of approved heading for advertising an application</w:t>
            </w:r>
          </w:p>
        </w:tc>
        <w:tc>
          <w:tcPr>
            <w:tcW w:w="1134" w:type="dxa"/>
            <w:vAlign w:val="bottom"/>
          </w:tcPr>
          <w:p>
            <w:pPr>
              <w:pStyle w:val="yTableNAm"/>
              <w:jc w:val="right"/>
            </w:pPr>
            <w:r>
              <w:t>30.50</w:t>
            </w:r>
          </w:p>
        </w:tc>
      </w:tr>
      <w:tr>
        <w:trPr>
          <w:cantSplit/>
        </w:trPr>
        <w:tc>
          <w:tcPr>
            <w:tcW w:w="846" w:type="dxa"/>
          </w:tcPr>
          <w:p>
            <w:pPr>
              <w:pStyle w:val="yTableNAm"/>
            </w:pPr>
            <w:r>
              <w:t>30.</w:t>
            </w:r>
          </w:p>
        </w:tc>
        <w:tc>
          <w:tcPr>
            <w:tcW w:w="4819" w:type="dxa"/>
          </w:tcPr>
          <w:p>
            <w:pPr>
              <w:pStyle w:val="yTableNAm"/>
            </w:pPr>
            <w:r>
              <w:t>Supply of copy of plan — per sheet</w:t>
            </w:r>
          </w:p>
        </w:tc>
        <w:tc>
          <w:tcPr>
            <w:tcW w:w="1134" w:type="dxa"/>
            <w:vAlign w:val="bottom"/>
          </w:tcPr>
          <w:p>
            <w:pPr>
              <w:pStyle w:val="yTableNAm"/>
              <w:jc w:val="right"/>
            </w:pPr>
            <w:r>
              <w:t>30.50 (up to a max. of 243.00)</w:t>
            </w:r>
          </w:p>
        </w:tc>
      </w:tr>
      <w:tr>
        <w:trPr>
          <w:cantSplit/>
        </w:trPr>
        <w:tc>
          <w:tcPr>
            <w:tcW w:w="846" w:type="dxa"/>
          </w:tcPr>
          <w:p>
            <w:pPr>
              <w:pStyle w:val="yTableNAm"/>
            </w:pPr>
            <w:r>
              <w:t>31.</w:t>
            </w:r>
          </w:p>
        </w:tc>
        <w:tc>
          <w:tcPr>
            <w:tcW w:w="4819" w:type="dxa"/>
          </w:tcPr>
          <w:p>
            <w:pPr>
              <w:pStyle w:val="yTableNAm"/>
            </w:pPr>
            <w:r>
              <w:t>Supply of certified copy of plan defining licensed premises</w:t>
            </w:r>
          </w:p>
        </w:tc>
        <w:tc>
          <w:tcPr>
            <w:tcW w:w="1134" w:type="dxa"/>
            <w:vAlign w:val="bottom"/>
          </w:tcPr>
          <w:p>
            <w:pPr>
              <w:pStyle w:val="yTableNAm"/>
              <w:jc w:val="right"/>
            </w:pPr>
            <w:r>
              <w:t>45.50</w:t>
            </w:r>
          </w:p>
        </w:tc>
      </w:tr>
      <w:tr>
        <w:trPr>
          <w:cantSplit/>
        </w:trPr>
        <w:tc>
          <w:tcPr>
            <w:tcW w:w="846" w:type="dxa"/>
          </w:tcPr>
          <w:p>
            <w:pPr>
              <w:pStyle w:val="yTableNAm"/>
            </w:pPr>
            <w:r>
              <w:t>32.</w:t>
            </w:r>
          </w:p>
        </w:tc>
        <w:tc>
          <w:tcPr>
            <w:tcW w:w="4819" w:type="dxa"/>
          </w:tcPr>
          <w:p>
            <w:pPr>
              <w:pStyle w:val="yTableNAm"/>
            </w:pPr>
            <w:r>
              <w:t>Supply of copy of a licence, a permit or a decision of the Commission (or the former Liquor Licensing Court) or the Director</w:t>
            </w:r>
          </w:p>
        </w:tc>
        <w:tc>
          <w:tcPr>
            <w:tcW w:w="1134" w:type="dxa"/>
            <w:vAlign w:val="bottom"/>
          </w:tcPr>
          <w:p>
            <w:pPr>
              <w:pStyle w:val="yTableNAm"/>
              <w:jc w:val="right"/>
            </w:pPr>
            <w:r>
              <w:t>30.50</w:t>
            </w:r>
          </w:p>
        </w:tc>
      </w:tr>
      <w:tr>
        <w:trPr>
          <w:cantSplit/>
        </w:trPr>
        <w:tc>
          <w:tcPr>
            <w:tcW w:w="846" w:type="dxa"/>
          </w:tcPr>
          <w:p>
            <w:pPr>
              <w:pStyle w:val="yTableNAm"/>
            </w:pPr>
            <w:r>
              <w:t>33.</w:t>
            </w:r>
          </w:p>
        </w:tc>
        <w:tc>
          <w:tcPr>
            <w:tcW w:w="4819" w:type="dxa"/>
          </w:tcPr>
          <w:p>
            <w:pPr>
              <w:pStyle w:val="yTableNAm"/>
            </w:pPr>
            <w:r>
              <w:t>Certification of a copy of a licence, a permit or a decision of the Commission (or the former Liquor Licensing Court) or the Director</w:t>
            </w:r>
          </w:p>
          <w:p>
            <w:pPr>
              <w:pStyle w:val="yTableNAm"/>
            </w:pPr>
            <w:r>
              <w:rPr>
                <w:sz w:val="20"/>
              </w:rPr>
              <w:t>[In addition to the fee under item 32]</w:t>
            </w:r>
          </w:p>
        </w:tc>
        <w:tc>
          <w:tcPr>
            <w:tcW w:w="1134" w:type="dxa"/>
            <w:vAlign w:val="bottom"/>
          </w:tcPr>
          <w:p>
            <w:pPr>
              <w:pStyle w:val="yTableNAm"/>
              <w:jc w:val="right"/>
            </w:pPr>
            <w:r>
              <w:t>30.50</w:t>
            </w:r>
          </w:p>
          <w:p>
            <w:pPr>
              <w:pStyle w:val="yTableNAm"/>
              <w:jc w:val="right"/>
            </w:pPr>
          </w:p>
        </w:tc>
      </w:tr>
      <w:tr>
        <w:trPr>
          <w:cantSplit/>
        </w:trPr>
        <w:tc>
          <w:tcPr>
            <w:tcW w:w="846" w:type="dxa"/>
          </w:tcPr>
          <w:p>
            <w:pPr>
              <w:pStyle w:val="yTableNAm"/>
            </w:pPr>
            <w:r>
              <w:lastRenderedPageBreak/>
              <w:t>34.</w:t>
            </w:r>
          </w:p>
        </w:tc>
        <w:tc>
          <w:tcPr>
            <w:tcW w:w="4819" w:type="dxa"/>
          </w:tcPr>
          <w:p>
            <w:pPr>
              <w:pStyle w:val="yTableNAm"/>
            </w:pPr>
            <w:r>
              <w:t>Supply of copy of documentation, other than that already prescribed — per page</w:t>
            </w:r>
          </w:p>
        </w:tc>
        <w:tc>
          <w:tcPr>
            <w:tcW w:w="1134" w:type="dxa"/>
            <w:vAlign w:val="bottom"/>
          </w:tcPr>
          <w:p>
            <w:pPr>
              <w:pStyle w:val="yTableNAm"/>
              <w:jc w:val="right"/>
            </w:pPr>
            <w:r>
              <w:t>4.00</w:t>
            </w:r>
          </w:p>
        </w:tc>
      </w:tr>
      <w:tr>
        <w:trPr>
          <w:cantSplit/>
        </w:trPr>
        <w:tc>
          <w:tcPr>
            <w:tcW w:w="846" w:type="dxa"/>
          </w:tcPr>
          <w:p>
            <w:pPr>
              <w:pStyle w:val="yTableNAm"/>
            </w:pPr>
            <w:r>
              <w:t>35.</w:t>
            </w:r>
          </w:p>
        </w:tc>
        <w:tc>
          <w:tcPr>
            <w:tcW w:w="4819" w:type="dxa"/>
          </w:tcPr>
          <w:p>
            <w:pPr>
              <w:pStyle w:val="yTableNAm"/>
            </w:pPr>
            <w:r>
              <w:t>Issue of a summons to a witness</w:t>
            </w:r>
          </w:p>
        </w:tc>
        <w:tc>
          <w:tcPr>
            <w:tcW w:w="1134" w:type="dxa"/>
            <w:vAlign w:val="bottom"/>
          </w:tcPr>
          <w:p>
            <w:pPr>
              <w:pStyle w:val="yTableNAm"/>
              <w:jc w:val="right"/>
            </w:pPr>
            <w:r>
              <w:t>25.00</w:t>
            </w:r>
          </w:p>
        </w:tc>
      </w:tr>
      <w:tr>
        <w:trPr>
          <w:cantSplit/>
        </w:trPr>
        <w:tc>
          <w:tcPr>
            <w:tcW w:w="846" w:type="dxa"/>
          </w:tcPr>
          <w:p>
            <w:pPr>
              <w:pStyle w:val="yTableNAm"/>
            </w:pPr>
            <w:r>
              <w:t>36.</w:t>
            </w:r>
          </w:p>
        </w:tc>
        <w:tc>
          <w:tcPr>
            <w:tcW w:w="4819" w:type="dxa"/>
          </w:tcPr>
          <w:p>
            <w:pPr>
              <w:pStyle w:val="yTableNAm"/>
            </w:pPr>
            <w:r>
              <w:t>Search of the database of records of licences — per licence</w:t>
            </w:r>
          </w:p>
        </w:tc>
        <w:tc>
          <w:tcPr>
            <w:tcW w:w="1134" w:type="dxa"/>
            <w:vAlign w:val="bottom"/>
          </w:tcPr>
          <w:p>
            <w:pPr>
              <w:pStyle w:val="yTableNAm"/>
              <w:jc w:val="right"/>
            </w:pPr>
            <w:r>
              <w:t>45.50</w:t>
            </w:r>
          </w:p>
        </w:tc>
      </w:tr>
      <w:tr>
        <w:trPr>
          <w:cantSplit/>
        </w:trPr>
        <w:tc>
          <w:tcPr>
            <w:tcW w:w="846" w:type="dxa"/>
          </w:tcPr>
          <w:p>
            <w:pPr>
              <w:pStyle w:val="yTableNAm"/>
            </w:pPr>
            <w:r>
              <w:t>37.</w:t>
            </w:r>
          </w:p>
        </w:tc>
        <w:tc>
          <w:tcPr>
            <w:tcW w:w="4819" w:type="dxa"/>
          </w:tcPr>
          <w:p>
            <w:pPr>
              <w:pStyle w:val="yTableNAm"/>
            </w:pPr>
            <w:r>
              <w:t>Full search of a licence record</w:t>
            </w:r>
          </w:p>
        </w:tc>
        <w:tc>
          <w:tcPr>
            <w:tcW w:w="1134" w:type="dxa"/>
            <w:vAlign w:val="bottom"/>
          </w:tcPr>
          <w:p>
            <w:pPr>
              <w:pStyle w:val="yTableNAm"/>
              <w:jc w:val="right"/>
            </w:pPr>
            <w:r>
              <w:t>58.50</w:t>
            </w:r>
          </w:p>
        </w:tc>
      </w:tr>
      <w:tr>
        <w:trPr>
          <w:cantSplit/>
        </w:trPr>
        <w:tc>
          <w:tcPr>
            <w:tcW w:w="846" w:type="dxa"/>
            <w:tcBorders>
              <w:bottom w:val="nil"/>
            </w:tcBorders>
          </w:tcPr>
          <w:p>
            <w:pPr>
              <w:pStyle w:val="yTableNAm"/>
            </w:pPr>
            <w:r>
              <w:t>38.</w:t>
            </w:r>
          </w:p>
        </w:tc>
        <w:tc>
          <w:tcPr>
            <w:tcW w:w="4819" w:type="dxa"/>
            <w:tcBorders>
              <w:bottom w:val="nil"/>
            </w:tcBorders>
          </w:tcPr>
          <w:p>
            <w:pPr>
              <w:pStyle w:val="yTableNAm"/>
            </w:pPr>
            <w:r>
              <w:t xml:space="preserve">Search of postcodes — </w:t>
            </w:r>
          </w:p>
        </w:tc>
        <w:tc>
          <w:tcPr>
            <w:tcW w:w="1134" w:type="dxa"/>
            <w:tcBorders>
              <w:bottom w:val="nil"/>
            </w:tcBorders>
            <w:vAlign w:val="bottom"/>
          </w:tcPr>
          <w:p>
            <w:pPr>
              <w:pStyle w:val="yTableNAm"/>
              <w:jc w:val="right"/>
            </w:pPr>
          </w:p>
        </w:tc>
      </w:tr>
      <w:tr>
        <w:trPr>
          <w:cantSplit/>
        </w:trPr>
        <w:tc>
          <w:tcPr>
            <w:tcW w:w="846" w:type="dxa"/>
            <w:tcBorders>
              <w:top w:val="nil"/>
              <w:bottom w:val="nil"/>
            </w:tcBorders>
          </w:tcPr>
          <w:p/>
        </w:tc>
        <w:tc>
          <w:tcPr>
            <w:tcW w:w="4819" w:type="dxa"/>
            <w:tcBorders>
              <w:top w:val="nil"/>
              <w:bottom w:val="nil"/>
            </w:tcBorders>
          </w:tcPr>
          <w:p>
            <w:pPr>
              <w:pStyle w:val="yTableNAm"/>
              <w:tabs>
                <w:tab w:val="clear" w:pos="567"/>
              </w:tabs>
              <w:ind w:left="601" w:hanging="425"/>
              <w:rPr>
                <w:szCs w:val="22"/>
              </w:rPr>
            </w:pPr>
            <w:r>
              <w:rPr>
                <w:szCs w:val="22"/>
              </w:rPr>
              <w:t>(a)</w:t>
            </w:r>
            <w:r>
              <w:rPr>
                <w:szCs w:val="22"/>
              </w:rPr>
              <w:tab/>
              <w:t>1 to 10 postcodes</w:t>
            </w:r>
          </w:p>
        </w:tc>
        <w:tc>
          <w:tcPr>
            <w:tcW w:w="1134" w:type="dxa"/>
            <w:tcBorders>
              <w:top w:val="nil"/>
              <w:bottom w:val="nil"/>
            </w:tcBorders>
            <w:vAlign w:val="bottom"/>
          </w:tcPr>
          <w:p>
            <w:pPr>
              <w:pStyle w:val="yTableNAm"/>
              <w:jc w:val="right"/>
            </w:pPr>
            <w:r>
              <w:t>45.50</w:t>
            </w:r>
          </w:p>
        </w:tc>
      </w:tr>
      <w:tr>
        <w:trPr>
          <w:cantSplit/>
        </w:trPr>
        <w:tc>
          <w:tcPr>
            <w:tcW w:w="846" w:type="dxa"/>
            <w:tcBorders>
              <w:top w:val="nil"/>
            </w:tcBorders>
          </w:tcPr>
          <w:p/>
        </w:tc>
        <w:tc>
          <w:tcPr>
            <w:tcW w:w="4819" w:type="dxa"/>
            <w:tcBorders>
              <w:top w:val="nil"/>
            </w:tcBorders>
          </w:tcPr>
          <w:p>
            <w:pPr>
              <w:pStyle w:val="yTableNAm"/>
              <w:tabs>
                <w:tab w:val="clear" w:pos="567"/>
              </w:tabs>
              <w:ind w:left="601" w:hanging="425"/>
              <w:rPr>
                <w:szCs w:val="22"/>
              </w:rPr>
            </w:pPr>
            <w:r>
              <w:rPr>
                <w:szCs w:val="22"/>
              </w:rPr>
              <w:t>(b)</w:t>
            </w:r>
            <w:r>
              <w:rPr>
                <w:szCs w:val="22"/>
              </w:rPr>
              <w:tab/>
              <w:t>more than 10 postcodes</w:t>
            </w:r>
          </w:p>
        </w:tc>
        <w:tc>
          <w:tcPr>
            <w:tcW w:w="1134" w:type="dxa"/>
            <w:tcBorders>
              <w:top w:val="nil"/>
            </w:tcBorders>
            <w:vAlign w:val="bottom"/>
          </w:tcPr>
          <w:p>
            <w:pPr>
              <w:pStyle w:val="yTableNAm"/>
              <w:jc w:val="right"/>
            </w:pPr>
            <w:r>
              <w:t>101.00</w:t>
            </w:r>
          </w:p>
        </w:tc>
      </w:tr>
      <w:tr>
        <w:trPr>
          <w:cantSplit/>
        </w:trPr>
        <w:tc>
          <w:tcPr>
            <w:tcW w:w="846" w:type="dxa"/>
          </w:tcPr>
          <w:p>
            <w:pPr>
              <w:pStyle w:val="yTableNAm"/>
            </w:pPr>
            <w:r>
              <w:t>39.</w:t>
            </w:r>
          </w:p>
        </w:tc>
        <w:tc>
          <w:tcPr>
            <w:tcW w:w="4819" w:type="dxa"/>
          </w:tcPr>
          <w:p>
            <w:pPr>
              <w:pStyle w:val="yTableNAm"/>
            </w:pPr>
            <w:r>
              <w:t>For each person who is a party to an application under the Act and in relation to whom a background check is sought from the Police Service</w:t>
            </w:r>
          </w:p>
        </w:tc>
        <w:tc>
          <w:tcPr>
            <w:tcW w:w="1134" w:type="dxa"/>
            <w:vAlign w:val="bottom"/>
          </w:tcPr>
          <w:p>
            <w:pPr>
              <w:pStyle w:val="yTableNAm"/>
              <w:jc w:val="right"/>
            </w:pPr>
            <w:r>
              <w:t>171.00</w:t>
            </w:r>
          </w:p>
        </w:tc>
      </w:tr>
    </w:tbl>
    <w:p>
      <w:pPr>
        <w:pStyle w:val="yFootnotesection"/>
        <w:rPr>
          <w:rStyle w:val="CharSchNo"/>
          <w:b/>
          <w:snapToGrid/>
        </w:rPr>
      </w:pPr>
      <w:r>
        <w:rPr>
          <w:rStyle w:val="CharSchNo"/>
        </w:rPr>
        <w:tab/>
        <w:t>[Schedule 3 inserted: SL 2024/213 r. 14.]</w:t>
      </w:r>
    </w:p>
    <w:p>
      <w:pPr>
        <w:pStyle w:val="yFootnoteheading"/>
      </w:pPr>
    </w:p>
    <w:p>
      <w:pPr>
        <w:sectPr>
          <w:headerReference w:type="even" r:id="rId29"/>
          <w:headerReference w:type="default" r:id="rId30"/>
          <w:pgSz w:w="11907" w:h="16840" w:code="9"/>
          <w:pgMar w:top="2381" w:right="2409" w:bottom="3543" w:left="2409" w:header="720" w:footer="3544" w:gutter="0"/>
          <w:cols w:space="720"/>
          <w:noEndnote/>
          <w:docGrid w:linePitch="326"/>
        </w:sectPr>
      </w:pPr>
    </w:p>
    <w:p>
      <w:pPr>
        <w:pStyle w:val="yScheduleHeading"/>
      </w:pPr>
      <w:bookmarkStart w:id="122" w:name="_Toc187996508"/>
      <w:bookmarkStart w:id="123" w:name="_Toc187997542"/>
      <w:bookmarkStart w:id="124" w:name="_Toc188000792"/>
      <w:r>
        <w:rPr>
          <w:rStyle w:val="CharSchNo"/>
        </w:rPr>
        <w:lastRenderedPageBreak/>
        <w:t>Schedule 4</w:t>
      </w:r>
      <w:r>
        <w:rPr>
          <w:rStyle w:val="CharSDivNo"/>
        </w:rPr>
        <w:t> </w:t>
      </w:r>
      <w:r>
        <w:t>—</w:t>
      </w:r>
      <w:r>
        <w:rPr>
          <w:rStyle w:val="CharSDivText"/>
        </w:rPr>
        <w:t> </w:t>
      </w:r>
      <w:r>
        <w:rPr>
          <w:rStyle w:val="CharSchText"/>
        </w:rPr>
        <w:t>Images of deposited plans showing protected entertainment precincts</w:t>
      </w:r>
      <w:bookmarkEnd w:id="122"/>
      <w:bookmarkEnd w:id="123"/>
      <w:bookmarkEnd w:id="124"/>
    </w:p>
    <w:p>
      <w:pPr>
        <w:pStyle w:val="yShoulderClause"/>
      </w:pPr>
      <w:r>
        <w:t>[r. 28(3)]</w:t>
      </w:r>
    </w:p>
    <w:p>
      <w:pPr>
        <w:pStyle w:val="yHeading5"/>
      </w:pPr>
      <w:bookmarkStart w:id="125" w:name="_Toc188000793"/>
      <w:r>
        <w:rPr>
          <w:rStyle w:val="CharSClsNo"/>
        </w:rPr>
        <w:t>1</w:t>
      </w:r>
      <w:r>
        <w:t>.</w:t>
      </w:r>
      <w:r>
        <w:tab/>
        <w:t>Fremantle</w:t>
      </w:r>
      <w:bookmarkEnd w:id="125"/>
    </w:p>
    <w:p>
      <w:pPr>
        <w:pStyle w:val="yMiscellaneousBody"/>
      </w:pPr>
      <w:r>
        <w:rPr>
          <w:noProof/>
        </w:rPr>
        <w:drawing>
          <wp:inline distT="0" distB="0" distL="0" distR="0">
            <wp:extent cx="5410953" cy="3751858"/>
            <wp:effectExtent l="0" t="8572"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rot="16200000">
                      <a:off x="0" y="0"/>
                      <a:ext cx="5471346" cy="3793733"/>
                    </a:xfrm>
                    <a:prstGeom prst="rect">
                      <a:avLst/>
                    </a:prstGeom>
                  </pic:spPr>
                </pic:pic>
              </a:graphicData>
            </a:graphic>
          </wp:inline>
        </w:drawing>
      </w:r>
    </w:p>
    <w:p>
      <w:pPr>
        <w:pStyle w:val="yHeading5"/>
      </w:pPr>
      <w:bookmarkStart w:id="126" w:name="_Toc187926398"/>
      <w:bookmarkStart w:id="127" w:name="_Toc187926623"/>
      <w:bookmarkStart w:id="128" w:name="_Toc188000794"/>
      <w:r>
        <w:lastRenderedPageBreak/>
        <w:t>2.</w:t>
      </w:r>
      <w:r>
        <w:tab/>
        <w:t>Hillarys</w:t>
      </w:r>
      <w:bookmarkEnd w:id="126"/>
      <w:bookmarkEnd w:id="127"/>
      <w:bookmarkEnd w:id="128"/>
    </w:p>
    <w:p>
      <w:pPr>
        <w:pStyle w:val="yMiscellaneousBody"/>
        <w:rPr>
          <w:noProof/>
        </w:rPr>
      </w:pPr>
      <w:r>
        <w:rPr>
          <w:noProof/>
        </w:rPr>
        <w:drawing>
          <wp:inline distT="0" distB="0" distL="0" distR="0">
            <wp:extent cx="5437437" cy="3754880"/>
            <wp:effectExtent l="2857"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16200000">
                      <a:off x="0" y="0"/>
                      <a:ext cx="5464002" cy="3773225"/>
                    </a:xfrm>
                    <a:prstGeom prst="rect">
                      <a:avLst/>
                    </a:prstGeom>
                  </pic:spPr>
                </pic:pic>
              </a:graphicData>
            </a:graphic>
          </wp:inline>
        </w:drawing>
      </w:r>
    </w:p>
    <w:p>
      <w:pPr>
        <w:pStyle w:val="yHeading5"/>
      </w:pPr>
      <w:bookmarkStart w:id="129" w:name="_Toc188000795"/>
      <w:r>
        <w:rPr>
          <w:rStyle w:val="CharSClsNo"/>
        </w:rPr>
        <w:lastRenderedPageBreak/>
        <w:t>3</w:t>
      </w:r>
      <w:r>
        <w:t>.</w:t>
      </w:r>
      <w:r>
        <w:tab/>
        <w:t>Mandurah</w:t>
      </w:r>
      <w:bookmarkEnd w:id="129"/>
    </w:p>
    <w:p>
      <w:pPr>
        <w:pStyle w:val="yMiscellaneousBody"/>
        <w:rPr>
          <w:noProof/>
        </w:rPr>
      </w:pPr>
      <w:r>
        <w:rPr>
          <w:noProof/>
        </w:rPr>
        <w:drawing>
          <wp:inline distT="0" distB="0" distL="0" distR="0">
            <wp:extent cx="5403600" cy="3751200"/>
            <wp:effectExtent l="6985"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16200000">
                      <a:off x="0" y="0"/>
                      <a:ext cx="5403600" cy="3751200"/>
                    </a:xfrm>
                    <a:prstGeom prst="rect">
                      <a:avLst/>
                    </a:prstGeom>
                  </pic:spPr>
                </pic:pic>
              </a:graphicData>
            </a:graphic>
          </wp:inline>
        </w:drawing>
      </w:r>
    </w:p>
    <w:p>
      <w:pPr>
        <w:pStyle w:val="yHeading5"/>
      </w:pPr>
      <w:bookmarkStart w:id="130" w:name="_Toc188000796"/>
      <w:r>
        <w:rPr>
          <w:rStyle w:val="CharSClsNo"/>
        </w:rPr>
        <w:lastRenderedPageBreak/>
        <w:t>4</w:t>
      </w:r>
      <w:r>
        <w:t>.</w:t>
      </w:r>
      <w:r>
        <w:tab/>
        <w:t>Perth and Northbridge</w:t>
      </w:r>
      <w:bookmarkEnd w:id="130"/>
    </w:p>
    <w:p>
      <w:pPr>
        <w:pStyle w:val="yMiscellaneousBody"/>
        <w:rPr>
          <w:noProof/>
        </w:rPr>
      </w:pPr>
      <w:r>
        <w:rPr>
          <w:noProof/>
        </w:rPr>
        <w:drawing>
          <wp:inline distT="0" distB="0" distL="0" distR="0">
            <wp:extent cx="5414400" cy="3751200"/>
            <wp:effectExtent l="0" t="6668" r="8573" b="8572"/>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5414400" cy="3751200"/>
                    </a:xfrm>
                    <a:prstGeom prst="rect">
                      <a:avLst/>
                    </a:prstGeom>
                  </pic:spPr>
                </pic:pic>
              </a:graphicData>
            </a:graphic>
          </wp:inline>
        </w:drawing>
      </w:r>
    </w:p>
    <w:p>
      <w:pPr>
        <w:pStyle w:val="yHeading5"/>
      </w:pPr>
      <w:bookmarkStart w:id="131" w:name="_Toc188000797"/>
      <w:r>
        <w:rPr>
          <w:rStyle w:val="CharSClsNo"/>
        </w:rPr>
        <w:lastRenderedPageBreak/>
        <w:t>5</w:t>
      </w:r>
      <w:r>
        <w:t>.</w:t>
      </w:r>
      <w:r>
        <w:tab/>
        <w:t>Scarborough</w:t>
      </w:r>
      <w:bookmarkEnd w:id="131"/>
    </w:p>
    <w:p>
      <w:pPr>
        <w:pStyle w:val="yMiscellaneousBody"/>
        <w:rPr>
          <w:noProof/>
        </w:rPr>
      </w:pPr>
      <w:r>
        <w:rPr>
          <w:noProof/>
        </w:rPr>
        <w:drawing>
          <wp:inline distT="0" distB="0" distL="0" distR="0">
            <wp:extent cx="5403600" cy="3751200"/>
            <wp:effectExtent l="6985"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rot="16200000">
                      <a:off x="0" y="0"/>
                      <a:ext cx="5403600" cy="3751200"/>
                    </a:xfrm>
                    <a:prstGeom prst="rect">
                      <a:avLst/>
                    </a:prstGeom>
                  </pic:spPr>
                </pic:pic>
              </a:graphicData>
            </a:graphic>
          </wp:inline>
        </w:drawing>
      </w:r>
    </w:p>
    <w:p>
      <w:pPr>
        <w:pStyle w:val="yFootnotesection"/>
      </w:pPr>
      <w:r>
        <w:tab/>
        <w:t>[Schedule 4 inserted: SL 2022/217 r. 8; amended: SL 2025/9 r. 5.]</w:t>
      </w:r>
    </w:p>
    <w:p>
      <w:pPr>
        <w:pStyle w:val="CentredBaseLine"/>
        <w:jc w:val="center"/>
      </w:pPr>
      <w:r>
        <w:rPr>
          <w:noProof/>
        </w:rPr>
        <w:drawing>
          <wp:inline distT="0" distB="0" distL="0" distR="0">
            <wp:extent cx="933450" cy="1714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37"/>
          <w:headerReference w:type="default" r:id="rId38"/>
          <w:pgSz w:w="11907" w:h="16840" w:code="9"/>
          <w:pgMar w:top="2381" w:right="2410" w:bottom="3544" w:left="2410" w:header="720" w:footer="3544" w:gutter="0"/>
          <w:cols w:space="720"/>
        </w:sectPr>
      </w:pPr>
    </w:p>
    <w:p>
      <w:pPr>
        <w:pStyle w:val="nHeading2"/>
      </w:pPr>
      <w:bookmarkStart w:id="132" w:name="_Toc187996514"/>
      <w:bookmarkStart w:id="133" w:name="_Toc187997548"/>
      <w:bookmarkStart w:id="134" w:name="_Toc188000798"/>
      <w:r>
        <w:lastRenderedPageBreak/>
        <w:t>Notes</w:t>
      </w:r>
      <w:bookmarkEnd w:id="132"/>
      <w:bookmarkEnd w:id="133"/>
      <w:bookmarkEnd w:id="134"/>
    </w:p>
    <w:p>
      <w:pPr>
        <w:pStyle w:val="nStatement"/>
      </w:pPr>
      <w:r>
        <w:t xml:space="preserve">This is a compilation of the </w:t>
      </w:r>
      <w:r>
        <w:rPr>
          <w:i/>
          <w:noProof/>
        </w:rPr>
        <w:t>Liquor Control Regulations 1989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5" w:name="_Toc188000799"/>
      <w:r>
        <w:t>Compilation table</w:t>
      </w:r>
      <w:bookmarkEnd w:id="1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Liquor Licensing Regulations 1989</w:t>
            </w:r>
            <w:r>
              <w:rPr>
                <w:iCs/>
                <w:vertAlign w:val="superscript"/>
              </w:rPr>
              <w:t> 4</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Liquor Licensing Amendment Regulations 1991</w:t>
            </w:r>
            <w:r>
              <w:rPr>
                <w:vertAlign w:val="superscript"/>
              </w:rPr>
              <w:t> 5</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6</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lastRenderedPageBreak/>
              <w:t xml:space="preserve">Reprint of the </w:t>
            </w:r>
            <w:r>
              <w:rPr>
                <w:b/>
                <w:i/>
              </w:rPr>
              <w:t>Liquor Licensing Regulations 1989</w:t>
            </w:r>
            <w:r>
              <w:rPr>
                <w:b/>
              </w:rPr>
              <w:t xml:space="preserve"> as at 8 Mar 2002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Liquor Licensing Amendment Regulations 2004</w:t>
            </w:r>
            <w:r>
              <w:t xml:space="preserve"> </w:t>
            </w:r>
            <w:r>
              <w:rPr>
                <w:vertAlign w:val="superscript"/>
              </w:rPr>
              <w:t>7</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vertAlign w:val="superscript"/>
              </w:rPr>
            </w:pPr>
            <w:r>
              <w:rPr>
                <w:i/>
              </w:rPr>
              <w:t>Liquor Control Amendment Regulations (No. 2) 2007 </w:t>
            </w:r>
            <w:r>
              <w:rPr>
                <w:vertAlign w:val="superscript"/>
              </w:rPr>
              <w:t>8</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lastRenderedPageBreak/>
              <w:t xml:space="preserve">Reprint 7: The </w:t>
            </w:r>
            <w:r>
              <w:rPr>
                <w:b/>
                <w:i/>
              </w:rPr>
              <w:t>Liquor Control Regulations 1989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8: The </w:t>
            </w:r>
            <w:r>
              <w:rPr>
                <w:b/>
                <w:i/>
              </w:rPr>
              <w:t>Liquor Control Regulations 1989</w:t>
            </w:r>
            <w:r>
              <w:rPr>
                <w:b/>
              </w:rPr>
              <w:t xml:space="preserve"> as at 3 Jul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lastRenderedPageBreak/>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rPr>
              <w:t xml:space="preserve">Reprint 9: The </w:t>
            </w:r>
            <w:r>
              <w:rPr>
                <w:b/>
                <w:i/>
              </w:rPr>
              <w:t>Liquor Control Regulations 1989</w:t>
            </w:r>
            <w:r>
              <w:rPr>
                <w:b/>
              </w:rPr>
              <w:t xml:space="preserve"> as at 18 Jun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Liquor Control Amendment Regulations (No. 6) 2011</w:t>
            </w:r>
          </w:p>
        </w:tc>
        <w:tc>
          <w:tcPr>
            <w:tcW w:w="1276" w:type="dxa"/>
          </w:tcPr>
          <w:p>
            <w:pPr>
              <w:pStyle w:val="nTable"/>
              <w:spacing w:after="40"/>
            </w:pPr>
            <w:r>
              <w:t>7 Oct 2011 p. 4068-70</w:t>
            </w:r>
          </w:p>
        </w:tc>
        <w:tc>
          <w:tcPr>
            <w:tcW w:w="2693" w:type="dxa"/>
          </w:tcPr>
          <w:p>
            <w:pPr>
              <w:pStyle w:val="nTable"/>
              <w:spacing w:after="40"/>
              <w:rPr>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Liquor Control Amendment Regulations (No. 10) 2011</w:t>
            </w:r>
            <w:r>
              <w:rPr>
                <w:vertAlign w:val="superscript"/>
              </w:rPr>
              <w:t> 9</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2012</w:t>
            </w:r>
          </w:p>
        </w:tc>
        <w:tc>
          <w:tcPr>
            <w:tcW w:w="1276" w:type="dxa"/>
            <w:shd w:val="clear" w:color="auto" w:fill="auto"/>
          </w:tcPr>
          <w:p>
            <w:pPr>
              <w:pStyle w:val="nTable"/>
              <w:spacing w:after="40"/>
            </w:pPr>
            <w:r>
              <w:t>16 Nov 2012 p. 5652-6</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rPr>
              <w:t xml:space="preserve">Reprint 11: The </w:t>
            </w:r>
            <w:r>
              <w:rPr>
                <w:b/>
                <w:i/>
              </w:rPr>
              <w:t>Liquor Control Regulations 1989</w:t>
            </w:r>
            <w:r>
              <w:rPr>
                <w:b/>
              </w:rPr>
              <w:t xml:space="preserve"> as at 11 Jan 2013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pPr>
            <w:r>
              <w:t>8 Nov 2013 p. 4977</w:t>
            </w:r>
            <w:r>
              <w:noBreakHyphen/>
              <w:t>80</w:t>
            </w:r>
          </w:p>
        </w:tc>
        <w:tc>
          <w:tcPr>
            <w:tcW w:w="2693" w:type="dxa"/>
            <w:shd w:val="clear" w:color="auto" w:fill="auto"/>
          </w:tcPr>
          <w:p>
            <w:pPr>
              <w:pStyle w:val="nTable"/>
              <w:spacing w:after="40"/>
              <w:rPr>
                <w:b/>
                <w:bCs/>
                <w:snapToGrid w:val="0"/>
                <w:spacing w:val="-2"/>
              </w:rPr>
            </w:pPr>
            <w:r>
              <w:rPr>
                <w:bCs/>
                <w:snapToGrid w:val="0"/>
              </w:rPr>
              <w:t>r. 1 and 2: 8 Nov 2013 (see r. 2(a));</w:t>
            </w:r>
            <w:r>
              <w:rPr>
                <w:bCs/>
                <w:snapToGrid w:val="0"/>
              </w:rPr>
              <w:br/>
              <w:t xml:space="preserve">Regulations other than r. 1 and 2: </w:t>
            </w:r>
            <w:r>
              <w:t>1 Jan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rPr>
              <w:t xml:space="preserve">Reprint </w:t>
            </w:r>
            <w:r>
              <w:rPr>
                <w:b/>
                <w:bCs/>
                <w:snapToGrid w:val="0"/>
                <w:spacing w:val="-2"/>
              </w:rPr>
              <w:t>13</w:t>
            </w:r>
            <w:r>
              <w:rPr>
                <w:b/>
                <w:bCs/>
                <w:snapToGrid w:val="0"/>
              </w:rPr>
              <w:t xml:space="preserve">: The </w:t>
            </w:r>
            <w:r>
              <w:rPr>
                <w:b/>
                <w:bCs/>
                <w:i/>
                <w:noProof/>
                <w:snapToGrid w:val="0"/>
                <w:spacing w:val="-2"/>
              </w:rPr>
              <w:t>Liquor Control Regulations 1989</w:t>
            </w:r>
            <w:r>
              <w:rPr>
                <w:b/>
                <w:bCs/>
                <w:snapToGrid w:val="0"/>
              </w:rPr>
              <w:t xml:space="preserve"> as at </w:t>
            </w:r>
            <w:r>
              <w:rPr>
                <w:b/>
                <w:bCs/>
                <w:snapToGrid w:val="0"/>
                <w:spacing w:val="-2"/>
              </w:rPr>
              <w:t>5 Jun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bCs/>
                <w:snapToGrid w:val="0"/>
                <w:spacing w:val="-2"/>
              </w:rPr>
              <w:t>r. 1 and 2: 8 Apr 2016 (see r. 2(a));</w:t>
            </w:r>
            <w:r>
              <w:rPr>
                <w:bCs/>
                <w:snapToGrid w:val="0"/>
                <w:spacing w:val="-2"/>
              </w:rPr>
              <w:br/>
              <w:t xml:space="preserve">Regulations other than r. 1 and 2: 9 Apr 2016 (see r. 2(b) and </w:t>
            </w:r>
            <w:r>
              <w:rPr>
                <w:bCs/>
                <w:i/>
                <w:snapToGrid w:val="0"/>
                <w:spacing w:val="-2"/>
              </w:rPr>
              <w:t>Gazette</w:t>
            </w:r>
            <w:r>
              <w:rPr>
                <w:bCs/>
                <w:snapToGrid w:val="0"/>
                <w:spacing w:val="-2"/>
              </w:rPr>
              <w:t xml:space="preserve"> 8 Apr 2016 p. 1099)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bCs/>
                <w:snapToGrid w:val="0"/>
                <w:spacing w:val="-2"/>
              </w:rPr>
              <w:t>r. 1 and 2: 26 Jul 2016 (see r. 2(a));</w:t>
            </w:r>
            <w:r>
              <w:rPr>
                <w:bCs/>
                <w:snapToGrid w:val="0"/>
                <w:spacing w:val="-2"/>
              </w:rPr>
              <w:br/>
              <w:t>Regulations other than r. 1, 2 and 4(2): 27 Jul 2016 (see r. 2(b));</w:t>
            </w:r>
            <w:r>
              <w:rPr>
                <w:bCs/>
                <w:snapToGrid w:val="0"/>
                <w:spacing w:val="-2"/>
              </w:rPr>
              <w:br/>
              <w:t xml:space="preserve">r. 4(2): 1 Aug 2016 (see r. 2(c) and </w:t>
            </w:r>
            <w:r>
              <w:rPr>
                <w:bCs/>
                <w:i/>
                <w:snapToGrid w:val="0"/>
                <w:spacing w:val="-2"/>
              </w:rPr>
              <w:t xml:space="preserve">Gazette </w:t>
            </w:r>
            <w:r>
              <w:rPr>
                <w:bCs/>
                <w:snapToGrid w:val="0"/>
                <w:spacing w:val="-2"/>
              </w:rPr>
              <w:t>26 Jul 2016 p. 3167)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bCs/>
                <w:snapToGrid w:val="0"/>
                <w:spacing w:val="-2"/>
              </w:rPr>
            </w:pPr>
            <w:r>
              <w:rPr>
                <w:bCs/>
                <w:snapToGrid w:val="0"/>
                <w:spacing w:val="-2"/>
              </w:rPr>
              <w:t>r. 1 and 2: 6 Sep 2016 (see r. 2(a));</w:t>
            </w:r>
            <w:r>
              <w:rPr>
                <w:bCs/>
                <w:snapToGrid w:val="0"/>
                <w:spacing w:val="-2"/>
              </w:rPr>
              <w:br/>
              <w:t>Regulations other than r. 1 and 2: 7 Sep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bCs/>
                <w:snapToGrid w:val="0"/>
                <w:spacing w:val="-2"/>
              </w:rPr>
            </w:pPr>
            <w:r>
              <w:t>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bCs/>
                <w:snapToGrid w:val="0"/>
                <w:spacing w:val="-2"/>
              </w:rPr>
            </w:pPr>
            <w:r>
              <w:rPr>
                <w:bCs/>
                <w:snapToGrid w:val="0"/>
                <w:spacing w:val="-2"/>
              </w:rPr>
              <w:t>r. 1 and 2: 10 Jan 2017 (see r. 2(a));</w:t>
            </w:r>
            <w:r>
              <w:rPr>
                <w:bCs/>
                <w:snapToGrid w:val="0"/>
                <w:spacing w:val="-2"/>
              </w:rPr>
              <w:br/>
              <w:t>Regulations other than r. 1 and 2: 11 Jan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bCs/>
                <w:snapToGrid w:val="0"/>
                <w:spacing w:val="-2"/>
              </w:rPr>
            </w:pPr>
            <w:r>
              <w:rPr>
                <w:bCs/>
                <w:snapToGrid w:val="0"/>
                <w:spacing w:val="-2"/>
              </w:rPr>
              <w:t xml:space="preserve">r. 1 and 2: </w:t>
            </w:r>
            <w:r>
              <w:t>3 Feb 2017</w:t>
            </w:r>
            <w:r>
              <w:rPr>
                <w:bCs/>
                <w:snapToGrid w:val="0"/>
                <w:spacing w:val="-2"/>
              </w:rPr>
              <w:t xml:space="preserve"> (see r. 2(a));</w:t>
            </w:r>
            <w:r>
              <w:rPr>
                <w:bCs/>
                <w:snapToGrid w:val="0"/>
                <w:spacing w:val="-2"/>
              </w:rPr>
              <w:br/>
              <w:t>Regulations other than r. 1 and 2: 4</w:t>
            </w:r>
            <w:r>
              <w:t> Feb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bCs/>
                <w:snapToGrid w:val="0"/>
                <w:spacing w:val="-2"/>
              </w:rPr>
              <w:t xml:space="preserve">Reprint 14: The </w:t>
            </w:r>
            <w:r>
              <w:rPr>
                <w:b/>
                <w:bCs/>
                <w:i/>
                <w:noProof/>
                <w:snapToGrid w:val="0"/>
                <w:spacing w:val="-2"/>
              </w:rPr>
              <w:t>Liquor Control Regulations 1989</w:t>
            </w:r>
            <w:r>
              <w:rPr>
                <w:b/>
                <w:bCs/>
                <w:snapToGrid w:val="0"/>
                <w:spacing w:val="-2"/>
              </w:rPr>
              <w:t xml:space="preserve"> as at 5 May 2017</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bCs/>
                <w:snapToGrid w:val="0"/>
                <w:spacing w:val="-2"/>
              </w:rPr>
            </w:pPr>
            <w:r>
              <w:rPr>
                <w:bCs/>
                <w:snapToGrid w:val="0"/>
                <w:spacing w:val="-2"/>
              </w:rPr>
              <w:t>r. 1 and 2: 18</w:t>
            </w:r>
            <w:r>
              <w:t> Aug 2017</w:t>
            </w:r>
            <w:r>
              <w:rPr>
                <w:bCs/>
                <w:snapToGrid w:val="0"/>
                <w:spacing w:val="-2"/>
              </w:rPr>
              <w:t xml:space="preserve"> (see r. 2(a));</w:t>
            </w:r>
            <w:r>
              <w:rPr>
                <w:bCs/>
                <w:snapToGrid w:val="0"/>
                <w:spacing w:val="-2"/>
              </w:rPr>
              <w:br/>
              <w:t>Regulations other than r. 1 and 2: 19</w:t>
            </w:r>
            <w:r>
              <w:t> Aug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bCs/>
                <w:snapToGrid w:val="0"/>
                <w:spacing w:val="-2"/>
              </w:rPr>
            </w:pPr>
            <w:r>
              <w:rPr>
                <w:bCs/>
                <w:snapToGrid w:val="0"/>
                <w:spacing w:val="-2"/>
              </w:rPr>
              <w:t>r. 1 and 2: 12 Sep 2017 (see r. 2(a));</w:t>
            </w:r>
            <w:r>
              <w:rPr>
                <w:bCs/>
                <w:snapToGrid w:val="0"/>
                <w:spacing w:val="-2"/>
              </w:rPr>
              <w:br/>
              <w:t>Regulations other than r. 1 and 2: 10 Oct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bCs/>
                <w:snapToGrid w:val="0"/>
                <w:spacing w:val="-2"/>
              </w:rPr>
            </w:pPr>
            <w:r>
              <w:rPr>
                <w:bCs/>
                <w:snapToGrid w:val="0"/>
                <w:spacing w:val="-2"/>
              </w:rPr>
              <w:t>r. 1 and 2: 3</w:t>
            </w:r>
            <w:r>
              <w:t> Oct 2017</w:t>
            </w:r>
            <w:r>
              <w:rPr>
                <w:bCs/>
                <w:snapToGrid w:val="0"/>
                <w:spacing w:val="-2"/>
              </w:rPr>
              <w:t xml:space="preserve"> (see r. 2(a));</w:t>
            </w:r>
            <w:r>
              <w:rPr>
                <w:bCs/>
                <w:snapToGrid w:val="0"/>
                <w:spacing w:val="-2"/>
              </w:rPr>
              <w:br/>
              <w:t>Regulations other than r. 1 and 2: 4</w:t>
            </w:r>
            <w:r>
              <w:t> Oct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bCs/>
                <w:snapToGrid w:val="0"/>
                <w:spacing w:val="-2"/>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bCs/>
                <w:snapToGrid w:val="0"/>
                <w:spacing w:val="-2"/>
              </w:rPr>
            </w:pPr>
            <w:r>
              <w:t>1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Liquor Control Amendment Regulations 2018</w:t>
            </w:r>
          </w:p>
        </w:tc>
        <w:tc>
          <w:tcPr>
            <w:tcW w:w="1276" w:type="dxa"/>
            <w:shd w:val="clear" w:color="auto" w:fill="auto"/>
          </w:tcPr>
          <w:p>
            <w:pPr>
              <w:pStyle w:val="nTable"/>
              <w:spacing w:after="40"/>
            </w:pPr>
            <w:r>
              <w:t>19 Jan 2018 p. 231</w:t>
            </w:r>
            <w:r>
              <w:noBreakHyphen/>
              <w:t>2</w:t>
            </w:r>
          </w:p>
        </w:tc>
        <w:tc>
          <w:tcPr>
            <w:tcW w:w="2693" w:type="dxa"/>
            <w:shd w:val="clear" w:color="auto" w:fill="auto"/>
          </w:tcPr>
          <w:p>
            <w:pPr>
              <w:pStyle w:val="nTable"/>
              <w:spacing w:after="40"/>
            </w:pPr>
            <w:r>
              <w:rPr>
                <w:bCs/>
                <w:snapToGrid w:val="0"/>
                <w:spacing w:val="-2"/>
              </w:rPr>
              <w:t>r. 1 and 2: 19 Jan 2018 (see r. 2(a));</w:t>
            </w:r>
            <w:r>
              <w:rPr>
                <w:bCs/>
                <w:snapToGrid w:val="0"/>
                <w:spacing w:val="-2"/>
              </w:rPr>
              <w:br/>
              <w:t>Regulations other than r. 1 and 2: 20 Jan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(Kalumburu Restricted Area) Regulations 2018</w:t>
            </w:r>
            <w:r>
              <w:t xml:space="preserve"> Pt. 5</w:t>
            </w:r>
          </w:p>
        </w:tc>
        <w:tc>
          <w:tcPr>
            <w:tcW w:w="1276" w:type="dxa"/>
            <w:shd w:val="clear" w:color="auto" w:fill="auto"/>
          </w:tcPr>
          <w:p>
            <w:pPr>
              <w:pStyle w:val="nTable"/>
              <w:spacing w:after="40"/>
            </w:pPr>
            <w:r>
              <w:t>2 Mar 2018 p. 669</w:t>
            </w:r>
            <w:r>
              <w:noBreakHyphen/>
              <w:t>72</w:t>
            </w:r>
          </w:p>
        </w:tc>
        <w:tc>
          <w:tcPr>
            <w:tcW w:w="2693" w:type="dxa"/>
            <w:shd w:val="clear" w:color="auto" w:fill="auto"/>
          </w:tcPr>
          <w:p>
            <w:pPr>
              <w:pStyle w:val="nTable"/>
              <w:spacing w:after="40"/>
              <w:rPr>
                <w:bCs/>
                <w:snapToGrid w:val="0"/>
                <w:spacing w:val="-2"/>
              </w:rPr>
            </w:pPr>
            <w:r>
              <w:rPr>
                <w:bCs/>
                <w:snapToGrid w:val="0"/>
                <w:spacing w:val="-2"/>
              </w:rPr>
              <w:t>3 Mar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Liquor Control (Parnngurr Restricted Area) Regulations 2018</w:t>
            </w:r>
            <w:r>
              <w:t xml:space="preserve"> Pt. 5</w:t>
            </w:r>
          </w:p>
        </w:tc>
        <w:tc>
          <w:tcPr>
            <w:tcW w:w="1276" w:type="dxa"/>
            <w:shd w:val="clear" w:color="auto" w:fill="auto"/>
          </w:tcPr>
          <w:p>
            <w:pPr>
              <w:pStyle w:val="nTable"/>
              <w:spacing w:after="40"/>
            </w:pPr>
            <w:r>
              <w:t>6 Jul 2018 p. 2546</w:t>
            </w:r>
            <w:r>
              <w:noBreakHyphen/>
              <w:t>8</w:t>
            </w:r>
          </w:p>
        </w:tc>
        <w:tc>
          <w:tcPr>
            <w:tcW w:w="2693" w:type="dxa"/>
            <w:shd w:val="clear" w:color="auto" w:fill="auto"/>
          </w:tcPr>
          <w:p>
            <w:pPr>
              <w:pStyle w:val="nTable"/>
              <w:spacing w:after="40"/>
              <w:rPr>
                <w:bCs/>
                <w:snapToGrid w:val="0"/>
                <w:spacing w:val="-2"/>
              </w:rPr>
            </w:pPr>
            <w:r>
              <w:rPr>
                <w:bCs/>
                <w:snapToGrid w:val="0"/>
                <w:spacing w:val="-2"/>
              </w:rPr>
              <w:t>7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2018</w:t>
            </w:r>
          </w:p>
        </w:tc>
        <w:tc>
          <w:tcPr>
            <w:tcW w:w="1276" w:type="dxa"/>
            <w:shd w:val="clear" w:color="auto" w:fill="auto"/>
          </w:tcPr>
          <w:p>
            <w:pPr>
              <w:pStyle w:val="nTable"/>
              <w:spacing w:after="40"/>
            </w:pPr>
            <w:r>
              <w:t>20 Jul 2018 p. 2631</w:t>
            </w:r>
            <w:r>
              <w:noBreakHyphen/>
              <w:t>2</w:t>
            </w:r>
          </w:p>
        </w:tc>
        <w:tc>
          <w:tcPr>
            <w:tcW w:w="2693" w:type="dxa"/>
            <w:shd w:val="clear" w:color="auto" w:fill="auto"/>
          </w:tcPr>
          <w:p>
            <w:pPr>
              <w:pStyle w:val="nTable"/>
              <w:spacing w:after="40"/>
              <w:rPr>
                <w:bCs/>
                <w:snapToGrid w:val="0"/>
              </w:rPr>
            </w:pPr>
            <w:r>
              <w:rPr>
                <w:bCs/>
                <w:snapToGrid w:val="0"/>
              </w:rPr>
              <w:t>r. 1 and 2: 20 Jul 2018 (see r. 2(a));</w:t>
            </w:r>
            <w:r>
              <w:rPr>
                <w:bCs/>
                <w:snapToGrid w:val="0"/>
              </w:rPr>
              <w:br/>
              <w:t>Regulations other than r. 1 and 2: 21 Jul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Gaming and Liquor Regulations Amendment (Fees and Charges) Regulations 2018</w:t>
            </w:r>
            <w:r>
              <w:t xml:space="preserve"> Pt. 6</w:t>
            </w:r>
          </w:p>
        </w:tc>
        <w:tc>
          <w:tcPr>
            <w:tcW w:w="1276" w:type="dxa"/>
            <w:shd w:val="clear" w:color="auto" w:fill="auto"/>
          </w:tcPr>
          <w:p>
            <w:pPr>
              <w:pStyle w:val="nTable"/>
              <w:spacing w:after="40"/>
            </w:pPr>
            <w:r>
              <w:t>7 Sep 2018 p. 3192-200</w:t>
            </w:r>
          </w:p>
        </w:tc>
        <w:tc>
          <w:tcPr>
            <w:tcW w:w="2693" w:type="dxa"/>
            <w:shd w:val="clear" w:color="auto" w:fill="auto"/>
          </w:tcPr>
          <w:p>
            <w:pPr>
              <w:pStyle w:val="nTable"/>
              <w:spacing w:after="40"/>
              <w:rPr>
                <w:bCs/>
                <w:snapToGrid w:val="0"/>
              </w:rPr>
            </w:pPr>
            <w:r>
              <w:t>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(Ngurrawaana Restricted Area) Regulations 2018</w:t>
            </w:r>
            <w:r>
              <w:t xml:space="preserve"> Pt. 5</w:t>
            </w:r>
          </w:p>
        </w:tc>
        <w:tc>
          <w:tcPr>
            <w:tcW w:w="1276" w:type="dxa"/>
            <w:shd w:val="clear" w:color="auto" w:fill="auto"/>
          </w:tcPr>
          <w:p>
            <w:pPr>
              <w:pStyle w:val="nTable"/>
              <w:spacing w:after="40"/>
            </w:pPr>
            <w:r>
              <w:t>14 Sep 2018 p. 3317</w:t>
            </w:r>
            <w:r>
              <w:noBreakHyphen/>
              <w:t>19</w:t>
            </w:r>
          </w:p>
        </w:tc>
        <w:tc>
          <w:tcPr>
            <w:tcW w:w="2693" w:type="dxa"/>
            <w:shd w:val="clear" w:color="auto" w:fill="auto"/>
          </w:tcPr>
          <w:p>
            <w:pPr>
              <w:pStyle w:val="nTable"/>
              <w:spacing w:after="40"/>
              <w:rPr>
                <w:bCs/>
                <w:snapToGrid w:val="0"/>
              </w:rPr>
            </w:pPr>
            <w:r>
              <w:rPr>
                <w:bCs/>
                <w:snapToGrid w:val="0"/>
              </w:rPr>
              <w:t>15 Sep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lastRenderedPageBreak/>
              <w:t xml:space="preserve">Liquor Control Amendment Regulations (No. 3) 2018 </w:t>
            </w:r>
          </w:p>
        </w:tc>
        <w:tc>
          <w:tcPr>
            <w:tcW w:w="1276" w:type="dxa"/>
            <w:shd w:val="clear" w:color="auto" w:fill="auto"/>
          </w:tcPr>
          <w:p>
            <w:pPr>
              <w:pStyle w:val="nTable"/>
              <w:spacing w:after="40"/>
            </w:pPr>
            <w:r>
              <w:t>2 Oct 2018 p. 3798</w:t>
            </w:r>
            <w:r>
              <w:noBreakHyphen/>
              <w:t>802</w:t>
            </w:r>
          </w:p>
        </w:tc>
        <w:tc>
          <w:tcPr>
            <w:tcW w:w="2693" w:type="dxa"/>
            <w:shd w:val="clear" w:color="auto" w:fill="auto"/>
          </w:tcPr>
          <w:p>
            <w:pPr>
              <w:pStyle w:val="nTable"/>
              <w:spacing w:after="40"/>
              <w:rPr>
                <w:bCs/>
                <w:snapToGrid w:val="0"/>
              </w:rPr>
            </w:pPr>
            <w:r>
              <w:rPr>
                <w:bCs/>
                <w:snapToGrid w:val="0"/>
              </w:rPr>
              <w:t>r. 1 and 2: 2 Oct 2018 (see r. 2(a));</w:t>
            </w:r>
            <w:r>
              <w:rPr>
                <w:bCs/>
                <w:snapToGrid w:val="0"/>
              </w:rPr>
              <w:br/>
              <w:t xml:space="preserve">Regulations other than r. 1, 2, </w:t>
            </w:r>
            <w:r>
              <w:t>15(2) and (4)</w:t>
            </w:r>
            <w:r>
              <w:rPr>
                <w:bCs/>
                <w:snapToGrid w:val="0"/>
              </w:rPr>
              <w:t xml:space="preserve">: 3 Oct 2018 (see r. 2(c) and </w:t>
            </w:r>
            <w:r>
              <w:rPr>
                <w:bCs/>
                <w:i/>
                <w:snapToGrid w:val="0"/>
              </w:rPr>
              <w:t xml:space="preserve">Gazette </w:t>
            </w:r>
            <w:r>
              <w:rPr>
                <w:bCs/>
                <w:snapToGrid w:val="0"/>
              </w:rPr>
              <w:t>2 Oct 2018 p. 3779);</w:t>
            </w:r>
            <w:r>
              <w:rPr>
                <w:bCs/>
                <w:snapToGrid w:val="0"/>
              </w:rPr>
              <w:br/>
              <w:t>r. 15(2) and (4): 1 Jan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(Wakathuni Restricted Area) Regulations 2019</w:t>
            </w:r>
            <w:r>
              <w:t xml:space="preserve"> Pt. 5</w:t>
            </w:r>
          </w:p>
        </w:tc>
        <w:tc>
          <w:tcPr>
            <w:tcW w:w="1276" w:type="dxa"/>
            <w:shd w:val="clear" w:color="auto" w:fill="auto"/>
          </w:tcPr>
          <w:p>
            <w:pPr>
              <w:pStyle w:val="nTable"/>
              <w:spacing w:after="40"/>
            </w:pPr>
            <w:r>
              <w:t>14 Jun 2019 p. 1898-900</w:t>
            </w:r>
          </w:p>
        </w:tc>
        <w:tc>
          <w:tcPr>
            <w:tcW w:w="2693" w:type="dxa"/>
            <w:shd w:val="clear" w:color="auto" w:fill="auto"/>
          </w:tcPr>
          <w:p>
            <w:pPr>
              <w:pStyle w:val="nTable"/>
              <w:spacing w:after="40"/>
              <w:rPr>
                <w:bCs/>
                <w:snapToGrid w:val="0"/>
              </w:rPr>
            </w:pPr>
            <w:r>
              <w:rPr>
                <w:bCs/>
                <w:snapToGrid w:val="0"/>
              </w:rPr>
              <w:t>15 Jun 2019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Liquor Control Amendment Regulations 2019</w:t>
            </w:r>
          </w:p>
        </w:tc>
        <w:tc>
          <w:tcPr>
            <w:tcW w:w="1276" w:type="dxa"/>
            <w:shd w:val="clear" w:color="auto" w:fill="auto"/>
          </w:tcPr>
          <w:p>
            <w:pPr>
              <w:pStyle w:val="nTable"/>
              <w:spacing w:after="40"/>
            </w:pPr>
            <w:r>
              <w:t>28 Jun 2019 p. 2491</w:t>
            </w:r>
            <w:r>
              <w:noBreakHyphen/>
              <w:t>2</w:t>
            </w:r>
          </w:p>
        </w:tc>
        <w:tc>
          <w:tcPr>
            <w:tcW w:w="2693" w:type="dxa"/>
            <w:shd w:val="clear" w:color="auto" w:fill="auto"/>
          </w:tcPr>
          <w:p>
            <w:pPr>
              <w:pStyle w:val="nTable"/>
              <w:spacing w:after="40"/>
              <w:rPr>
                <w:bCs/>
                <w:snapToGrid w:val="0"/>
              </w:rPr>
            </w:pPr>
            <w:r>
              <w:rPr>
                <w:bCs/>
                <w:snapToGrid w:val="0"/>
                <w:spacing w:val="-2"/>
              </w:rPr>
              <w:t xml:space="preserve">r. 1 and 2: </w:t>
            </w:r>
            <w:r>
              <w:t>28 Jun 2019</w:t>
            </w:r>
            <w:r>
              <w:rPr>
                <w:bCs/>
                <w:snapToGrid w:val="0"/>
                <w:spacing w:val="-2"/>
              </w:rPr>
              <w:t xml:space="preserve"> (see r. 2(a));</w:t>
            </w:r>
            <w:r>
              <w:rPr>
                <w:bCs/>
                <w:snapToGrid w:val="0"/>
                <w:spacing w:val="-2"/>
              </w:rPr>
              <w:br/>
              <w:t xml:space="preserve">Regulations other than r. 1 and 2: 2 Jul 2019 (see r. 2(b) and </w:t>
            </w:r>
            <w:r>
              <w:rPr>
                <w:bCs/>
                <w:i/>
                <w:snapToGrid w:val="0"/>
                <w:spacing w:val="-2"/>
              </w:rPr>
              <w:t>Gazette</w:t>
            </w:r>
            <w:r>
              <w:rPr>
                <w:bCs/>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Liquor Control Amendment Regulations (No. 2) 2019</w:t>
            </w:r>
            <w:r>
              <w:t xml:space="preserve"> </w:t>
            </w:r>
          </w:p>
        </w:tc>
        <w:tc>
          <w:tcPr>
            <w:tcW w:w="1276" w:type="dxa"/>
            <w:shd w:val="clear" w:color="auto" w:fill="auto"/>
          </w:tcPr>
          <w:p>
            <w:pPr>
              <w:pStyle w:val="nTable"/>
              <w:spacing w:after="40"/>
            </w:pPr>
            <w:r>
              <w:t>1 Nov 2019 p. 3858</w:t>
            </w:r>
            <w:r>
              <w:noBreakHyphen/>
              <w:t>9</w:t>
            </w:r>
          </w:p>
        </w:tc>
        <w:tc>
          <w:tcPr>
            <w:tcW w:w="2693" w:type="dxa"/>
            <w:shd w:val="clear" w:color="auto" w:fill="auto"/>
          </w:tcPr>
          <w:p>
            <w:pPr>
              <w:pStyle w:val="nTable"/>
              <w:spacing w:after="40"/>
              <w:rPr>
                <w:bCs/>
                <w:snapToGrid w:val="0"/>
                <w:spacing w:val="-2"/>
              </w:rPr>
            </w:pPr>
            <w:r>
              <w:rPr>
                <w:bCs/>
                <w:snapToGrid w:val="0"/>
                <w:spacing w:val="-2"/>
              </w:rPr>
              <w:t xml:space="preserve">r. 1 and 2: </w:t>
            </w:r>
            <w:r>
              <w:t>1 Nov 2019</w:t>
            </w:r>
            <w:r>
              <w:rPr>
                <w:bCs/>
                <w:snapToGrid w:val="0"/>
                <w:spacing w:val="-2"/>
              </w:rPr>
              <w:t xml:space="preserve"> (see r. 2(a));</w:t>
            </w:r>
            <w:r>
              <w:rPr>
                <w:bCs/>
                <w:snapToGrid w:val="0"/>
                <w:spacing w:val="-2"/>
              </w:rPr>
              <w:br/>
              <w:t xml:space="preserve">Regulations other than r. 1 and 2: 2 Nov 2019 (see r. 2(b) and </w:t>
            </w:r>
            <w:r>
              <w:rPr>
                <w:bCs/>
                <w:i/>
                <w:snapToGrid w:val="0"/>
                <w:spacing w:val="-2"/>
              </w:rPr>
              <w:t>Gazette</w:t>
            </w:r>
            <w:r>
              <w:rPr>
                <w:bCs/>
                <w:snapToGrid w:val="0"/>
                <w:spacing w:val="-2"/>
              </w:rPr>
              <w:t xml:space="preserve"> 1 Nov 2019 p. 3857)</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pPr>
            <w:r>
              <w:rPr>
                <w:i/>
              </w:rPr>
              <w:t xml:space="preserve">Liquor Control (Jarlmadangah Burru Restricted Area) Regulations 2019 </w:t>
            </w:r>
            <w:r>
              <w:t>Pt. 5</w:t>
            </w:r>
          </w:p>
        </w:tc>
        <w:tc>
          <w:tcPr>
            <w:tcW w:w="1276" w:type="dxa"/>
            <w:shd w:val="clear" w:color="auto" w:fill="auto"/>
          </w:tcPr>
          <w:p>
            <w:pPr>
              <w:pStyle w:val="nTable"/>
              <w:spacing w:after="40"/>
            </w:pPr>
            <w:r>
              <w:t>13 Dec 2019 p. 4241-3</w:t>
            </w:r>
          </w:p>
        </w:tc>
        <w:tc>
          <w:tcPr>
            <w:tcW w:w="2693" w:type="dxa"/>
            <w:shd w:val="clear" w:color="auto" w:fill="auto"/>
          </w:tcPr>
          <w:p>
            <w:pPr>
              <w:pStyle w:val="nTable"/>
              <w:spacing w:after="40"/>
            </w:pPr>
            <w:r>
              <w:t>14 Dec 2019 (see r. 2(b))</w:t>
            </w:r>
          </w:p>
        </w:tc>
      </w:tr>
      <w:tr>
        <w:trPr>
          <w:cantSplit/>
        </w:trPr>
        <w:tc>
          <w:tcPr>
            <w:tcW w:w="3119" w:type="dxa"/>
            <w:tcBorders>
              <w:top w:val="nil"/>
              <w:bottom w:val="nil"/>
            </w:tcBorders>
            <w:shd w:val="clear" w:color="auto" w:fill="auto"/>
          </w:tcPr>
          <w:p>
            <w:pPr>
              <w:pStyle w:val="nTable"/>
              <w:spacing w:after="40"/>
              <w:rPr>
                <w:i/>
              </w:rPr>
            </w:pPr>
            <w:r>
              <w:rPr>
                <w:i/>
              </w:rPr>
              <w:t>Racing, Gaming and Liquor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22 Oct 2019 p. 3720</w:t>
            </w:r>
            <w:r>
              <w:noBreakHyphen/>
              <w:t>9</w:t>
            </w:r>
          </w:p>
        </w:tc>
        <w:tc>
          <w:tcPr>
            <w:tcW w:w="2693" w:type="dxa"/>
            <w:tcBorders>
              <w:top w:val="nil"/>
              <w:bottom w:val="nil"/>
            </w:tcBorders>
            <w:shd w:val="clear" w:color="auto" w:fill="auto"/>
          </w:tcPr>
          <w:p>
            <w:pPr>
              <w:pStyle w:val="nTable"/>
              <w:spacing w:after="40"/>
              <w:rPr>
                <w:bCs/>
                <w:snapToGrid w:val="0"/>
                <w:spacing w:val="-2"/>
              </w:rPr>
            </w:pPr>
            <w:r>
              <w:t>1 Jan 2020 (see r. 2(b))</w:t>
            </w:r>
          </w:p>
        </w:tc>
      </w:tr>
      <w:tr>
        <w:trPr>
          <w:cantSplit/>
        </w:trPr>
        <w:tc>
          <w:tcPr>
            <w:tcW w:w="3119" w:type="dxa"/>
            <w:tcBorders>
              <w:top w:val="nil"/>
              <w:bottom w:val="nil"/>
            </w:tcBorders>
            <w:shd w:val="clear" w:color="auto" w:fill="auto"/>
          </w:tcPr>
          <w:p>
            <w:pPr>
              <w:pStyle w:val="nTable"/>
              <w:spacing w:after="40"/>
            </w:pPr>
            <w:r>
              <w:rPr>
                <w:i/>
              </w:rPr>
              <w:t>Liquor Control (Parnpajinya Restricted Area) Regulations 2020</w:t>
            </w:r>
            <w:r>
              <w:t xml:space="preserve"> Pt. 5</w:t>
            </w:r>
          </w:p>
        </w:tc>
        <w:tc>
          <w:tcPr>
            <w:tcW w:w="1276" w:type="dxa"/>
            <w:tcBorders>
              <w:top w:val="nil"/>
              <w:bottom w:val="nil"/>
            </w:tcBorders>
            <w:shd w:val="clear" w:color="auto" w:fill="auto"/>
          </w:tcPr>
          <w:p>
            <w:pPr>
              <w:pStyle w:val="nTable"/>
              <w:spacing w:after="40"/>
            </w:pPr>
            <w:r>
              <w:t>SL 2020/81 19 Jun 2020</w:t>
            </w:r>
          </w:p>
        </w:tc>
        <w:tc>
          <w:tcPr>
            <w:tcW w:w="2693" w:type="dxa"/>
            <w:tcBorders>
              <w:top w:val="nil"/>
              <w:bottom w:val="nil"/>
            </w:tcBorders>
            <w:shd w:val="clear" w:color="auto" w:fill="auto"/>
          </w:tcPr>
          <w:p>
            <w:pPr>
              <w:pStyle w:val="nTable"/>
              <w:spacing w:after="40"/>
            </w:pPr>
            <w:r>
              <w:t>20 Jun 2020 (see r. 2(b))</w:t>
            </w:r>
          </w:p>
        </w:tc>
      </w:tr>
      <w:tr>
        <w:trPr>
          <w:cantSplit/>
        </w:trPr>
        <w:tc>
          <w:tcPr>
            <w:tcW w:w="3119" w:type="dxa"/>
            <w:tcBorders>
              <w:top w:val="nil"/>
              <w:bottom w:val="nil"/>
            </w:tcBorders>
            <w:shd w:val="clear" w:color="auto" w:fill="auto"/>
          </w:tcPr>
          <w:p>
            <w:pPr>
              <w:pStyle w:val="nTable"/>
              <w:spacing w:after="40"/>
            </w:pPr>
            <w:r>
              <w:rPr>
                <w:i/>
              </w:rPr>
              <w:t>Liquor Control (Kadjina Restricted Area) Regulations 2020</w:t>
            </w:r>
            <w:r>
              <w:t xml:space="preserve"> Pt. 5</w:t>
            </w:r>
          </w:p>
        </w:tc>
        <w:tc>
          <w:tcPr>
            <w:tcW w:w="1276" w:type="dxa"/>
            <w:tcBorders>
              <w:top w:val="nil"/>
              <w:bottom w:val="nil"/>
            </w:tcBorders>
            <w:shd w:val="clear" w:color="auto" w:fill="auto"/>
          </w:tcPr>
          <w:p>
            <w:pPr>
              <w:pStyle w:val="nTable"/>
              <w:spacing w:after="40"/>
            </w:pPr>
            <w:r>
              <w:t>SL 2020/218 6 Nov 2020</w:t>
            </w:r>
          </w:p>
        </w:tc>
        <w:tc>
          <w:tcPr>
            <w:tcW w:w="2693" w:type="dxa"/>
            <w:tcBorders>
              <w:top w:val="nil"/>
              <w:bottom w:val="nil"/>
            </w:tcBorders>
            <w:shd w:val="clear" w:color="auto" w:fill="auto"/>
          </w:tcPr>
          <w:p>
            <w:pPr>
              <w:pStyle w:val="nTable"/>
              <w:spacing w:after="40"/>
            </w:pPr>
            <w:r>
              <w:t>7 Nov 2020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2021</w:t>
            </w:r>
          </w:p>
        </w:tc>
        <w:tc>
          <w:tcPr>
            <w:tcW w:w="1276" w:type="dxa"/>
            <w:tcBorders>
              <w:top w:val="nil"/>
              <w:bottom w:val="nil"/>
            </w:tcBorders>
            <w:shd w:val="clear" w:color="auto" w:fill="auto"/>
          </w:tcPr>
          <w:p>
            <w:pPr>
              <w:pStyle w:val="nTable"/>
              <w:spacing w:after="40"/>
            </w:pPr>
            <w:r>
              <w:t>SL 2021/94 22 Jun 2021</w:t>
            </w:r>
          </w:p>
        </w:tc>
        <w:tc>
          <w:tcPr>
            <w:tcW w:w="2693" w:type="dxa"/>
            <w:tcBorders>
              <w:top w:val="nil"/>
              <w:bottom w:val="nil"/>
            </w:tcBorders>
            <w:shd w:val="clear" w:color="auto" w:fill="auto"/>
          </w:tcPr>
          <w:p>
            <w:pPr>
              <w:pStyle w:val="nTable"/>
              <w:spacing w:after="40"/>
            </w:pPr>
            <w:r>
              <w:rPr>
                <w:bCs/>
                <w:snapToGrid w:val="0"/>
                <w:spacing w:val="-2"/>
              </w:rPr>
              <w:t xml:space="preserve">r. 1 and 2: </w:t>
            </w:r>
            <w:r>
              <w:t>22 Jun 2021</w:t>
            </w:r>
            <w:r>
              <w:rPr>
                <w:bCs/>
                <w:snapToGrid w:val="0"/>
                <w:spacing w:val="-2"/>
              </w:rPr>
              <w:t xml:space="preserve"> (see r. 2(a));</w:t>
            </w:r>
            <w:r>
              <w:rPr>
                <w:bCs/>
                <w:snapToGrid w:val="0"/>
                <w:spacing w:val="-2"/>
              </w:rPr>
              <w:br/>
              <w:t xml:space="preserve">Regulations other than r. 1 and 2: </w:t>
            </w:r>
            <w:r>
              <w:t>23 Jun 2021</w:t>
            </w:r>
            <w:r>
              <w:rPr>
                <w:bCs/>
                <w:snapToGrid w:val="0"/>
                <w:spacing w:val="-2"/>
              </w:rPr>
              <w:t xml:space="preserve"> (see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(No. 3) 2021</w:t>
            </w:r>
          </w:p>
        </w:tc>
        <w:tc>
          <w:tcPr>
            <w:tcW w:w="1276" w:type="dxa"/>
            <w:tcBorders>
              <w:top w:val="nil"/>
              <w:bottom w:val="nil"/>
            </w:tcBorders>
            <w:shd w:val="clear" w:color="auto" w:fill="auto"/>
          </w:tcPr>
          <w:p>
            <w:pPr>
              <w:pStyle w:val="nTable"/>
              <w:spacing w:after="40"/>
            </w:pPr>
            <w:r>
              <w:t>SL 2021/163 17 Sep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17 Sep 2021</w:t>
            </w:r>
            <w:r>
              <w:rPr>
                <w:bCs/>
                <w:snapToGrid w:val="0"/>
                <w:spacing w:val="-2"/>
              </w:rPr>
              <w:t xml:space="preserve"> (see r. 2(a));</w:t>
            </w:r>
            <w:r>
              <w:rPr>
                <w:bCs/>
                <w:snapToGrid w:val="0"/>
                <w:spacing w:val="-2"/>
              </w:rPr>
              <w:br/>
              <w:t xml:space="preserve">Regulations other than r. 1 and 2: </w:t>
            </w:r>
            <w:r>
              <w:t>18 Sep 2021</w:t>
            </w:r>
            <w:r>
              <w:rPr>
                <w:bCs/>
                <w:snapToGrid w:val="0"/>
                <w:spacing w:val="-2"/>
              </w:rPr>
              <w:t xml:space="preserve"> (see r. 2(b) and SL 2021/162 cl. 2)</w:t>
            </w:r>
          </w:p>
        </w:tc>
      </w:tr>
      <w:tr>
        <w:trPr>
          <w:cantSplit/>
        </w:trPr>
        <w:tc>
          <w:tcPr>
            <w:tcW w:w="3119" w:type="dxa"/>
            <w:tcBorders>
              <w:top w:val="nil"/>
              <w:bottom w:val="nil"/>
            </w:tcBorders>
            <w:shd w:val="clear" w:color="auto" w:fill="auto"/>
          </w:tcPr>
          <w:p>
            <w:pPr>
              <w:pStyle w:val="nTable"/>
              <w:spacing w:after="40"/>
              <w:rPr>
                <w:i/>
              </w:rPr>
            </w:pPr>
            <w:r>
              <w:rPr>
                <w:i/>
              </w:rPr>
              <w:lastRenderedPageBreak/>
              <w:t>Liquor Control Amendment Regulations (No. 2) 2021</w:t>
            </w:r>
          </w:p>
        </w:tc>
        <w:tc>
          <w:tcPr>
            <w:tcW w:w="1276" w:type="dxa"/>
            <w:tcBorders>
              <w:top w:val="nil"/>
              <w:bottom w:val="nil"/>
            </w:tcBorders>
            <w:shd w:val="clear" w:color="auto" w:fill="auto"/>
          </w:tcPr>
          <w:p>
            <w:pPr>
              <w:pStyle w:val="nTable"/>
              <w:spacing w:after="40"/>
            </w:pPr>
            <w:r>
              <w:t>SL 2021/207 3 Dec 2021</w:t>
            </w:r>
          </w:p>
        </w:tc>
        <w:tc>
          <w:tcPr>
            <w:tcW w:w="2693" w:type="dxa"/>
            <w:tcBorders>
              <w:top w:val="nil"/>
              <w:bottom w:val="nil"/>
            </w:tcBorders>
            <w:shd w:val="clear" w:color="auto" w:fill="auto"/>
          </w:tcPr>
          <w:p>
            <w:pPr>
              <w:pStyle w:val="nTable"/>
              <w:spacing w:after="40"/>
              <w:rPr>
                <w:bCs/>
                <w:snapToGrid w:val="0"/>
                <w:spacing w:val="-2"/>
              </w:rPr>
            </w:pPr>
            <w:r>
              <w:t>1 Feb 2022 (see r. 2 and SL 2021/198 cl. 2)</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rPr>
            </w:pPr>
            <w:r>
              <w:rPr>
                <w:i/>
              </w:rPr>
              <w:t>Racing and Gaming Regulations Amendment (Fees and Charges) Regulations 2022</w:t>
            </w:r>
            <w:r>
              <w:t xml:space="preserve"> Pt. 6</w:t>
            </w:r>
          </w:p>
        </w:tc>
        <w:tc>
          <w:tcPr>
            <w:tcW w:w="1276" w:type="dxa"/>
            <w:shd w:val="clear" w:color="auto" w:fill="auto"/>
          </w:tcPr>
          <w:p>
            <w:pPr>
              <w:pStyle w:val="nTable"/>
              <w:keepNext/>
              <w:spacing w:after="40"/>
            </w:pPr>
            <w:r>
              <w:t>SL 2022/144 12 Aug 2022</w:t>
            </w:r>
          </w:p>
        </w:tc>
        <w:tc>
          <w:tcPr>
            <w:tcW w:w="2693" w:type="dxa"/>
            <w:shd w:val="clear" w:color="auto" w:fill="auto"/>
          </w:tcPr>
          <w:p>
            <w:pPr>
              <w:pStyle w:val="nTable"/>
              <w:keepNext/>
              <w:spacing w:after="40"/>
            </w:pPr>
            <w:r>
              <w:t>1 Jan 2023 (see r. 2(b))</w:t>
            </w:r>
          </w:p>
        </w:tc>
      </w:tr>
      <w:tr>
        <w:trPr>
          <w:cantSplit/>
        </w:trPr>
        <w:tc>
          <w:tcPr>
            <w:tcW w:w="3119" w:type="dxa"/>
            <w:tcBorders>
              <w:top w:val="nil"/>
              <w:bottom w:val="nil"/>
            </w:tcBorders>
            <w:shd w:val="clear" w:color="auto" w:fill="auto"/>
          </w:tcPr>
          <w:p>
            <w:pPr>
              <w:pStyle w:val="nTable"/>
              <w:spacing w:after="40"/>
            </w:pPr>
            <w:r>
              <w:rPr>
                <w:i/>
              </w:rPr>
              <w:t>Liquor Control Amendment Regulations 2022</w:t>
            </w:r>
          </w:p>
        </w:tc>
        <w:tc>
          <w:tcPr>
            <w:tcW w:w="1276" w:type="dxa"/>
            <w:tcBorders>
              <w:top w:val="nil"/>
              <w:bottom w:val="nil"/>
            </w:tcBorders>
            <w:shd w:val="clear" w:color="auto" w:fill="auto"/>
          </w:tcPr>
          <w:p>
            <w:pPr>
              <w:pStyle w:val="nTable"/>
              <w:spacing w:after="40"/>
            </w:pPr>
            <w:r>
              <w:t>SL 2022/217 23 Dec 2022</w:t>
            </w:r>
          </w:p>
        </w:tc>
        <w:tc>
          <w:tcPr>
            <w:tcW w:w="2693" w:type="dxa"/>
            <w:tcBorders>
              <w:top w:val="nil"/>
              <w:bottom w:val="nil"/>
            </w:tcBorders>
            <w:shd w:val="clear" w:color="auto" w:fill="auto"/>
          </w:tcPr>
          <w:p>
            <w:pPr>
              <w:pStyle w:val="nTable"/>
              <w:spacing w:after="40"/>
            </w:pPr>
            <w:r>
              <w:t>Pt. 1: 23 Dec 2022 (see r. 2(a));</w:t>
            </w:r>
            <w:r>
              <w:br/>
              <w:t>Pt. 2: 24 Dec 2022 (see r. 2(b));</w:t>
            </w:r>
            <w:r>
              <w:br/>
              <w:t>Pt. 3: 1 Jan 2023 (see r. 2(c) and SL 2022/144 r. 2(b))</w:t>
            </w:r>
          </w:p>
        </w:tc>
      </w:tr>
      <w:tr>
        <w:trPr>
          <w:cantSplit/>
        </w:trPr>
        <w:tc>
          <w:tcPr>
            <w:tcW w:w="3119" w:type="dxa"/>
            <w:tcBorders>
              <w:top w:val="nil"/>
              <w:bottom w:val="nil"/>
            </w:tcBorders>
            <w:shd w:val="clear" w:color="auto" w:fill="auto"/>
          </w:tcPr>
          <w:p>
            <w:pPr>
              <w:pStyle w:val="nTable"/>
              <w:spacing w:after="40"/>
              <w:rPr>
                <w:i/>
              </w:rPr>
            </w:pPr>
            <w:r>
              <w:rPr>
                <w:i/>
              </w:rPr>
              <w:t>Liquor Control Amendment Regulations 2023</w:t>
            </w:r>
          </w:p>
        </w:tc>
        <w:tc>
          <w:tcPr>
            <w:tcW w:w="1276" w:type="dxa"/>
            <w:tcBorders>
              <w:top w:val="nil"/>
              <w:bottom w:val="nil"/>
            </w:tcBorders>
            <w:shd w:val="clear" w:color="auto" w:fill="auto"/>
          </w:tcPr>
          <w:p>
            <w:pPr>
              <w:pStyle w:val="nTable"/>
              <w:spacing w:after="40"/>
            </w:pPr>
            <w:r>
              <w:t>SL 2023/125</w:t>
            </w:r>
          </w:p>
          <w:p>
            <w:pPr>
              <w:pStyle w:val="nTable"/>
              <w:spacing w:after="40"/>
            </w:pPr>
            <w:r>
              <w:t>9 Aug 2023</w:t>
            </w:r>
          </w:p>
        </w:tc>
        <w:tc>
          <w:tcPr>
            <w:tcW w:w="2693" w:type="dxa"/>
            <w:tcBorders>
              <w:top w:val="nil"/>
              <w:bottom w:val="nil"/>
            </w:tcBorders>
            <w:shd w:val="clear" w:color="auto" w:fill="auto"/>
          </w:tcPr>
          <w:p>
            <w:pPr>
              <w:pStyle w:val="nTable"/>
              <w:spacing w:after="40"/>
            </w:pPr>
            <w:r>
              <w:t>r. 1 and 2: 9 Aug 2023 (see r. 2(a));</w:t>
            </w:r>
          </w:p>
          <w:p>
            <w:pPr>
              <w:pStyle w:val="nTable"/>
              <w:spacing w:after="40"/>
            </w:pPr>
            <w:r>
              <w:rPr>
                <w:bCs/>
                <w:snapToGrid w:val="0"/>
                <w:spacing w:val="-2"/>
              </w:rPr>
              <w:t>Regulations other than r. 1 and 2</w:t>
            </w:r>
            <w:r>
              <w:t>: 10 Aug 2023 (see r. 2(b))</w:t>
            </w:r>
          </w:p>
        </w:tc>
      </w:tr>
      <w:tr>
        <w:trPr>
          <w:cantSplit/>
        </w:trPr>
        <w:tc>
          <w:tcPr>
            <w:tcW w:w="3119" w:type="dxa"/>
            <w:tcBorders>
              <w:top w:val="nil"/>
              <w:bottom w:val="nil"/>
            </w:tcBorders>
            <w:shd w:val="clear" w:color="auto" w:fill="auto"/>
          </w:tcPr>
          <w:p>
            <w:pPr>
              <w:pStyle w:val="nTable"/>
              <w:spacing w:after="40"/>
              <w:rPr>
                <w:i/>
              </w:rPr>
            </w:pPr>
            <w:r>
              <w:rPr>
                <w:bCs/>
                <w:i/>
                <w:noProof/>
              </w:rPr>
              <w:t>Racing</w:t>
            </w:r>
            <w:r>
              <w:rPr>
                <w:i/>
                <w:noProof/>
              </w:rPr>
              <w:t xml:space="preserve"> and Gaming Regulations Amendment (Fees and Charges) Regulations 2023 </w:t>
            </w:r>
            <w:r>
              <w:rPr>
                <w:noProof/>
              </w:rPr>
              <w:t>Pt. 6</w:t>
            </w:r>
          </w:p>
        </w:tc>
        <w:tc>
          <w:tcPr>
            <w:tcW w:w="1276" w:type="dxa"/>
            <w:tcBorders>
              <w:top w:val="nil"/>
              <w:bottom w:val="nil"/>
            </w:tcBorders>
            <w:shd w:val="clear" w:color="auto" w:fill="auto"/>
          </w:tcPr>
          <w:p>
            <w:pPr>
              <w:pStyle w:val="nTable"/>
              <w:spacing w:after="40"/>
            </w:pPr>
            <w:r>
              <w:t>SL 2023/156 18 Oct 2023</w:t>
            </w:r>
          </w:p>
        </w:tc>
        <w:tc>
          <w:tcPr>
            <w:tcW w:w="2693" w:type="dxa"/>
            <w:tcBorders>
              <w:top w:val="nil"/>
              <w:bottom w:val="nil"/>
            </w:tcBorders>
            <w:shd w:val="clear" w:color="auto" w:fill="auto"/>
          </w:tcPr>
          <w:p>
            <w:pPr>
              <w:pStyle w:val="nTable"/>
              <w:spacing w:after="40"/>
            </w:pPr>
            <w:r>
              <w:t>1 Jan 2024 (see r. 2(b))</w:t>
            </w:r>
          </w:p>
        </w:tc>
      </w:tr>
      <w:tr>
        <w:trPr>
          <w:cantSplit/>
        </w:trPr>
        <w:tc>
          <w:tcPr>
            <w:tcW w:w="3119" w:type="dxa"/>
            <w:tcBorders>
              <w:top w:val="nil"/>
              <w:bottom w:val="nil"/>
            </w:tcBorders>
            <w:shd w:val="clear" w:color="auto" w:fill="auto"/>
          </w:tcPr>
          <w:p>
            <w:pPr>
              <w:pStyle w:val="nTable"/>
              <w:spacing w:after="40"/>
            </w:pPr>
            <w:r>
              <w:rPr>
                <w:i/>
              </w:rPr>
              <w:t>Liquor Control (Joy Springs Restricted Area) Regulations 2023</w:t>
            </w:r>
            <w:r>
              <w:t xml:space="preserve"> Pt. 5</w:t>
            </w:r>
          </w:p>
        </w:tc>
        <w:tc>
          <w:tcPr>
            <w:tcW w:w="1276" w:type="dxa"/>
            <w:tcBorders>
              <w:top w:val="nil"/>
              <w:bottom w:val="nil"/>
            </w:tcBorders>
            <w:shd w:val="clear" w:color="auto" w:fill="auto"/>
          </w:tcPr>
          <w:p>
            <w:pPr>
              <w:pStyle w:val="nTable"/>
              <w:spacing w:after="40"/>
            </w:pPr>
            <w:r>
              <w:t>SL 2023/159 18 Oct 2023</w:t>
            </w:r>
          </w:p>
        </w:tc>
        <w:tc>
          <w:tcPr>
            <w:tcW w:w="2693" w:type="dxa"/>
            <w:tcBorders>
              <w:top w:val="nil"/>
              <w:bottom w:val="nil"/>
            </w:tcBorders>
            <w:shd w:val="clear" w:color="auto" w:fill="auto"/>
          </w:tcPr>
          <w:p>
            <w:pPr>
              <w:pStyle w:val="nTable"/>
              <w:spacing w:after="40"/>
            </w:pPr>
            <w:r>
              <w:t>19 Oct 2023 (see r. 2(b))</w:t>
            </w:r>
          </w:p>
        </w:tc>
      </w:tr>
      <w:tr>
        <w:trPr>
          <w:cantSplit/>
        </w:trPr>
        <w:tc>
          <w:tcPr>
            <w:tcW w:w="3119" w:type="dxa"/>
            <w:tcBorders>
              <w:top w:val="nil"/>
              <w:bottom w:val="nil"/>
            </w:tcBorders>
            <w:shd w:val="clear" w:color="auto" w:fill="auto"/>
          </w:tcPr>
          <w:p>
            <w:pPr>
              <w:pStyle w:val="nTable"/>
              <w:spacing w:after="40"/>
            </w:pPr>
            <w:r>
              <w:rPr>
                <w:i/>
              </w:rPr>
              <w:t>Liquor Control (Mingullatharndo Restricted Area) Regulations 2023</w:t>
            </w:r>
            <w:r>
              <w:t xml:space="preserve"> Pt. 5</w:t>
            </w:r>
          </w:p>
        </w:tc>
        <w:tc>
          <w:tcPr>
            <w:tcW w:w="1276" w:type="dxa"/>
            <w:tcBorders>
              <w:top w:val="nil"/>
              <w:bottom w:val="nil"/>
            </w:tcBorders>
            <w:shd w:val="clear" w:color="auto" w:fill="auto"/>
          </w:tcPr>
          <w:p>
            <w:pPr>
              <w:pStyle w:val="nTable"/>
              <w:spacing w:after="40"/>
            </w:pPr>
            <w:r>
              <w:t>SL 2023/174 1 Nov 2023</w:t>
            </w:r>
          </w:p>
        </w:tc>
        <w:tc>
          <w:tcPr>
            <w:tcW w:w="2693" w:type="dxa"/>
            <w:tcBorders>
              <w:top w:val="nil"/>
              <w:bottom w:val="nil"/>
            </w:tcBorders>
            <w:shd w:val="clear" w:color="auto" w:fill="auto"/>
          </w:tcPr>
          <w:p>
            <w:pPr>
              <w:pStyle w:val="nTable"/>
              <w:spacing w:after="40"/>
            </w:pPr>
            <w:r>
              <w:t>2 Nov 2023 (see r. 2(b))</w:t>
            </w:r>
          </w:p>
        </w:tc>
      </w:tr>
      <w:tr>
        <w:trPr>
          <w:cantSplit/>
        </w:trPr>
        <w:tc>
          <w:tcPr>
            <w:tcW w:w="3119" w:type="dxa"/>
            <w:tcBorders>
              <w:top w:val="nil"/>
              <w:bottom w:val="nil"/>
            </w:tcBorders>
            <w:shd w:val="clear" w:color="auto" w:fill="auto"/>
          </w:tcPr>
          <w:p>
            <w:pPr>
              <w:pStyle w:val="nTable"/>
              <w:spacing w:after="40"/>
              <w:rPr>
                <w:iCs/>
              </w:rPr>
            </w:pPr>
            <w:r>
              <w:rPr>
                <w:i/>
              </w:rPr>
              <w:t xml:space="preserve">Liquor Control Amendment Regulations (No. 2) 2023 </w:t>
            </w:r>
            <w:r>
              <w:rPr>
                <w:iCs/>
              </w:rPr>
              <w:t>(other than Pt. 4)</w:t>
            </w:r>
          </w:p>
        </w:tc>
        <w:tc>
          <w:tcPr>
            <w:tcW w:w="1276" w:type="dxa"/>
            <w:tcBorders>
              <w:top w:val="nil"/>
              <w:bottom w:val="nil"/>
            </w:tcBorders>
            <w:shd w:val="clear" w:color="auto" w:fill="auto"/>
          </w:tcPr>
          <w:p>
            <w:pPr>
              <w:pStyle w:val="nTable"/>
              <w:spacing w:after="40"/>
            </w:pPr>
            <w:r>
              <w:t>SL 2023/196 13 Dec 2023</w:t>
            </w:r>
          </w:p>
        </w:tc>
        <w:tc>
          <w:tcPr>
            <w:tcW w:w="2693" w:type="dxa"/>
            <w:tcBorders>
              <w:top w:val="nil"/>
              <w:bottom w:val="nil"/>
            </w:tcBorders>
            <w:shd w:val="clear" w:color="auto" w:fill="auto"/>
          </w:tcPr>
          <w:p>
            <w:pPr>
              <w:pStyle w:val="nTable"/>
              <w:spacing w:after="40"/>
            </w:pPr>
            <w:r>
              <w:t>Pt. 1: 13 Dec 2023 (see r. 2(a));</w:t>
            </w:r>
            <w:r>
              <w:br/>
              <w:t>Pt. 2: 14 Dec 2023 (see r. 2(b))</w:t>
            </w:r>
            <w:r>
              <w:br/>
              <w:t>Pt. 3: 1 Jan 2024 (see r. 2(c))</w:t>
            </w:r>
          </w:p>
        </w:tc>
      </w:tr>
      <w:tr>
        <w:trPr>
          <w:cantSplit/>
        </w:trPr>
        <w:tc>
          <w:tcPr>
            <w:tcW w:w="3119" w:type="dxa"/>
            <w:tcBorders>
              <w:top w:val="nil"/>
              <w:bottom w:val="nil"/>
            </w:tcBorders>
            <w:shd w:val="clear" w:color="auto" w:fill="auto"/>
          </w:tcPr>
          <w:p>
            <w:pPr>
              <w:pStyle w:val="nTable"/>
              <w:spacing w:after="40"/>
              <w:rPr>
                <w:i/>
              </w:rPr>
            </w:pPr>
            <w:r>
              <w:rPr>
                <w:i/>
                <w:noProof/>
              </w:rPr>
              <w:t>Liquor Control (Weymul Restricted Area) Regulations 2024 </w:t>
            </w:r>
            <w:r>
              <w:t>Pt. 5</w:t>
            </w:r>
          </w:p>
        </w:tc>
        <w:tc>
          <w:tcPr>
            <w:tcW w:w="1276" w:type="dxa"/>
            <w:tcBorders>
              <w:top w:val="nil"/>
              <w:bottom w:val="nil"/>
            </w:tcBorders>
            <w:shd w:val="clear" w:color="auto" w:fill="auto"/>
          </w:tcPr>
          <w:p>
            <w:pPr>
              <w:pStyle w:val="nTable"/>
              <w:spacing w:after="40"/>
            </w:pPr>
            <w:r>
              <w:t>SL 2024/37</w:t>
            </w:r>
            <w:r>
              <w:br/>
              <w:t>20 Mar 2024</w:t>
            </w:r>
          </w:p>
        </w:tc>
        <w:tc>
          <w:tcPr>
            <w:tcW w:w="2693" w:type="dxa"/>
            <w:tcBorders>
              <w:top w:val="nil"/>
              <w:bottom w:val="nil"/>
            </w:tcBorders>
            <w:shd w:val="clear" w:color="auto" w:fill="auto"/>
          </w:tcPr>
          <w:p>
            <w:pPr>
              <w:pStyle w:val="nTable"/>
              <w:spacing w:after="40"/>
            </w:pPr>
            <w:r>
              <w:t>21 Mar 2024 (see r. 2(b))</w:t>
            </w:r>
          </w:p>
        </w:tc>
      </w:tr>
      <w:tr>
        <w:trPr>
          <w:cantSplit/>
        </w:trPr>
        <w:tc>
          <w:tcPr>
            <w:tcW w:w="3119" w:type="dxa"/>
            <w:tcBorders>
              <w:top w:val="nil"/>
              <w:bottom w:val="nil"/>
            </w:tcBorders>
            <w:shd w:val="clear" w:color="auto" w:fill="auto"/>
          </w:tcPr>
          <w:p>
            <w:pPr>
              <w:pStyle w:val="nTable"/>
              <w:spacing w:after="40"/>
              <w:rPr>
                <w:iCs/>
                <w:noProof/>
              </w:rPr>
            </w:pPr>
            <w:r>
              <w:rPr>
                <w:i/>
                <w:noProof/>
              </w:rPr>
              <w:t xml:space="preserve">Liquor Control (Strelley Restricted Area) Regulations 2024 </w:t>
            </w:r>
            <w:r>
              <w:rPr>
                <w:iCs/>
                <w:noProof/>
              </w:rPr>
              <w:t>Pt. 5</w:t>
            </w:r>
          </w:p>
        </w:tc>
        <w:tc>
          <w:tcPr>
            <w:tcW w:w="1276" w:type="dxa"/>
            <w:tcBorders>
              <w:top w:val="nil"/>
              <w:bottom w:val="nil"/>
            </w:tcBorders>
            <w:shd w:val="clear" w:color="auto" w:fill="auto"/>
          </w:tcPr>
          <w:p>
            <w:pPr>
              <w:pStyle w:val="nTable"/>
              <w:spacing w:after="40"/>
            </w:pPr>
            <w:r>
              <w:t>SL 2024/138 26 Jun 2024</w:t>
            </w:r>
          </w:p>
        </w:tc>
        <w:tc>
          <w:tcPr>
            <w:tcW w:w="2693" w:type="dxa"/>
            <w:tcBorders>
              <w:top w:val="nil"/>
              <w:bottom w:val="nil"/>
            </w:tcBorders>
            <w:shd w:val="clear" w:color="auto" w:fill="auto"/>
          </w:tcPr>
          <w:p>
            <w:pPr>
              <w:pStyle w:val="nTable"/>
              <w:spacing w:after="40"/>
            </w:pPr>
            <w:r>
              <w:t>27 Jun 2024 (see r. 2(b))</w:t>
            </w:r>
          </w:p>
        </w:tc>
      </w:tr>
      <w:tr>
        <w:trPr>
          <w:cantSplit/>
        </w:trPr>
        <w:tc>
          <w:tcPr>
            <w:tcW w:w="3119" w:type="dxa"/>
            <w:tcBorders>
              <w:top w:val="nil"/>
              <w:bottom w:val="nil"/>
            </w:tcBorders>
            <w:shd w:val="clear" w:color="auto" w:fill="auto"/>
          </w:tcPr>
          <w:p>
            <w:pPr>
              <w:pStyle w:val="nTable"/>
              <w:spacing w:after="40"/>
              <w:rPr>
                <w:i/>
                <w:noProof/>
              </w:rPr>
            </w:pPr>
            <w:r>
              <w:rPr>
                <w:bCs/>
                <w:i/>
                <w:noProof/>
              </w:rPr>
              <w:t>Racing and Gaming Regulations Amendment (Fees and Charges) Regulations 2024</w:t>
            </w:r>
            <w:r>
              <w:rPr>
                <w:bCs/>
                <w:iCs/>
                <w:noProof/>
              </w:rPr>
              <w:t xml:space="preserve"> Pt. 6</w:t>
            </w:r>
          </w:p>
        </w:tc>
        <w:tc>
          <w:tcPr>
            <w:tcW w:w="1276" w:type="dxa"/>
            <w:tcBorders>
              <w:top w:val="nil"/>
              <w:bottom w:val="nil"/>
            </w:tcBorders>
            <w:shd w:val="clear" w:color="auto" w:fill="auto"/>
          </w:tcPr>
          <w:p>
            <w:pPr>
              <w:pStyle w:val="nTable"/>
              <w:spacing w:after="40"/>
            </w:pPr>
            <w:r>
              <w:t>SL 2024/213 16 Oct 2024</w:t>
            </w:r>
          </w:p>
        </w:tc>
        <w:tc>
          <w:tcPr>
            <w:tcW w:w="2693" w:type="dxa"/>
            <w:tcBorders>
              <w:top w:val="nil"/>
              <w:bottom w:val="nil"/>
            </w:tcBorders>
            <w:shd w:val="clear" w:color="auto" w:fill="auto"/>
          </w:tcPr>
          <w:p>
            <w:pPr>
              <w:pStyle w:val="nTable"/>
              <w:spacing w:after="40"/>
            </w:pPr>
            <w:r>
              <w:t>1 Jan 2025 (see r. 2(b))</w:t>
            </w:r>
          </w:p>
        </w:tc>
      </w:tr>
      <w:tr>
        <w:trPr>
          <w:cantSplit/>
        </w:trPr>
        <w:tc>
          <w:tcPr>
            <w:tcW w:w="3119" w:type="dxa"/>
            <w:tcBorders>
              <w:top w:val="nil"/>
              <w:bottom w:val="single" w:sz="4" w:space="0" w:color="auto"/>
            </w:tcBorders>
            <w:shd w:val="clear" w:color="auto" w:fill="auto"/>
          </w:tcPr>
          <w:p>
            <w:pPr>
              <w:pStyle w:val="nTable"/>
              <w:spacing w:after="40"/>
              <w:rPr>
                <w:bCs/>
                <w:i/>
                <w:noProof/>
              </w:rPr>
            </w:pPr>
            <w:r>
              <w:rPr>
                <w:i/>
              </w:rPr>
              <w:t>Liquor Control Amendment Regulations 2025</w:t>
            </w:r>
          </w:p>
        </w:tc>
        <w:tc>
          <w:tcPr>
            <w:tcW w:w="1276" w:type="dxa"/>
            <w:tcBorders>
              <w:top w:val="nil"/>
              <w:bottom w:val="single" w:sz="4" w:space="0" w:color="auto"/>
            </w:tcBorders>
            <w:shd w:val="clear" w:color="auto" w:fill="auto"/>
          </w:tcPr>
          <w:p>
            <w:pPr>
              <w:pStyle w:val="nTable"/>
              <w:spacing w:after="40"/>
            </w:pPr>
            <w:r>
              <w:t>SL 2025/9 22 Jan 2025</w:t>
            </w:r>
          </w:p>
        </w:tc>
        <w:tc>
          <w:tcPr>
            <w:tcW w:w="2693" w:type="dxa"/>
            <w:tcBorders>
              <w:top w:val="nil"/>
              <w:bottom w:val="single" w:sz="4" w:space="0" w:color="auto"/>
            </w:tcBorders>
            <w:shd w:val="clear" w:color="auto" w:fill="auto"/>
          </w:tcPr>
          <w:p>
            <w:pPr>
              <w:pStyle w:val="nTable"/>
              <w:spacing w:after="40"/>
            </w:pPr>
            <w:r>
              <w:t>r. 1 and 2: 22 Jan 2025 (see r. 2(a));</w:t>
            </w:r>
          </w:p>
          <w:p>
            <w:pPr>
              <w:pStyle w:val="nTable"/>
              <w:spacing w:after="40"/>
            </w:pPr>
            <w:r>
              <w:rPr>
                <w:bCs/>
                <w:snapToGrid w:val="0"/>
                <w:spacing w:val="-2"/>
              </w:rPr>
              <w:t>Regulations other than r. 1 and 2</w:t>
            </w:r>
            <w:r>
              <w:t>: 23 Jan 2025 (see r. 2(b))</w:t>
            </w:r>
          </w:p>
        </w:tc>
      </w:tr>
    </w:tbl>
    <w:p>
      <w:pPr>
        <w:pStyle w:val="nHeading3"/>
      </w:pPr>
      <w:bookmarkStart w:id="136" w:name="_Toc188000800"/>
      <w:r>
        <w:lastRenderedPageBreak/>
        <w:t>Uncommenced provisions table</w:t>
      </w:r>
      <w:bookmarkEnd w:id="1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bCs/>
                <w:iCs/>
                <w:noProof/>
              </w:rPr>
            </w:pPr>
            <w:r>
              <w:rPr>
                <w:bCs/>
                <w:i/>
                <w:noProof/>
              </w:rPr>
              <w:t>Liquor Control Amendment Regulations (No. 2) 2023</w:t>
            </w:r>
            <w:r>
              <w:rPr>
                <w:bCs/>
                <w:iCs/>
                <w:noProof/>
              </w:rPr>
              <w:t xml:space="preserve"> Pt. 4</w:t>
            </w:r>
          </w:p>
        </w:tc>
        <w:tc>
          <w:tcPr>
            <w:tcW w:w="1276" w:type="dxa"/>
            <w:tcBorders>
              <w:top w:val="single" w:sz="8" w:space="0" w:color="auto"/>
              <w:bottom w:val="single" w:sz="4" w:space="0" w:color="auto"/>
            </w:tcBorders>
          </w:tcPr>
          <w:p>
            <w:pPr>
              <w:pStyle w:val="nTable"/>
              <w:spacing w:after="40"/>
            </w:pPr>
            <w:r>
              <w:t>SL 2023/196 13 Dec 2023</w:t>
            </w:r>
          </w:p>
        </w:tc>
        <w:tc>
          <w:tcPr>
            <w:tcW w:w="2693" w:type="dxa"/>
            <w:tcBorders>
              <w:top w:val="single" w:sz="8" w:space="0" w:color="auto"/>
              <w:bottom w:val="single" w:sz="4" w:space="0" w:color="auto"/>
            </w:tcBorders>
          </w:tcPr>
          <w:p>
            <w:pPr>
              <w:pStyle w:val="nTable"/>
              <w:spacing w:after="40"/>
            </w:pPr>
            <w:r>
              <w:t>14 Dec 2025 (see r. 2(d))</w:t>
            </w:r>
          </w:p>
        </w:tc>
      </w:tr>
    </w:tbl>
    <w:p>
      <w:pPr>
        <w:pStyle w:val="nHeading3"/>
        <w:keepLines/>
        <w:widowControl w:val="0"/>
      </w:pPr>
      <w:bookmarkStart w:id="137" w:name="_Toc188000801"/>
      <w:r>
        <w:t>Other notes</w:t>
      </w:r>
      <w:bookmarkEnd w:id="137"/>
    </w:p>
    <w:p>
      <w:pPr>
        <w:pStyle w:val="nNote"/>
        <w:keepLines/>
      </w:pPr>
      <w:r>
        <w:rPr>
          <w:vertAlign w:val="superscript"/>
        </w:rPr>
        <w:t>1</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Note"/>
      </w:pPr>
      <w:r>
        <w:rPr>
          <w:vertAlign w:val="superscript"/>
        </w:rPr>
        <w:t>2</w:t>
      </w:r>
      <w:r>
        <w:tab/>
        <w:t xml:space="preserve">Repealed by the </w:t>
      </w:r>
      <w:r>
        <w:rPr>
          <w:i/>
        </w:rPr>
        <w:t xml:space="preserve">Tax </w:t>
      </w:r>
      <w:r>
        <w:rPr>
          <w:i/>
          <w:iCs/>
        </w:rPr>
        <w:t>Laws Amendment (Repeal of Inoperative Provisions) Act 2006</w:t>
      </w:r>
      <w:r>
        <w:t xml:space="preserve"> (Cwlth).</w:t>
      </w:r>
    </w:p>
    <w:p>
      <w:pPr>
        <w:pStyle w:val="nNote"/>
      </w:pPr>
      <w:r>
        <w:rPr>
          <w:vertAlign w:val="superscript"/>
        </w:rPr>
        <w:t>3</w:t>
      </w:r>
      <w:r>
        <w:tab/>
        <w:t>Commenced 1 July 2014.</w:t>
      </w:r>
    </w:p>
    <w:p>
      <w:pPr>
        <w:pStyle w:val="nNote"/>
      </w:pPr>
      <w:r>
        <w:rPr>
          <w:vertAlign w:val="superscript"/>
        </w:rPr>
        <w:t>4</w:t>
      </w:r>
      <w:r>
        <w:tab/>
        <w:t xml:space="preserve">Now known as the </w:t>
      </w:r>
      <w:r>
        <w:rPr>
          <w:i/>
          <w:iCs/>
        </w:rPr>
        <w:t>Liquor Control Regulations 1989</w:t>
      </w:r>
      <w:r>
        <w:t>; citation changed (see note under r. 1).</w:t>
      </w:r>
    </w:p>
    <w:p>
      <w:pPr>
        <w:pStyle w:val="nNote"/>
      </w:pPr>
      <w:r>
        <w:rPr>
          <w:vertAlign w:val="superscript"/>
        </w:rPr>
        <w:t>5</w:t>
      </w:r>
      <w:r>
        <w:tab/>
        <w:t xml:space="preserve">Disallowed on 26 Apr 1992, see </w:t>
      </w:r>
      <w:r>
        <w:rPr>
          <w:i/>
        </w:rPr>
        <w:t>Gazette</w:t>
      </w:r>
      <w:r>
        <w:t xml:space="preserve"> 1 May 1992 p. 1844.</w:t>
      </w:r>
    </w:p>
    <w:p>
      <w:pPr>
        <w:pStyle w:val="nNote"/>
      </w:pPr>
      <w:r>
        <w:rPr>
          <w:vertAlign w:val="superscript"/>
        </w:rPr>
        <w:t>6</w:t>
      </w:r>
      <w:r>
        <w:tab/>
        <w:t xml:space="preserve">The </w:t>
      </w:r>
      <w:r>
        <w:rPr>
          <w:i/>
        </w:rPr>
        <w:t>Liquor Licensing Amendment Regulations (No. 2) 2001</w:t>
      </w:r>
      <w:r>
        <w:t xml:space="preserve"> r. 2(3) and (4) are transitional provisions that are of no further effect.</w:t>
      </w:r>
    </w:p>
    <w:p>
      <w:pPr>
        <w:pStyle w:val="nNote"/>
      </w:pPr>
      <w:r>
        <w:rPr>
          <w:vertAlign w:val="superscript"/>
        </w:rPr>
        <w:t>7</w:t>
      </w:r>
      <w:r>
        <w:tab/>
        <w:t xml:space="preserve">The amendments in the </w:t>
      </w:r>
      <w:r>
        <w:rPr>
          <w:i/>
        </w:rPr>
        <w:t>Liquor Licensing Amendment Regulations 2004</w:t>
      </w:r>
      <w:r>
        <w:t xml:space="preserve"> r. 3 and 5 are not included because of an error in the reference to the provisions to be amended.</w:t>
      </w:r>
    </w:p>
    <w:p>
      <w:pPr>
        <w:pStyle w:val="nNote"/>
      </w:pPr>
      <w:r>
        <w:rPr>
          <w:vertAlign w:val="superscript"/>
        </w:rPr>
        <w:t>8</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1</w:t>
      </w:r>
      <w:r>
        <w:t xml:space="preserve"> above). </w:t>
      </w:r>
    </w:p>
    <w:p>
      <w:pPr>
        <w:pStyle w:val="nNote"/>
      </w:pPr>
      <w:r>
        <w:rPr>
          <w:vertAlign w:val="superscript"/>
        </w:rPr>
        <w:t>9</w:t>
      </w:r>
      <w:r>
        <w:tab/>
        <w:t xml:space="preserve">Disallowed on 13 Sep 2012, see </w:t>
      </w:r>
      <w:r>
        <w:rPr>
          <w:i/>
        </w:rPr>
        <w:t>Gazette</w:t>
      </w:r>
      <w:r>
        <w:t xml:space="preserve"> 18 Sep 2012 p. 4411.</w:t>
      </w:r>
    </w:p>
    <w:p>
      <w:pPr>
        <w:sectPr>
          <w:headerReference w:type="even" r:id="rId39"/>
          <w:headerReference w:type="default" r:id="rId40"/>
          <w:pgSz w:w="11907" w:h="16840" w:code="9"/>
          <w:pgMar w:top="2376" w:right="2404" w:bottom="3544" w:left="2404" w:header="720" w:footer="3544" w:gutter="0"/>
          <w:cols w:space="720"/>
          <w:noEndnote/>
          <w:docGrid w:linePitch="326"/>
        </w:sectPr>
      </w:pPr>
    </w:p>
    <w:p>
      <w:pPr>
        <w:pStyle w:val="nHeading2"/>
        <w:rPr>
          <w:sz w:val="28"/>
        </w:rPr>
      </w:pPr>
      <w:bookmarkStart w:id="139" w:name="_Toc187996518"/>
      <w:bookmarkStart w:id="140" w:name="_Toc187997552"/>
      <w:bookmarkStart w:id="141" w:name="_Toc188000802"/>
      <w:r>
        <w:rPr>
          <w:sz w:val="28"/>
        </w:rPr>
        <w:lastRenderedPageBreak/>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18(1)</w:t>
      </w:r>
    </w:p>
    <w:p>
      <w:pPr>
        <w:pStyle w:val="DefinedTerms"/>
      </w:pPr>
      <w:r>
        <w:t>authorised arrangement</w:t>
      </w:r>
      <w:r>
        <w:tab/>
        <w:t>8E(1)</w:t>
      </w:r>
    </w:p>
    <w:p>
      <w:pPr>
        <w:pStyle w:val="DefinedTerms"/>
      </w:pPr>
      <w:r>
        <w:t>Authority</w:t>
      </w:r>
      <w:r>
        <w:tab/>
        <w:t>3A(1)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Deposited Plan</w:t>
      </w:r>
      <w:r>
        <w:tab/>
        <w:t>3A(1)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ID system</w:t>
      </w:r>
      <w:r>
        <w:tab/>
        <w:t>3A(1)</w:t>
      </w:r>
    </w:p>
    <w:p>
      <w:pPr>
        <w:pStyle w:val="DefinedTerms"/>
      </w:pPr>
      <w:r>
        <w:t>inter-State voyage</w:t>
      </w:r>
      <w:r>
        <w:tab/>
        <w:t>8(3)</w:t>
      </w:r>
    </w:p>
    <w:p>
      <w:pPr>
        <w:pStyle w:val="DefinedTerms"/>
      </w:pPr>
      <w:r>
        <w:t>judge</w:t>
      </w:r>
      <w:r>
        <w:tab/>
        <w:t>8G(1)</w:t>
      </w:r>
    </w:p>
    <w:p>
      <w:pPr>
        <w:pStyle w:val="DefinedTerms"/>
      </w:pPr>
      <w:r>
        <w:t>liqueur chocolate</w:t>
      </w:r>
      <w:r>
        <w:tab/>
        <w:t>4AD(1)</w:t>
      </w:r>
    </w:p>
    <w:p>
      <w:pPr>
        <w:pStyle w:val="DefinedTerms"/>
      </w:pPr>
      <w:r>
        <w:t>liquor competition</w:t>
      </w:r>
      <w:r>
        <w:tab/>
        <w:t>8G(1)</w:t>
      </w:r>
    </w:p>
    <w:p>
      <w:pPr>
        <w:pStyle w:val="DefinedTerms"/>
      </w:pPr>
      <w:r>
        <w:t>liquor producer</w:t>
      </w:r>
      <w:r>
        <w:tab/>
        <w:t>8D(1)</w:t>
      </w:r>
    </w:p>
    <w:p>
      <w:pPr>
        <w:pStyle w:val="DefinedTerms"/>
      </w:pPr>
      <w:r>
        <w:t>liquor restricted premises</w:t>
      </w:r>
      <w:r>
        <w:tab/>
        <w:t>3A(1)</w:t>
      </w:r>
    </w:p>
    <w:p>
      <w:pPr>
        <w:pStyle w:val="DefinedTerms"/>
      </w:pPr>
      <w:r>
        <w:t>live entertainment</w:t>
      </w:r>
      <w:r>
        <w:tab/>
        <w:t>8A(1)</w:t>
      </w:r>
    </w:p>
    <w:p>
      <w:pPr>
        <w:pStyle w:val="DefinedTerms"/>
      </w:pPr>
      <w:r>
        <w:lastRenderedPageBreak/>
        <w:t>manager’s approval</w:t>
      </w:r>
      <w:r>
        <w:tab/>
        <w:t>3A(1)</w:t>
      </w:r>
    </w:p>
    <w:p>
      <w:pPr>
        <w:pStyle w:val="DefinedTerms"/>
      </w:pPr>
      <w:r>
        <w:t>maximum number of patrons</w:t>
      </w:r>
      <w:r>
        <w:tab/>
        <w:t>3A(1)</w:t>
      </w:r>
    </w:p>
    <w:p>
      <w:pPr>
        <w:pStyle w:val="DefinedTerms"/>
      </w:pPr>
      <w:r>
        <w:t>metropolitan region</w:t>
      </w:r>
      <w:r>
        <w:tab/>
        <w:t>3A(1)</w:t>
      </w:r>
    </w:p>
    <w:p>
      <w:pPr>
        <w:pStyle w:val="DefinedTerms"/>
      </w:pPr>
      <w:r>
        <w:t>negative determination</w:t>
      </w:r>
      <w:r>
        <w:tab/>
        <w:t>8A(1)</w:t>
      </w:r>
    </w:p>
    <w:p>
      <w:pPr>
        <w:pStyle w:val="DefinedTerms"/>
      </w:pPr>
      <w:r>
        <w:t>notional wholesale selling price</w:t>
      </w:r>
      <w:r>
        <w:tab/>
        <w:t>3A(1)</w:t>
      </w:r>
    </w:p>
    <w:p>
      <w:pPr>
        <w:pStyle w:val="DefinedTerms"/>
      </w:pPr>
      <w:r>
        <w:t>on-demand charter vehicle authorisation</w:t>
      </w:r>
      <w:r>
        <w:tab/>
        <w:t>8F(1)</w:t>
      </w:r>
    </w:p>
    <w:p>
      <w:pPr>
        <w:pStyle w:val="DefinedTerms"/>
      </w:pPr>
      <w:r>
        <w:t>organised function</w:t>
      </w:r>
      <w:r>
        <w:tab/>
        <w:t>8E(1)</w:t>
      </w:r>
    </w:p>
    <w:p>
      <w:pPr>
        <w:pStyle w:val="DefinedTerms"/>
      </w:pPr>
      <w:r>
        <w:t>overseas voyage</w:t>
      </w:r>
      <w:r>
        <w:tab/>
        <w:t>8(3)</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intra-State voyage</w:t>
      </w:r>
      <w:r>
        <w:tab/>
        <w:t>8(3)</w:t>
      </w:r>
    </w:p>
    <w:p>
      <w:pPr>
        <w:pStyle w:val="DefinedTerms"/>
      </w:pPr>
      <w:r>
        <w:t>qualifying person</w:t>
      </w:r>
      <w:r>
        <w:tab/>
        <w:t>8(3)</w:t>
      </w:r>
    </w:p>
    <w:p>
      <w:pPr>
        <w:pStyle w:val="DefinedTerms"/>
      </w:pPr>
      <w:r>
        <w:t>relevant body corporate</w:t>
      </w:r>
      <w:r>
        <w:tab/>
        <w:t>5B(2), (3),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w:t>
      </w:r>
      <w:r>
        <w:tab/>
        <w:t>8(1), (2)</w:t>
      </w:r>
    </w:p>
    <w:p>
      <w:pPr>
        <w:pStyle w:val="DefinedTerms"/>
      </w:pPr>
      <w:r>
        <w:t>residential care</w:t>
      </w:r>
      <w:r>
        <w:tab/>
        <w:t>8(2)</w:t>
      </w:r>
    </w:p>
    <w:p>
      <w:pPr>
        <w:pStyle w:val="DefinedTerms"/>
      </w:pPr>
      <w:r>
        <w:t>responsible adult</w:t>
      </w:r>
      <w:r>
        <w:tab/>
        <w:t>8A(1), 8F(1)</w:t>
      </w:r>
    </w:p>
    <w:p>
      <w:pPr>
        <w:pStyle w:val="DefinedTerms"/>
      </w:pPr>
      <w:r>
        <w:t>restricted area</w:t>
      </w:r>
      <w:r>
        <w:tab/>
        <w:t>3A(1)</w:t>
      </w:r>
    </w:p>
    <w:p>
      <w:pPr>
        <w:pStyle w:val="DefinedTerms"/>
      </w:pPr>
      <w:r>
        <w:t>restricted material</w:t>
      </w:r>
      <w:r>
        <w:tab/>
        <w:t>8A(1)</w:t>
      </w:r>
    </w:p>
    <w:p>
      <w:pPr>
        <w:pStyle w:val="DefinedTerms"/>
      </w:pPr>
      <w:r>
        <w:t>retail sale</w:t>
      </w:r>
      <w:r>
        <w:tab/>
        <w:t>4A(2)</w:t>
      </w:r>
    </w:p>
    <w:p>
      <w:pPr>
        <w:pStyle w:val="DefinedTerms"/>
      </w:pPr>
      <w:r>
        <w:t>retirement village</w:t>
      </w:r>
      <w:r>
        <w:tab/>
        <w:t>8(2)</w:t>
      </w:r>
    </w:p>
    <w:p>
      <w:pPr>
        <w:pStyle w:val="DefinedTerms"/>
      </w:pPr>
      <w:r>
        <w:t>road</w:t>
      </w:r>
      <w:r>
        <w:tab/>
        <w:t>3A(1)</w:t>
      </w:r>
    </w:p>
    <w:p>
      <w:pPr>
        <w:pStyle w:val="DefinedTerms"/>
      </w:pPr>
      <w:r>
        <w:t>room service restaurant</w:t>
      </w:r>
      <w:r>
        <w:tab/>
        <w:t>9A(17)</w:t>
      </w:r>
    </w:p>
    <w:p>
      <w:pPr>
        <w:pStyle w:val="DefinedTerms"/>
      </w:pPr>
      <w:r>
        <w:t>sale</w:t>
      </w:r>
      <w:r>
        <w:tab/>
        <w:t>5(2)</w:t>
      </w:r>
    </w:p>
    <w:p>
      <w:pPr>
        <w:pStyle w:val="DefinedTerms"/>
      </w:pPr>
      <w:r>
        <w:t>school</w:t>
      </w:r>
      <w:r>
        <w:tab/>
        <w:t>8E(1)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town</w:t>
      </w:r>
      <w:r>
        <w:tab/>
        <w:t>16AA(1)</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lastRenderedPageBreak/>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sectPr>
          <w:headerReference w:type="even" r:id="rId41"/>
          <w:headerReference w:type="default" r:id="rId4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9"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5EA74D9"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fKlvsD0CAAB4BAAADgAAAAAA&#10;AAAAAAAAAAAuAgAAZHJzL2Uyb0RvYy54bWxQSwECLQAUAAYACAAAACEAY38uG9wAAAAJAQAADwAA&#10;AAAAAAAAAAAAAACXBAAAZHJzL2Rvd25yZXYueG1sUEsFBgAAAAAEAAQA8wAAAKAFAAAAAA==&#10;" stroked="f" strokeweight=".5pt">
                <v:textbox>
                  <w:txbxContent>
                    <w:p w14:paraId="2988B655" w14:textId="583A2809" w:rsidR="00111012" w:rsidRDefault="00111012">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56ECF">
                        <w:rPr>
                          <w:sz w:val="16"/>
                        </w:rPr>
                        <w:t>2025</w:t>
                      </w:r>
                      <w:r>
                        <w:rPr>
                          <w:sz w:val="16"/>
                        </w:rPr>
                        <w:fldChar w:fldCharType="end"/>
                      </w:r>
                      <w:r>
                        <w:rPr>
                          <w:sz w:val="16"/>
                        </w:rPr>
                        <w:t>.</w:t>
                      </w:r>
                    </w:p>
                    <w:p w14:paraId="7CC7AE45" w14:textId="77777777" w:rsidR="00111012" w:rsidRDefault="00111012">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37593A4" w14:textId="1A1C3A67" w:rsidR="00111012" w:rsidRDefault="00111012">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56ECF">
                        <w:rPr>
                          <w:sz w:val="16"/>
                        </w:rPr>
                        <w:t>2025</w:t>
                      </w:r>
                      <w:r>
                        <w:rPr>
                          <w:sz w:val="16"/>
                        </w:rPr>
                        <w:fldChar w:fldCharType="end"/>
                      </w:r>
                      <w:r>
                        <w:rPr>
                          <w:sz w:val="16"/>
                        </w:rPr>
                        <w:t>.</w:t>
                      </w:r>
                    </w:p>
                    <w:p w14:paraId="20ADB6BF" w14:textId="77777777" w:rsidR="00111012" w:rsidRDefault="00111012">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14-ao0-00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14-ao0-00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14-ao0-00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14-ao0-00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14-ao0-00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14-ao0-00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STYLEREF CharSClsNo </w:instrText>
          </w:r>
          <w:r>
            <w:rPr>
              <w:b/>
            </w:rPr>
            <w:fldChar w:fldCharType="separate"/>
          </w:r>
          <w:r>
            <w:rPr>
              <w:b/>
            </w:rPr>
            <w:t>Form 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CharSClsNo </w:instrText>
          </w:r>
          <w:r>
            <w:rPr>
              <w:b/>
            </w:rPr>
            <w:fldChar w:fldCharType="separate"/>
          </w:r>
          <w:r>
            <w:rPr>
              <w:b/>
            </w:rPr>
            <w:t>Form 19</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 inserted: SL 2024/213 r. 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Cs/>
            </w:rPr>
            <w:fldChar w:fldCharType="end"/>
          </w:r>
          <w:r>
            <w:rPr>
              <w:b/>
            </w:rPr>
            <w:instrText>"</w:instrText>
          </w:r>
          <w:r>
            <w:rPr>
              <w:b/>
            </w:rPr>
            <w:fldChar w:fldCharType="separate"/>
          </w:r>
          <w:r>
            <w:rPr>
              <w:b/>
            </w:rPr>
            <w:t>[Schedule 3 inserted: SL 2024/213 r. 14.]</w:t>
          </w:r>
          <w:r>
            <w:rPr>
              <w:b/>
            </w:rPr>
            <w:cr/>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 inserted: SL 2024/213 r. 14.]</w:instrText>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3 inserted: SL 2024/213 r. 14.]</w:t>
          </w:r>
          <w:r>
            <w:rPr>
              <w:b/>
            </w:rPr>
            <w:cr/>
          </w:r>
          <w:r>
            <w:rPr>
              <w:b/>
            </w:rPr>
            <w:fldChar w:fldCharType="end"/>
          </w:r>
        </w:p>
      </w:tc>
    </w:tr>
    <w:tr>
      <w:trPr>
        <w:jc w:val="center"/>
      </w:trPr>
      <w:tc>
        <w:tcPr>
          <w:tcW w:w="5715" w:type="dxa"/>
        </w:tcPr>
        <w:p>
          <w:pPr>
            <w:pStyle w:val="Header"/>
            <w:tabs>
              <w:tab w:val="center" w:pos="2826"/>
              <w:tab w:val="right" w:pos="5653"/>
            </w:tabs>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Form 20</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Form 20</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2" w:name="DefinedTerms"/>
    <w:bookmarkEnd w:id="14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29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085052"/>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 w:name="WAFER_20180705164926" w:val="RemoveTocBookmarks,RemoveUnusedBookmarks,RemoveLanguageTags,UsedStyles,ResetPageSize"/>
    <w:docVar w:name="WAFER_20180705164926_GUID" w:val="6f91dc23-662c-4dba-8e80-bc8c27d117ff"/>
    <w:docVar w:name="WAFER_20180719102702" w:val="RemoveTocBookmarks,RemoveUnusedBookmarks,RemoveLanguageTags,UsedStyles,ResetPageSize"/>
    <w:docVar w:name="WAFER_20180719102702_GUID" w:val="6b570fb0-02e9-4e5e-a1ff-79a3109cafe0"/>
    <w:docVar w:name="WAFER_20181001135825" w:val="RemoveTocBookmarks,RemoveUnusedBookmarks,RemoveLanguageTags,UsedStyles,ResetPageSize"/>
    <w:docVar w:name="WAFER_20181001135825_GUID" w:val="b49f2d3d-6601-4f54-a770-6e168920268f"/>
    <w:docVar w:name="WAFER_20181204125652" w:val="RemoveTocBookmarks,RemoveUnusedBookmarks,RemoveLanguageTags,UsedStyles,ResetPageSize"/>
    <w:docVar w:name="WAFER_20181204125652_GUID" w:val="6a5bd5ca-d977-4730-8cc0-8d912860ba6b"/>
    <w:docVar w:name="WAFER_20190627105919" w:val="RemoveTocBookmarks,RemoveUnusedBookmarks,RemoveLanguageTags,ResetPageSize,RunningHeaders,UpdateStyles,UsedStyles"/>
    <w:docVar w:name="WAFER_20190627105919_GUID" w:val="8ea84dd6-0d96-41c8-9ad5-6ffd2291915e"/>
    <w:docVar w:name="WAFER_20190628082508" w:val="RemoveTocBookmarks,RemoveUnusedBookmarks,RemoveLanguageTags,ResetPageSize,RunningHeaders,UpdateStyles,UsedStyles"/>
    <w:docVar w:name="WAFER_20190628082508_GUID" w:val="cdbf365d-a050-4ad4-ad30-adaa1d797d45"/>
    <w:docVar w:name="WAFER_20191022160836" w:val="RemoveTocBookmarks,RemoveUnusedBookmarks,RemoveLanguageTags,ResetPageSize,RunningHeaders,UpdateStyles,UsedStyles"/>
    <w:docVar w:name="WAFER_20191022160836_GUID" w:val="55c1dbbf-dd0a-4a91-bf27-8d19c4f5ecf9"/>
    <w:docVar w:name="WAFER_20191031112850" w:val="RemoveTocBookmarks,RemoveUnusedBookmarks,RemoveLanguageTags,ResetPageSize,RunningHeaders,UpdateStyles,UsedStyles"/>
    <w:docVar w:name="WAFER_20191031112850_GUID" w:val="b253411b-ef31-4548-ae40-20a46de8e789"/>
    <w:docVar w:name="WAFER_20191203161318" w:val="RemoveTocBookmarks,RemoveUnusedBookmarks,RemoveLanguageTags,ResetPageSize,RunningHeaders,UpdateStyles,UsedStyles"/>
    <w:docVar w:name="WAFER_20191203161318_GUID" w:val="344f7623-b57f-4dea-b626-deabd3b52648"/>
    <w:docVar w:name="WAFER_202002110851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130_GUID" w:val="52803767-8359-4cdf-a1fb-f5fc5089dd3b"/>
    <w:docVar w:name="WAFER_202006181602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UpdateStyles.ProcessFixes,RemoveIncorrectStyles.ProcessStyles"/>
    <w:docVar w:name="WAFER_20200618160226_GUID" w:val="88357401-65ed-48a4-9cf2-e07b9c6802d1"/>
    <w:docVar w:name="WAFER_20201104122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4122907_GUID" w:val="b0060916-6984-40c8-9821-fc64138307e1"/>
    <w:docVar w:name="WAFER_202106211025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2542_GUID" w:val="6dea6647-2480-4301-8bfd-e4c2485e6c9e"/>
    <w:docVar w:name="WAFER_20210916115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6115532_GUID" w:val="d1af8b8e-c9ff-4a00-92d7-9e1fe73ec6a8"/>
    <w:docVar w:name="WAFER_20211201104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1104146_GUID" w:val="fd564dab-da09-4e4a-880d-d51e93f171a8"/>
    <w:docVar w:name="WAFER_202201241121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12141_GUID" w:val="2cbbad30-6da3-47ea-8d1c-56e2e9d27097"/>
    <w:docVar w:name="WAFER_202208091540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09154055_GUID" w:val="cd2fc6ae-94fc-482e-b7d4-530587ce02a7"/>
    <w:docVar w:name="WAFER_20221220124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0124028_GUID" w:val="3d6af505-93b7-4066-be4a-e4f47bb3dff3"/>
    <w:docVar w:name="WAFER_202308031449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3144919_GUID" w:val="73a6a266-36c5-4d7a-8e76-07d0c42a765f"/>
    <w:docVar w:name="WAFER_20231017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7093422_GUID" w:val="a9110920-8a6b-4962-9b23-c78a17ba177b"/>
    <w:docVar w:name="WAFER_202310170935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17093516_GUID" w:val="8e1e8afe-4245-4474-abc0-7ef4ecf67f41"/>
    <w:docVar w:name="WAFER_202310301348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0134801_GUID" w:val="70098155-c863-4003-b79c-9caaf5671d4a"/>
    <w:docVar w:name="WAFER_202312111019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01958_GUID" w:val="4a684c71-5a29-4af9-9b3b-a0cd612d3236"/>
    <w:docVar w:name="WAFER_202312201543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54312_GUID" w:val="0c16c765-6921-45f3-a4b7-5c04b966d303"/>
    <w:docVar w:name="WAFER_2024031413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34401_GUID" w:val="b3bdc44d-a9ab-4484-991e-9c38fefd5fd2"/>
    <w:docVar w:name="WAFER_20240621151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1239_GUID" w:val="63d4e016-aa49-43d8-936a-f9459834ffa7"/>
    <w:docVar w:name="WAFER_2024101013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124_GUID" w:val="1c5abe0c-4779-4bec-b19d-19e0381d3872"/>
    <w:docVar w:name="WAFER_202412230936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093601_GUID" w:val="4b22cd64-35df-4e74-9428-e0dbf454949f"/>
    <w:docVar w:name="WAFER_202501170850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085018_GUID" w:val="9356635c-473c-4a90-ba36-e6b789810ca0"/>
    <w:docVar w:name="WAFER_20250117085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085052_GUID" w:val="8258404c-a7d1-4354-9814-5ade63d698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9729"/>
    <o:shapelayout v:ext="edit">
      <o:idmap v:ext="edit" data="1"/>
    </o:shapelayout>
  </w:shapeDefaults>
  <w:decimalSymbol w:val="."/>
  <w:listSeparator w:val=","/>
  <w15:docId w15:val="{DEDE11C4-8E13-4497-840F-86477C31D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header" Target="header16.xml"/><Relationship Id="rId21" Type="http://schemas.openxmlformats.org/officeDocument/2006/relationships/image" Target="media/image2.wmf"/><Relationship Id="rId34" Type="http://schemas.openxmlformats.org/officeDocument/2006/relationships/image" Target="media/image7.png"/><Relationship Id="rId42" Type="http://schemas.openxmlformats.org/officeDocument/2006/relationships/header" Target="header19.xml"/><Relationship Id="rId47" Type="http://schemas.openxmlformats.org/officeDocument/2006/relationships/header" Target="header22.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2.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image" Target="media/image5.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image" Target="media/image9.jpeg"/><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header" Target="header2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image" Target="media/image8.png"/><Relationship Id="rId43" Type="http://schemas.openxmlformats.org/officeDocument/2006/relationships/header" Target="header20.xml"/><Relationship Id="rId48"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6.png"/><Relationship Id="rId38" Type="http://schemas.openxmlformats.org/officeDocument/2006/relationships/header" Target="header15.xml"/><Relationship Id="rId46" Type="http://schemas.openxmlformats.org/officeDocument/2006/relationships/footer" Target="footer8.xml"/><Relationship Id="rId20" Type="http://schemas.openxmlformats.org/officeDocument/2006/relationships/footer" Target="footer6.xml"/><Relationship Id="rId41" Type="http://schemas.openxmlformats.org/officeDocument/2006/relationships/header" Target="header18.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224399-6DD6-43A4-BC88-7ADEC08D1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31924</Words>
  <Characters>152597</Characters>
  <Application>Microsoft Office Word</Application>
  <DocSecurity>0</DocSecurity>
  <Lines>5261</Lines>
  <Paragraphs>3127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1989 - 14-ao0-00</dc:title>
  <dc:subject/>
  <dc:creator/>
  <cp:keywords/>
  <dc:description/>
  <cp:lastModifiedBy>Master Repository Process</cp:lastModifiedBy>
  <cp:revision>4</cp:revision>
  <cp:lastPrinted>2019-12-05T02:25:00Z</cp:lastPrinted>
  <dcterms:created xsi:type="dcterms:W3CDTF">2025-06-09T04:24:00Z</dcterms:created>
  <dcterms:modified xsi:type="dcterms:W3CDTF">2025-06-09T04:24:00Z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23 Jan 2025</vt:lpwstr>
  </property>
  <property fmtid="{D5CDD505-2E9C-101B-9397-08002B2CF9AE}" pid="8" name="Suffix">
    <vt:lpwstr>14-ao0-00</vt:lpwstr>
  </property>
  <property fmtid="{D5CDD505-2E9C-101B-9397-08002B2CF9AE}" pid="9" name="Official">
    <vt:lpwstr/>
  </property>
  <property fmtid="{D5CDD505-2E9C-101B-9397-08002B2CF9AE}" pid="10" name="CommencementDate">
    <vt:lpwstr>20250123</vt:lpwstr>
  </property>
  <property fmtid="{D5CDD505-2E9C-101B-9397-08002B2CF9AE}" pid="11" name="CommencementAsAt">
    <vt:filetime>2025-01-22T16:00:00Z</vt:filetime>
  </property>
  <property fmtid="{D5CDD505-2E9C-101B-9397-08002B2CF9AE}" pid="12" name="CommencementYear">
    <vt:lpwstr>2025</vt:lpwstr>
  </property>
</Properties>
</file>