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_Toc188016621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_Toc188016622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_Toc188016623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_Toc188016625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_Toc188016627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_Toc188016628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_Toc188016629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_Toc188016630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_Toc188016631 \h </w:instrText>
      </w:r>
      <w:r>
        <w:fldChar w:fldCharType="separate"/>
      </w:r>
      <w:r>
        <w:t>9</w:t>
      </w:r>
      <w:r>
        <w:fldChar w:fldCharType="end"/>
      </w:r>
    </w:p>
    <w:p>
      <w:pPr>
        <w:pStyle w:val="TOC8"/>
        <w:rPr>
          <w:rFonts w:asciiTheme="minorHAnsi" w:eastAsiaTheme="minorEastAsia" w:hAnsiTheme="minorHAnsi" w:cstheme="minorBidi"/>
          <w:szCs w:val="22"/>
        </w:rPr>
      </w:pPr>
      <w:r>
        <w:t>9A.</w:t>
      </w:r>
      <w:r>
        <w:tab/>
        <w:t>Recording, disclosing or making use of information: s. 143A(1)(d)</w:t>
      </w:r>
      <w:r>
        <w:tab/>
      </w:r>
      <w:r>
        <w:fldChar w:fldCharType="begin"/>
      </w:r>
      <w:r>
        <w:instrText xml:space="preserve"> PAGEREF _Toc188016632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_Toc188016634 \h </w:instrText>
      </w:r>
      <w:r>
        <w:fldChar w:fldCharType="separate"/>
      </w:r>
      <w:r>
        <w:t>12</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_Toc188016635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_Toc188016638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w:t>
      </w:r>
      <w:r>
        <w:tab/>
      </w:r>
      <w:r>
        <w:fldChar w:fldCharType="begin"/>
      </w:r>
      <w:r>
        <w:instrText xml:space="preserve"> PAGEREF _Toc188016640 \h </w:instrText>
      </w:r>
      <w:r>
        <w:fldChar w:fldCharType="separate"/>
      </w:r>
      <w:r>
        <w:t>17</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_Toc188016641 \h </w:instrText>
      </w:r>
      <w:r>
        <w:fldChar w:fldCharType="separate"/>
      </w:r>
      <w:r>
        <w:t>19</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_Toc188016642 \h </w:instrText>
      </w:r>
      <w:r>
        <w:fldChar w:fldCharType="separate"/>
      </w:r>
      <w:r>
        <w:t>23</w:t>
      </w:r>
      <w:r>
        <w:fldChar w:fldCharType="end"/>
      </w:r>
    </w:p>
    <w:p>
      <w:pPr>
        <w:pStyle w:val="TOC8"/>
        <w:rPr>
          <w:rFonts w:asciiTheme="minorHAnsi" w:eastAsiaTheme="minorEastAsia" w:hAnsiTheme="minorHAnsi" w:cstheme="minorBidi"/>
          <w:szCs w:val="22"/>
        </w:rPr>
      </w:pPr>
      <w:r>
        <w:t>14A.</w:t>
      </w:r>
      <w:r>
        <w:tab/>
        <w:t>Parking wardens</w:t>
      </w:r>
      <w:r>
        <w:tab/>
      </w:r>
      <w:r>
        <w:fldChar w:fldCharType="begin"/>
      </w:r>
      <w:r>
        <w:instrText xml:space="preserve"> PAGEREF _Toc188016643 \h </w:instrText>
      </w:r>
      <w:r>
        <w:fldChar w:fldCharType="separate"/>
      </w:r>
      <w:r>
        <w:t>25</w:t>
      </w:r>
      <w:r>
        <w:fldChar w:fldCharType="end"/>
      </w:r>
    </w:p>
    <w:p>
      <w:pPr>
        <w:pStyle w:val="TOC8"/>
        <w:rPr>
          <w:rFonts w:asciiTheme="minorHAnsi" w:eastAsiaTheme="minorEastAsia" w:hAnsiTheme="minorHAnsi" w:cstheme="minorBidi"/>
          <w:szCs w:val="22"/>
        </w:rPr>
      </w:pPr>
      <w:r>
        <w:t>15.</w:t>
      </w:r>
      <w:r>
        <w:tab/>
        <w:t>Wardens commencing prosecutions for offences under road laws</w:t>
      </w:r>
      <w:r>
        <w:tab/>
      </w:r>
      <w:r>
        <w:fldChar w:fldCharType="begin"/>
      </w:r>
      <w:r>
        <w:instrText xml:space="preserve"> PAGEREF _Toc188016644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_Toc188016646 \h </w:instrText>
      </w:r>
      <w:r>
        <w:fldChar w:fldCharType="separate"/>
      </w:r>
      <w:r>
        <w:t>26</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_Toc188016647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_Toc188016650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_Toc188016652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4"/>
        <w:tabs>
          <w:tab w:val="right" w:leader="dot" w:pos="7077"/>
        </w:tabs>
        <w:rPr>
          <w:rFonts w:asciiTheme="minorHAnsi" w:eastAsiaTheme="minorEastAsia" w:hAnsiTheme="minorHAnsi" w:cstheme="minorBidi"/>
          <w:b w:val="0"/>
          <w:szCs w:val="22"/>
        </w:rPr>
      </w:pPr>
      <w:r>
        <w:t>Division 1 — Offences for which infringement notices may be served under Part 5 of Act</w:t>
      </w:r>
    </w:p>
    <w:p>
      <w:pPr>
        <w:pStyle w:val="TOC8"/>
        <w:rPr>
          <w:rFonts w:asciiTheme="minorHAnsi" w:eastAsiaTheme="minorEastAsia" w:hAnsiTheme="minorHAnsi" w:cstheme="minorBidi"/>
          <w:szCs w:val="22"/>
        </w:rPr>
      </w:pPr>
      <w:r>
        <w:t>21.</w:t>
      </w:r>
      <w:r>
        <w:tab/>
        <w:t xml:space="preserve">Prescribed road law offences and modified penalties (s. 95(1)): </w:t>
      </w:r>
      <w:r>
        <w:rPr>
          <w:i/>
          <w:iCs/>
        </w:rPr>
        <w:t>Road Traffic (Administration) Act 2008</w:t>
      </w:r>
      <w:r>
        <w:tab/>
      </w:r>
      <w:r>
        <w:fldChar w:fldCharType="begin"/>
      </w:r>
      <w:r>
        <w:instrText xml:space="preserve"> PAGEREF _Toc188016655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Prescribed road law offences and modified penalties (s. 95(1)): </w:t>
      </w:r>
      <w:r>
        <w:rPr>
          <w:i/>
          <w:iCs/>
        </w:rPr>
        <w:t>Road Traffic (Authorisation to Drive) Act 2008</w:t>
      </w:r>
      <w:r>
        <w:tab/>
      </w:r>
      <w:r>
        <w:fldChar w:fldCharType="begin"/>
      </w:r>
      <w:r>
        <w:instrText xml:space="preserve"> PAGEREF _Toc188016656 \h </w:instrText>
      </w:r>
      <w:r>
        <w:fldChar w:fldCharType="separate"/>
      </w:r>
      <w:r>
        <w:t>33</w:t>
      </w:r>
      <w:r>
        <w:fldChar w:fldCharType="end"/>
      </w:r>
    </w:p>
    <w:p>
      <w:pPr>
        <w:pStyle w:val="TOC8"/>
        <w:rPr>
          <w:rFonts w:asciiTheme="minorHAnsi" w:eastAsiaTheme="minorEastAsia" w:hAnsiTheme="minorHAnsi" w:cstheme="minorBidi"/>
          <w:szCs w:val="22"/>
        </w:rPr>
      </w:pPr>
      <w:r>
        <w:t>22.</w:t>
      </w:r>
      <w:r>
        <w:tab/>
        <w:t xml:space="preserve">Prescribed road law offences and modified penalties (s. 95(1)): </w:t>
      </w:r>
      <w:r>
        <w:rPr>
          <w:i/>
          <w:iCs/>
        </w:rPr>
        <w:t>Road Traffic (Vehicles) Act 2012</w:t>
      </w:r>
      <w:r>
        <w:tab/>
      </w:r>
      <w:r>
        <w:fldChar w:fldCharType="begin"/>
      </w:r>
      <w:r>
        <w:instrText xml:space="preserve"> PAGEREF _Toc188016657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Prescribed road law offences and modified penalties (s. 95(1)): </w:t>
      </w:r>
      <w:r>
        <w:rPr>
          <w:i/>
          <w:iCs/>
        </w:rPr>
        <w:t>Road Traffic Act 1974</w:t>
      </w:r>
      <w:r>
        <w:tab/>
      </w:r>
      <w:r>
        <w:fldChar w:fldCharType="begin"/>
      </w:r>
      <w:r>
        <w:instrText xml:space="preserve"> PAGEREF _Toc188016658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24.</w:t>
      </w:r>
      <w:r>
        <w:tab/>
        <w:t>Prescribed road law offences and modified penalties (s. 95(1)): regulations made under road laws</w:t>
      </w:r>
      <w:r>
        <w:tab/>
      </w:r>
      <w:r>
        <w:fldChar w:fldCharType="begin"/>
      </w:r>
      <w:r>
        <w:instrText xml:space="preserve"> PAGEREF _Toc188016659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Service of infringement notices by wardens</w:t>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_Toc188016661 \h </w:instrText>
      </w:r>
      <w:r>
        <w:fldChar w:fldCharType="separate"/>
      </w:r>
      <w:r>
        <w:t>51</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w:t>
      </w:r>
      <w:r>
        <w:tab/>
      </w:r>
      <w:r>
        <w:fldChar w:fldCharType="begin"/>
      </w:r>
      <w:r>
        <w:instrText xml:space="preserve"> PAGEREF _Toc188016662 \h </w:instrText>
      </w:r>
      <w:r>
        <w:fldChar w:fldCharType="separate"/>
      </w:r>
      <w:r>
        <w:t>51</w:t>
      </w:r>
      <w:r>
        <w:fldChar w:fldCharType="end"/>
      </w:r>
    </w:p>
    <w:p>
      <w:pPr>
        <w:pStyle w:val="TOC8"/>
        <w:rPr>
          <w:rFonts w:asciiTheme="minorHAnsi" w:eastAsiaTheme="minorEastAsia" w:hAnsiTheme="minorHAnsi" w:cstheme="minorBidi"/>
          <w:szCs w:val="22"/>
        </w:rPr>
      </w:pPr>
      <w:r>
        <w:t>26A.</w:t>
      </w:r>
      <w:r>
        <w:tab/>
        <w:t>Offences for which infringement notices may be served by transport investigation wardens</w:t>
      </w:r>
      <w:r>
        <w:tab/>
      </w:r>
      <w:r>
        <w:fldChar w:fldCharType="begin"/>
      </w:r>
      <w:r>
        <w:instrText xml:space="preserve"> PAGEREF _Toc188016663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26B.</w:t>
      </w:r>
      <w:r>
        <w:tab/>
        <w:t>Public transport offences</w:t>
      </w:r>
      <w:r>
        <w:tab/>
      </w:r>
      <w:r>
        <w:fldChar w:fldCharType="begin"/>
      </w:r>
      <w:r>
        <w:instrText xml:space="preserve"> PAGEREF _Toc188016665 \h </w:instrText>
      </w:r>
      <w:r>
        <w:fldChar w:fldCharType="separate"/>
      </w:r>
      <w:r>
        <w:t>53</w:t>
      </w:r>
      <w:r>
        <w:fldChar w:fldCharType="end"/>
      </w:r>
    </w:p>
    <w:p>
      <w:pPr>
        <w:pStyle w:val="TOC8"/>
        <w:rPr>
          <w:rFonts w:asciiTheme="minorHAnsi" w:eastAsiaTheme="minorEastAsia" w:hAnsiTheme="minorHAnsi" w:cstheme="minorBidi"/>
          <w:szCs w:val="22"/>
        </w:rPr>
      </w:pPr>
      <w:r>
        <w:t>26C.</w:t>
      </w:r>
      <w:r>
        <w:tab/>
        <w:t>Police officers who are withdrawing officers</w:t>
      </w:r>
      <w:r>
        <w:tab/>
      </w:r>
      <w:r>
        <w:fldChar w:fldCharType="begin"/>
      </w:r>
      <w:r>
        <w:instrText xml:space="preserve"> PAGEREF _Toc188016666 \h </w:instrText>
      </w:r>
      <w:r>
        <w:fldChar w:fldCharType="separate"/>
      </w:r>
      <w:r>
        <w:t>53</w:t>
      </w:r>
      <w:r>
        <w:fldChar w:fldCharType="end"/>
      </w:r>
    </w:p>
    <w:p>
      <w:pPr>
        <w:pStyle w:val="TOC8"/>
        <w:rPr>
          <w:rFonts w:asciiTheme="minorHAnsi" w:eastAsiaTheme="minorEastAsia" w:hAnsiTheme="minorHAnsi" w:cstheme="minorBidi"/>
          <w:szCs w:val="22"/>
        </w:rPr>
      </w:pPr>
      <w:r>
        <w:t>26D.</w:t>
      </w:r>
      <w:r>
        <w:tab/>
        <w:t>Payment of infringement notices by instalment</w:t>
      </w:r>
      <w:r>
        <w:tab/>
      </w:r>
      <w:r>
        <w:fldChar w:fldCharType="begin"/>
      </w:r>
      <w:r>
        <w:instrText xml:space="preserve"> PAGEREF _Toc188016667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_Toc188016669 \h </w:instrText>
      </w:r>
      <w:r>
        <w:fldChar w:fldCharType="separate"/>
      </w:r>
      <w:r>
        <w:t>55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_Toc188016670 \h </w:instrText>
      </w:r>
      <w:r>
        <w:fldChar w:fldCharType="separate"/>
      </w:r>
      <w:r>
        <w:t>55</w:t>
      </w:r>
      <w:r>
        <w:fldChar w:fldCharType="end"/>
      </w:r>
    </w:p>
    <w:p>
      <w:pPr>
        <w:pStyle w:val="TOC8"/>
        <w:rPr>
          <w:rFonts w:asciiTheme="minorHAnsi" w:eastAsiaTheme="minorEastAsia" w:hAnsiTheme="minorHAnsi" w:cstheme="minorBidi"/>
          <w:szCs w:val="22"/>
        </w:rPr>
      </w:pPr>
      <w:r>
        <w:t>31AA.</w:t>
      </w:r>
      <w:r>
        <w:tab/>
        <w:t>Acts and omissions ascertained by visual detection equipment (s. 117(2)(d)(i))</w:t>
      </w:r>
      <w:r>
        <w:tab/>
      </w:r>
      <w:r>
        <w:fldChar w:fldCharType="begin"/>
      </w:r>
      <w:r>
        <w:instrText xml:space="preserve"> PAGEREF _Toc188016671 \h </w:instrText>
      </w:r>
      <w:r>
        <w:fldChar w:fldCharType="separate"/>
      </w:r>
      <w:r>
        <w:t>55</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_Toc188016672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_Toc188016674 \h </w:instrText>
      </w:r>
      <w:r>
        <w:fldChar w:fldCharType="separate"/>
      </w:r>
      <w:r>
        <w:t>57</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_Toc188016675 \h </w:instrText>
      </w:r>
      <w:r>
        <w:fldChar w:fldCharType="separate"/>
      </w:r>
      <w:r>
        <w:t>57</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_Toc188016676 \h </w:instrText>
      </w:r>
      <w:r>
        <w:fldChar w:fldCharType="separate"/>
      </w:r>
      <w:r>
        <w:t>58</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_Toc188016677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_Toc188016679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Service</w:t>
      </w:r>
    </w:p>
    <w:p>
      <w:pPr>
        <w:pStyle w:val="TOC8"/>
        <w:rPr>
          <w:rFonts w:asciiTheme="minorHAnsi" w:eastAsiaTheme="minorEastAsia" w:hAnsiTheme="minorHAnsi" w:cstheme="minorBidi"/>
          <w:szCs w:val="22"/>
        </w:rPr>
      </w:pPr>
      <w:r>
        <w:t>36.</w:t>
      </w:r>
      <w:r>
        <w:tab/>
        <w:t>Service of Part 5 documents (s. 100)</w:t>
      </w:r>
      <w:r>
        <w:tab/>
      </w:r>
      <w:r>
        <w:fldChar w:fldCharType="begin"/>
      </w:r>
      <w:r>
        <w:instrText xml:space="preserve"> PAGEREF _Toc188016681 \h </w:instrText>
      </w:r>
      <w:r>
        <w:fldChar w:fldCharType="separate"/>
      </w:r>
      <w:r>
        <w:t>61</w:t>
      </w:r>
      <w:r>
        <w:fldChar w:fldCharType="end"/>
      </w:r>
    </w:p>
    <w:p>
      <w:pPr>
        <w:pStyle w:val="TOC8"/>
        <w:rPr>
          <w:rFonts w:asciiTheme="minorHAnsi" w:eastAsiaTheme="minorEastAsia" w:hAnsiTheme="minorHAnsi" w:cstheme="minorBidi"/>
          <w:szCs w:val="22"/>
        </w:rPr>
      </w:pPr>
      <w:r>
        <w:t>37.</w:t>
      </w:r>
      <w:r>
        <w:tab/>
        <w:t>Giving other records by electronic means (s. 143(3)(c))</w:t>
      </w:r>
      <w:r>
        <w:tab/>
      </w:r>
      <w:r>
        <w:fldChar w:fldCharType="begin"/>
      </w:r>
      <w:r>
        <w:instrText xml:space="preserve"> PAGEREF _Toc188016682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12 — Transitional provision for </w:t>
      </w:r>
      <w:r>
        <w:rPr>
          <w:i/>
        </w:rPr>
        <w:t>Road Traffic (Administration) Amendment Regulations 2024</w:t>
      </w:r>
    </w:p>
    <w:p>
      <w:pPr>
        <w:pStyle w:val="TOC8"/>
        <w:rPr>
          <w:rFonts w:asciiTheme="minorHAnsi" w:eastAsiaTheme="minorEastAsia" w:hAnsiTheme="minorHAnsi" w:cstheme="minorBidi"/>
          <w:szCs w:val="22"/>
        </w:rPr>
      </w:pPr>
      <w:r>
        <w:t>38.</w:t>
      </w:r>
      <w:r>
        <w:tab/>
        <w:t>Existing wardens</w:t>
      </w:r>
      <w:r>
        <w:tab/>
      </w:r>
      <w:r>
        <w:fldChar w:fldCharType="begin"/>
      </w:r>
      <w:r>
        <w:instrText xml:space="preserve"> PAGEREF _Toc188016684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_Toc188016687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2" w:name="_Toc188005058"/>
      <w:bookmarkStart w:id="3" w:name="_Toc188006137"/>
      <w:bookmarkStart w:id="4" w:name="_Toc18801662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8016621"/>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6" w:name="_Toc188016622"/>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7" w:name="_Toc188016623"/>
      <w:r>
        <w:rPr>
          <w:rStyle w:val="CharSectno"/>
        </w:rPr>
        <w:t>3</w:t>
      </w:r>
      <w:r>
        <w:rPr>
          <w:snapToGrid w:val="0"/>
        </w:rPr>
        <w:t>.</w:t>
      </w:r>
      <w:r>
        <w:rPr>
          <w:snapToGrid w:val="0"/>
        </w:rPr>
        <w:tab/>
      </w:r>
      <w:r>
        <w:t>Terms used</w:t>
      </w:r>
      <w:bookmarkEnd w:id="7"/>
    </w:p>
    <w:p>
      <w:pPr>
        <w:pStyle w:val="Subsection"/>
      </w:pPr>
      <w:r>
        <w:tab/>
      </w:r>
      <w:r>
        <w:tab/>
        <w:t xml:space="preserve">In these regulations, unless the contrary intention appears — </w:t>
      </w:r>
    </w:p>
    <w:p>
      <w:pPr>
        <w:pStyle w:val="Defstart"/>
      </w:pPr>
      <w:r>
        <w:tab/>
      </w:r>
      <w:r>
        <w:rPr>
          <w:rStyle w:val="CharDefText"/>
        </w:rPr>
        <w:t>parking warden</w:t>
      </w:r>
      <w:r>
        <w:t xml:space="preserve"> means a person authorised under section 22(1) to perform the functions prescribed by regulation 14A(1);</w:t>
      </w:r>
    </w:p>
    <w:p>
      <w:pPr>
        <w:pStyle w:val="Defstart"/>
      </w:pPr>
      <w:r>
        <w:tab/>
      </w:r>
      <w:r>
        <w:rPr>
          <w:rStyle w:val="CharDefText"/>
        </w:rPr>
        <w:t>prescribed road law offence</w:t>
      </w:r>
      <w:r>
        <w:t xml:space="preserve"> has the meaning given in section 95(1)(a);</w:t>
      </w:r>
    </w:p>
    <w:p>
      <w:pPr>
        <w:pStyle w:val="Defstart"/>
      </w:pPr>
      <w:r>
        <w:tab/>
      </w:r>
      <w:r>
        <w:rPr>
          <w:rStyle w:val="CharDefText"/>
        </w:rPr>
        <w:t>section</w:t>
      </w:r>
      <w:r>
        <w:t xml:space="preserve"> means section of the Act;</w:t>
      </w:r>
    </w:p>
    <w:p>
      <w:pPr>
        <w:pStyle w:val="Defstart"/>
      </w:pPr>
      <w:r>
        <w:tab/>
      </w:r>
      <w:r>
        <w:rPr>
          <w:rStyle w:val="CharDefText"/>
        </w:rPr>
        <w:t>transport inspection warden</w:t>
      </w:r>
      <w:r>
        <w:t xml:space="preserve"> means a person authorised under section 22(1) to perform the functions prescribed by regulation 13(1);</w:t>
      </w:r>
    </w:p>
    <w:p>
      <w:pPr>
        <w:pStyle w:val="Defstart"/>
      </w:pPr>
      <w:r>
        <w:tab/>
      </w:r>
      <w:r>
        <w:rPr>
          <w:rStyle w:val="CharDefText"/>
        </w:rPr>
        <w:t>transport investigation warden</w:t>
      </w:r>
      <w:r>
        <w:t xml:space="preserve"> means a person authorised under section 22(1) to perform the functions prescribed by regulation 14(1);</w:t>
      </w:r>
    </w:p>
    <w:p>
      <w:pPr>
        <w:pStyle w:val="Defstart"/>
      </w:pPr>
      <w:r>
        <w:tab/>
      </w:r>
      <w:r>
        <w:rPr>
          <w:rStyle w:val="CharDefText"/>
        </w:rPr>
        <w:t>transport warden</w:t>
      </w:r>
      <w:r>
        <w:t xml:space="preserve"> means a person authorised under section 22(1) to perform the functions prescribed by regulation 12(1).</w:t>
      </w:r>
    </w:p>
    <w:p>
      <w:pPr>
        <w:pStyle w:val="Footnotesection"/>
      </w:pPr>
      <w:r>
        <w:tab/>
        <w:t>[Regulation 3 amended: SL 2024/201 r. 4.]</w:t>
      </w:r>
    </w:p>
    <w:p>
      <w:pPr>
        <w:pStyle w:val="Heading2"/>
      </w:pPr>
      <w:bookmarkStart w:id="8" w:name="_Toc188005062"/>
      <w:bookmarkStart w:id="9" w:name="_Toc188006141"/>
      <w:bookmarkStart w:id="10" w:name="_Toc188016624"/>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8"/>
      <w:bookmarkEnd w:id="9"/>
      <w:bookmarkEnd w:id="10"/>
    </w:p>
    <w:p>
      <w:pPr>
        <w:pStyle w:val="Heading5"/>
      </w:pPr>
      <w:bookmarkStart w:id="11" w:name="_Toc188016625"/>
      <w:r>
        <w:rPr>
          <w:rStyle w:val="CharSectno"/>
        </w:rPr>
        <w:t>4</w:t>
      </w:r>
      <w:r>
        <w:t>.</w:t>
      </w:r>
      <w:r>
        <w:tab/>
        <w:t>Power assisted pedal cycles</w:t>
      </w:r>
      <w:bookmarkEnd w:id="1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2" w:name="_Toc188005064"/>
      <w:bookmarkStart w:id="13" w:name="_Toc188006143"/>
      <w:bookmarkStart w:id="14" w:name="_Toc188016626"/>
      <w:r>
        <w:rPr>
          <w:rStyle w:val="CharPartNo"/>
        </w:rPr>
        <w:lastRenderedPageBreak/>
        <w:t>Part 3</w:t>
      </w:r>
      <w:r>
        <w:rPr>
          <w:rStyle w:val="CharDivNo"/>
        </w:rPr>
        <w:t> </w:t>
      </w:r>
      <w:r>
        <w:t>—</w:t>
      </w:r>
      <w:r>
        <w:rPr>
          <w:rStyle w:val="CharDivText"/>
        </w:rPr>
        <w:t> </w:t>
      </w:r>
      <w:r>
        <w:rPr>
          <w:rStyle w:val="CharPartText"/>
        </w:rPr>
        <w:t>Information</w:t>
      </w:r>
      <w:bookmarkEnd w:id="12"/>
      <w:bookmarkEnd w:id="13"/>
      <w:bookmarkEnd w:id="14"/>
    </w:p>
    <w:p>
      <w:pPr>
        <w:pStyle w:val="Heading5"/>
      </w:pPr>
      <w:bookmarkStart w:id="15" w:name="_Toc188016627"/>
      <w:r>
        <w:rPr>
          <w:rStyle w:val="CharSectno"/>
        </w:rPr>
        <w:t>5</w:t>
      </w:r>
      <w:r>
        <w:t>.</w:t>
      </w:r>
      <w:r>
        <w:tab/>
        <w:t>Information to be disclosed by Commissioner of Police to CEO: s. 12(4)(d)</w:t>
      </w:r>
      <w:bookmarkEnd w:id="15"/>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6" w:name="_Toc188016628"/>
      <w:r>
        <w:rPr>
          <w:rStyle w:val="CharSectno"/>
        </w:rPr>
        <w:t>6</w:t>
      </w:r>
      <w:r>
        <w:t>.</w:t>
      </w:r>
      <w:r>
        <w:tab/>
        <w:t>Exchange of information between CEO and other authorities</w:t>
      </w:r>
      <w:bookmarkEnd w:id="16"/>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7" w:name="_Toc188016629"/>
      <w:r>
        <w:rPr>
          <w:rStyle w:val="CharSectno"/>
        </w:rPr>
        <w:t>7</w:t>
      </w:r>
      <w:r>
        <w:t>.</w:t>
      </w:r>
      <w:r>
        <w:tab/>
        <w:t>Disclosure of information to prescribed persons</w:t>
      </w:r>
      <w:bookmarkEnd w:id="1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8" w:name="_Toc188016630"/>
      <w:r>
        <w:rPr>
          <w:rStyle w:val="CharSectno"/>
        </w:rPr>
        <w:lastRenderedPageBreak/>
        <w:t>8A</w:t>
      </w:r>
      <w:r>
        <w:t>.</w:t>
      </w:r>
      <w:r>
        <w:tab/>
        <w:t>Authorised purposes for disclosure of information to prescribed persons</w:t>
      </w:r>
      <w:bookmarkEnd w:id="18"/>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19" w:name="_Toc188016631"/>
      <w:r>
        <w:rPr>
          <w:rStyle w:val="CharSectno"/>
        </w:rPr>
        <w:t>8</w:t>
      </w:r>
      <w:r>
        <w:t>.</w:t>
      </w:r>
      <w:r>
        <w:tab/>
        <w:t>Disclosure of written</w:t>
      </w:r>
      <w:r>
        <w:noBreakHyphen/>
        <w:t>off vehicle register information</w:t>
      </w:r>
      <w:bookmarkEnd w:id="1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0" w:name="_Toc188016632"/>
      <w:r>
        <w:rPr>
          <w:rStyle w:val="CharSectno"/>
        </w:rPr>
        <w:t>9A</w:t>
      </w:r>
      <w:r>
        <w:t>.</w:t>
      </w:r>
      <w:r>
        <w:tab/>
        <w:t>Recording, disclosing or making use of information: s. 143A(1)(d)</w:t>
      </w:r>
      <w:bookmarkEnd w:id="20"/>
    </w:p>
    <w:p>
      <w:pPr>
        <w:pStyle w:val="Subsection"/>
      </w:pPr>
      <w:r>
        <w:tab/>
        <w:t>(1)</w:t>
      </w:r>
      <w:r>
        <w:tab/>
        <w:t xml:space="preserve">In this regulation — </w:t>
      </w:r>
    </w:p>
    <w:p>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Defpara"/>
      </w:pPr>
      <w:r>
        <w:tab/>
        <w:t>(a)</w:t>
      </w:r>
      <w:r>
        <w:tab/>
        <w:t>are the only propulsion system for the vehicle; or</w:t>
      </w:r>
    </w:p>
    <w:p>
      <w:pPr>
        <w:pStyle w:val="Defpara"/>
      </w:pPr>
      <w:r>
        <w:tab/>
        <w:t>(b)</w:t>
      </w:r>
      <w:r>
        <w:tab/>
        <w:t>are used in conjunction with another propulsion system for the vehicle;</w:t>
      </w:r>
    </w:p>
    <w:p>
      <w:pPr>
        <w:pStyle w:val="Defstart"/>
      </w:pPr>
      <w:r>
        <w:tab/>
      </w:r>
      <w:r>
        <w:rPr>
          <w:rStyle w:val="CharDefText"/>
        </w:rPr>
        <w:t>hydrogen</w:t>
      </w:r>
      <w:r>
        <w:rPr>
          <w:rStyle w:val="CharDefText"/>
        </w:rPr>
        <w:noBreakHyphen/>
        <w:t>powered vehicle</w:t>
      </w:r>
      <w:r>
        <w:t xml:space="preserve"> means a vehicle that —</w:t>
      </w:r>
    </w:p>
    <w:p>
      <w:pPr>
        <w:pStyle w:val="Defpara"/>
      </w:pPr>
      <w:r>
        <w:tab/>
        <w:t>(a)</w:t>
      </w:r>
      <w:r>
        <w:tab/>
        <w:t>is powered by a hydrogen fuel system; and</w:t>
      </w:r>
    </w:p>
    <w:p>
      <w:pPr>
        <w:pStyle w:val="Defpara"/>
      </w:pPr>
      <w:r>
        <w:tab/>
        <w:t>(b)</w:t>
      </w:r>
      <w:r>
        <w:tab/>
        <w:t>has 1 or more hydrogen fuel containers fitted to the vehicle for the system.</w:t>
      </w:r>
    </w:p>
    <w:p>
      <w:pPr>
        <w:pStyle w:val="Subsection"/>
      </w:pPr>
      <w:r>
        <w:tab/>
        <w:t>(2)</w:t>
      </w:r>
      <w:r>
        <w:tab/>
        <w:t>For section 143A(1)(d), information may be used for the purpose of inserting advertising material into an envelope that is used to send a document about a driver’s licence or vehicle licence.</w:t>
      </w:r>
    </w:p>
    <w:p>
      <w:pPr>
        <w:pStyle w:val="Subsection"/>
      </w:pPr>
      <w:r>
        <w:tab/>
        <w:t>(3)</w:t>
      </w:r>
      <w:r>
        <w:tab/>
        <w:t>For section 143A(1)(d), an officer of the department of the Public Service principally assisting in the administration of the Act may —</w:t>
      </w:r>
    </w:p>
    <w:p>
      <w:pPr>
        <w:pStyle w:val="Indenta"/>
      </w:pPr>
      <w:r>
        <w:tab/>
        <w:t>(a)</w:t>
      </w:r>
      <w:r>
        <w:tab/>
        <w:t>record and make use of vehicle licence information about electric</w:t>
      </w:r>
      <w:r>
        <w:noBreakHyphen/>
        <w:t>powered vehicles and hydrogen</w:t>
      </w:r>
      <w:r>
        <w:noBreakHyphen/>
        <w:t xml:space="preserve">powered vehicles (including information relating to particular </w:t>
      </w:r>
      <w:r>
        <w:lastRenderedPageBreak/>
        <w:t>commercial operations) for the purposes of preparing summary or statistical information; and</w:t>
      </w:r>
    </w:p>
    <w:p>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Footnotesection"/>
      </w:pPr>
      <w:r>
        <w:tab/>
        <w:t>[Regulation 9A inserted: SL 2024/184 r. 4.]</w:t>
      </w:r>
    </w:p>
    <w:p>
      <w:pPr>
        <w:pStyle w:val="Heading2"/>
      </w:pPr>
      <w:bookmarkStart w:id="21" w:name="_Toc188005071"/>
      <w:bookmarkStart w:id="22" w:name="_Toc188006150"/>
      <w:bookmarkStart w:id="23" w:name="_Toc188016633"/>
      <w:r>
        <w:rPr>
          <w:rStyle w:val="CharPartNo"/>
        </w:rPr>
        <w:lastRenderedPageBreak/>
        <w:t>Part 4</w:t>
      </w:r>
      <w:r>
        <w:rPr>
          <w:rStyle w:val="CharDivNo"/>
        </w:rPr>
        <w:t> </w:t>
      </w:r>
      <w:r>
        <w:t>—</w:t>
      </w:r>
      <w:r>
        <w:rPr>
          <w:rStyle w:val="CharDivText"/>
        </w:rPr>
        <w:t> </w:t>
      </w:r>
      <w:r>
        <w:rPr>
          <w:rStyle w:val="CharPartText"/>
        </w:rPr>
        <w:t>Other jurisdictions</w:t>
      </w:r>
      <w:bookmarkEnd w:id="21"/>
      <w:bookmarkEnd w:id="22"/>
      <w:bookmarkEnd w:id="23"/>
    </w:p>
    <w:p>
      <w:pPr>
        <w:pStyle w:val="Heading5"/>
      </w:pPr>
      <w:bookmarkStart w:id="24" w:name="_Toc188016634"/>
      <w:r>
        <w:rPr>
          <w:rStyle w:val="CharSectno"/>
        </w:rPr>
        <w:t>9</w:t>
      </w:r>
      <w:r>
        <w:t>.</w:t>
      </w:r>
      <w:r>
        <w:tab/>
        <w:t>Effect of directions etc., administrative actions of other jurisdictions: s. 18</w:t>
      </w:r>
      <w:bookmarkEnd w:id="24"/>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5" w:name="_Toc188016635"/>
      <w:r>
        <w:rPr>
          <w:rStyle w:val="CharSectno"/>
        </w:rPr>
        <w:lastRenderedPageBreak/>
        <w:t>10</w:t>
      </w:r>
      <w:r>
        <w:t>.</w:t>
      </w:r>
      <w:r>
        <w:tab/>
        <w:t>Effect of orders of courts, tribunals of other jurisdictions: s. 19</w:t>
      </w:r>
      <w:bookmarkEnd w:id="25"/>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6" w:name="_Toc188005074"/>
      <w:bookmarkStart w:id="27" w:name="_Toc188006153"/>
      <w:bookmarkStart w:id="28" w:name="_Toc188016636"/>
      <w:r>
        <w:rPr>
          <w:rStyle w:val="CharPartNo"/>
        </w:rPr>
        <w:lastRenderedPageBreak/>
        <w:t>Part 5</w:t>
      </w:r>
      <w:r>
        <w:t> — </w:t>
      </w:r>
      <w:r>
        <w:rPr>
          <w:rStyle w:val="CharPartText"/>
        </w:rPr>
        <w:t>Wardens</w:t>
      </w:r>
      <w:bookmarkEnd w:id="26"/>
      <w:bookmarkEnd w:id="27"/>
      <w:bookmarkEnd w:id="28"/>
    </w:p>
    <w:p>
      <w:pPr>
        <w:pStyle w:val="Heading3"/>
      </w:pPr>
      <w:bookmarkStart w:id="29" w:name="_Toc188005075"/>
      <w:bookmarkStart w:id="30" w:name="_Toc188006154"/>
      <w:bookmarkStart w:id="31" w:name="_Toc188016637"/>
      <w:r>
        <w:rPr>
          <w:rStyle w:val="CharDivNo"/>
        </w:rPr>
        <w:t>Division 1</w:t>
      </w:r>
      <w:r>
        <w:t> — </w:t>
      </w:r>
      <w:r>
        <w:rPr>
          <w:rStyle w:val="CharDivText"/>
        </w:rPr>
        <w:t>General</w:t>
      </w:r>
      <w:bookmarkEnd w:id="29"/>
      <w:bookmarkEnd w:id="30"/>
      <w:bookmarkEnd w:id="31"/>
    </w:p>
    <w:p>
      <w:pPr>
        <w:pStyle w:val="Heading5"/>
      </w:pPr>
      <w:bookmarkStart w:id="32" w:name="_Toc188016638"/>
      <w:r>
        <w:rPr>
          <w:rStyle w:val="CharSectno"/>
        </w:rPr>
        <w:t>11</w:t>
      </w:r>
      <w:r>
        <w:t>.</w:t>
      </w:r>
      <w:r>
        <w:tab/>
        <w:t>No use of force against a person</w:t>
      </w:r>
      <w:bookmarkEnd w:id="32"/>
    </w:p>
    <w:p>
      <w:pPr>
        <w:pStyle w:val="Subsection"/>
      </w:pPr>
      <w:r>
        <w:tab/>
      </w:r>
      <w:r>
        <w:tab/>
        <w:t>Nothing in these regulations authorises a warden to use force against a person.</w:t>
      </w:r>
    </w:p>
    <w:p>
      <w:pPr>
        <w:pStyle w:val="Heading3"/>
      </w:pPr>
      <w:bookmarkStart w:id="33" w:name="_Toc188005077"/>
      <w:bookmarkStart w:id="34" w:name="_Toc188006156"/>
      <w:bookmarkStart w:id="35" w:name="_Toc188016639"/>
      <w:r>
        <w:rPr>
          <w:rStyle w:val="CharDivNo"/>
        </w:rPr>
        <w:t>Division 2</w:t>
      </w:r>
      <w:r>
        <w:t> — </w:t>
      </w:r>
      <w:r>
        <w:rPr>
          <w:rStyle w:val="CharDivText"/>
        </w:rPr>
        <w:t>Warden functions for persons authorised by CEO</w:t>
      </w:r>
      <w:bookmarkEnd w:id="33"/>
      <w:bookmarkEnd w:id="34"/>
      <w:bookmarkEnd w:id="35"/>
      <w:r>
        <w:rPr>
          <w:rStyle w:val="CharDivText"/>
        </w:rPr>
        <w:t xml:space="preserve"> </w:t>
      </w:r>
    </w:p>
    <w:p>
      <w:pPr>
        <w:pStyle w:val="Heading5"/>
      </w:pPr>
      <w:bookmarkStart w:id="36" w:name="_Toc188016640"/>
      <w:r>
        <w:rPr>
          <w:rStyle w:val="CharSectno"/>
        </w:rPr>
        <w:t>12</w:t>
      </w:r>
      <w:r>
        <w:t>.</w:t>
      </w:r>
      <w:r>
        <w:tab/>
        <w:t>Transport wardens</w:t>
      </w:r>
      <w:bookmarkEnd w:id="36"/>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iCs/>
              </w:rPr>
              <w:lastRenderedPageBreak/>
              <w:t>Road Traffic (Administration) Act 2008</w:t>
            </w:r>
            <w:r>
              <w:t xml:space="preserve"> </w:t>
            </w:r>
            <w:r>
              <w:rPr>
                <w:iCs/>
              </w:rPr>
              <w:t>s. 52</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warden.</w:t>
      </w:r>
    </w:p>
    <w:p>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pPr>
        <w:pStyle w:val="Footnotesection"/>
      </w:pPr>
      <w:r>
        <w:tab/>
        <w:t>[Regulation 12 amended: SL 2024/201 r. 5.]</w:t>
      </w:r>
    </w:p>
    <w:p>
      <w:pPr>
        <w:pStyle w:val="Heading5"/>
      </w:pPr>
      <w:bookmarkStart w:id="37" w:name="_Toc188016641"/>
      <w:r>
        <w:rPr>
          <w:rStyle w:val="CharSectno"/>
        </w:rPr>
        <w:t>13</w:t>
      </w:r>
      <w:r>
        <w:t>.</w:t>
      </w:r>
      <w:r>
        <w:tab/>
        <w:t>Transport inspection wardens</w:t>
      </w:r>
      <w:bookmarkEnd w:id="37"/>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inspection warden.</w:t>
      </w:r>
    </w:p>
    <w:p>
      <w:pPr>
        <w:pStyle w:val="Subsection"/>
        <w:keepNext/>
      </w:pPr>
      <w:r>
        <w:lastRenderedPageBreak/>
        <w:tab/>
        <w:t>(4)</w:t>
      </w:r>
      <w:r>
        <w:tab/>
        <w:t>Subregulation (3) is subject to section 72.</w:t>
      </w:r>
    </w:p>
    <w:p>
      <w:pPr>
        <w:pStyle w:val="Footnotesection"/>
      </w:pPr>
      <w:r>
        <w:tab/>
        <w:t>[Regulation 13 amended: Gazette 15 Nov 2016 p. 5077; SL 2024/201 r. 6.]</w:t>
      </w:r>
    </w:p>
    <w:p>
      <w:pPr>
        <w:pStyle w:val="Heading5"/>
      </w:pPr>
      <w:bookmarkStart w:id="38" w:name="_Toc188016642"/>
      <w:r>
        <w:rPr>
          <w:rStyle w:val="CharSectno"/>
        </w:rPr>
        <w:t>14</w:t>
      </w:r>
      <w:r>
        <w:t>.</w:t>
      </w:r>
      <w:r>
        <w:tab/>
        <w:t>Transport investigation wardens</w:t>
      </w:r>
      <w:bookmarkEnd w:id="38"/>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iCs/>
              </w:rPr>
              <w:t>Road Traffic (Administration) Act 2008</w:t>
            </w:r>
            <w:r>
              <w:t xml:space="preserve"> </w:t>
            </w:r>
            <w:r>
              <w:rPr>
                <w:iCs/>
              </w:rPr>
              <w:t>s. 81</w:t>
            </w:r>
          </w:p>
        </w:tc>
        <w:tc>
          <w:tcPr>
            <w:tcW w:w="3034" w:type="dxa"/>
          </w:tcPr>
          <w:p>
            <w:pPr>
              <w:pStyle w:val="TableNAm"/>
              <w:keepNext/>
              <w:keepLines/>
              <w:rPr>
                <w:rStyle w:val="DraftersNotes"/>
              </w:rPr>
            </w:pPr>
            <w:r>
              <w:t>Serve infringement notices (alleged offender) in respect of the prescribed road law offences set out in the Table to regulation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lastRenderedPageBreak/>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lastRenderedPageBreak/>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 SL 2024/201 r. 7.]</w:t>
      </w:r>
    </w:p>
    <w:p>
      <w:pPr>
        <w:pStyle w:val="Heading5"/>
      </w:pPr>
      <w:bookmarkStart w:id="39" w:name="_Toc188016643"/>
      <w:r>
        <w:rPr>
          <w:rStyle w:val="CharSectno"/>
        </w:rPr>
        <w:t>14A</w:t>
      </w:r>
      <w:r>
        <w:t>.</w:t>
      </w:r>
      <w:r>
        <w:tab/>
        <w:t>Parking wardens</w:t>
      </w:r>
      <w:bookmarkEnd w:id="39"/>
    </w:p>
    <w:p>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pPr>
        <w:pStyle w:val="Subsection"/>
      </w:pPr>
      <w:r>
        <w:tab/>
        <w:t>(3)</w:t>
      </w:r>
      <w:r>
        <w:tab/>
        <w:t>For section 24(1)(b), a reference to a police officer in a provision of a road law mentioned in subregulation (1) is to be read as including a parking warden.</w:t>
      </w:r>
    </w:p>
    <w:p>
      <w:pPr>
        <w:pStyle w:val="Footnotesection"/>
      </w:pPr>
      <w:r>
        <w:tab/>
        <w:t>[Regulation 14A inserted: SL 2024/201 r. 8.]</w:t>
      </w:r>
    </w:p>
    <w:p>
      <w:pPr>
        <w:pStyle w:val="Heading5"/>
      </w:pPr>
      <w:bookmarkStart w:id="40" w:name="_Toc188016644"/>
      <w:r>
        <w:rPr>
          <w:rStyle w:val="CharSectno"/>
        </w:rPr>
        <w:lastRenderedPageBreak/>
        <w:t>15</w:t>
      </w:r>
      <w:r>
        <w:t>.</w:t>
      </w:r>
      <w:r>
        <w:tab/>
        <w:t>Wardens commencing prosecutions for offences under road laws</w:t>
      </w:r>
      <w:bookmarkEnd w:id="40"/>
    </w:p>
    <w:p>
      <w:pPr>
        <w:pStyle w:val="Subsection"/>
      </w:pPr>
      <w:r>
        <w:tab/>
      </w:r>
      <w:r>
        <w:tab/>
        <w:t>For sections 22 and 105(2)(b), the function of commencing a prosecution for an offence under a road law, other than an offence to which section 105(1) applies, is a function that can be performed by a warden.</w:t>
      </w:r>
    </w:p>
    <w:p>
      <w:pPr>
        <w:pStyle w:val="Footnotesection"/>
      </w:pPr>
      <w:r>
        <w:tab/>
        <w:t>[Regulation 15 amended: SL 2020/231 r. 5; SL 2024/201 r. 9.]</w:t>
      </w:r>
    </w:p>
    <w:p>
      <w:pPr>
        <w:pStyle w:val="Heading3"/>
      </w:pPr>
      <w:bookmarkStart w:id="41" w:name="_Toc188005083"/>
      <w:bookmarkStart w:id="42" w:name="_Toc188006162"/>
      <w:bookmarkStart w:id="43" w:name="_Toc188016645"/>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188016646"/>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188016647"/>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lastRenderedPageBreak/>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lastRenderedPageBreak/>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Ednotesection"/>
      </w:pPr>
      <w:r>
        <w:t>[</w:t>
      </w:r>
      <w:r>
        <w:rPr>
          <w:b/>
          <w:bCs/>
        </w:rPr>
        <w:t>18.</w:t>
      </w:r>
      <w:r>
        <w:tab/>
        <w:t>Deleted: SL 2024/201 r. 10.]</w:t>
      </w:r>
    </w:p>
    <w:p>
      <w:pPr>
        <w:pStyle w:val="Heading2"/>
      </w:pPr>
      <w:bookmarkStart w:id="46" w:name="_Toc188005086"/>
      <w:bookmarkStart w:id="47" w:name="_Toc188006165"/>
      <w:bookmarkStart w:id="48" w:name="_Toc188016648"/>
      <w:r>
        <w:rPr>
          <w:rStyle w:val="CharPartNo"/>
        </w:rPr>
        <w:lastRenderedPageBreak/>
        <w:t>Part 6</w:t>
      </w:r>
      <w:r>
        <w:t> — </w:t>
      </w:r>
      <w:r>
        <w:rPr>
          <w:rStyle w:val="CharPartText"/>
        </w:rPr>
        <w:t>Enforcement of road laws</w:t>
      </w:r>
      <w:bookmarkEnd w:id="46"/>
      <w:bookmarkEnd w:id="47"/>
      <w:bookmarkEnd w:id="48"/>
    </w:p>
    <w:p>
      <w:pPr>
        <w:pStyle w:val="Heading3"/>
      </w:pPr>
      <w:bookmarkStart w:id="49" w:name="_Toc188005087"/>
      <w:bookmarkStart w:id="50" w:name="_Toc188006166"/>
      <w:bookmarkStart w:id="51" w:name="_Toc188016649"/>
      <w:r>
        <w:rPr>
          <w:rStyle w:val="CharDivNo"/>
        </w:rPr>
        <w:t>Division 1</w:t>
      </w:r>
      <w:r>
        <w:t> — </w:t>
      </w:r>
      <w:r>
        <w:rPr>
          <w:rStyle w:val="CharDivText"/>
        </w:rPr>
        <w:t>Entry warrants</w:t>
      </w:r>
      <w:bookmarkEnd w:id="49"/>
      <w:bookmarkEnd w:id="50"/>
      <w:bookmarkEnd w:id="51"/>
    </w:p>
    <w:p>
      <w:pPr>
        <w:pStyle w:val="Heading5"/>
      </w:pPr>
      <w:bookmarkStart w:id="52" w:name="_Toc188016650"/>
      <w:r>
        <w:rPr>
          <w:rStyle w:val="CharSectno"/>
        </w:rPr>
        <w:t>19</w:t>
      </w:r>
      <w:r>
        <w:t>.</w:t>
      </w:r>
      <w:r>
        <w:tab/>
        <w:t>Form of entry warrant</w:t>
      </w:r>
      <w:bookmarkEnd w:id="52"/>
    </w:p>
    <w:p>
      <w:pPr>
        <w:pStyle w:val="Subsection"/>
      </w:pPr>
      <w:r>
        <w:tab/>
      </w:r>
      <w:r>
        <w:tab/>
        <w:t>For section 65(3), the form of a warrant authorising entry to premises is set out in Schedule 1.</w:t>
      </w:r>
    </w:p>
    <w:p>
      <w:pPr>
        <w:pStyle w:val="Heading3"/>
        <w:rPr>
          <w:rStyle w:val="CharDivText"/>
        </w:rPr>
      </w:pPr>
      <w:bookmarkStart w:id="53" w:name="_Toc188005089"/>
      <w:bookmarkStart w:id="54" w:name="_Toc188006168"/>
      <w:bookmarkStart w:id="55" w:name="_Toc188016651"/>
      <w:r>
        <w:rPr>
          <w:rStyle w:val="CharDivNo"/>
        </w:rPr>
        <w:t>Division 2</w:t>
      </w:r>
      <w:r>
        <w:t> — </w:t>
      </w:r>
      <w:r>
        <w:rPr>
          <w:rStyle w:val="CharDivText"/>
        </w:rPr>
        <w:t>Embargo notices</w:t>
      </w:r>
      <w:bookmarkEnd w:id="53"/>
      <w:bookmarkEnd w:id="54"/>
      <w:bookmarkEnd w:id="55"/>
    </w:p>
    <w:p>
      <w:pPr>
        <w:pStyle w:val="Heading5"/>
      </w:pPr>
      <w:bookmarkStart w:id="56" w:name="_Toc188016652"/>
      <w:r>
        <w:rPr>
          <w:rStyle w:val="CharSectno"/>
        </w:rPr>
        <w:t>20</w:t>
      </w:r>
      <w:r>
        <w:t>.</w:t>
      </w:r>
      <w:r>
        <w:tab/>
        <w:t>Particulars for embargo notice</w:t>
      </w:r>
      <w:bookmarkEnd w:id="56"/>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7" w:name="_Toc188005091"/>
      <w:bookmarkStart w:id="58" w:name="_Toc188006170"/>
      <w:bookmarkStart w:id="59" w:name="_Toc188016653"/>
      <w:r>
        <w:rPr>
          <w:rStyle w:val="CharPartNo"/>
        </w:rPr>
        <w:lastRenderedPageBreak/>
        <w:t>Part 7 </w:t>
      </w:r>
      <w:r>
        <w:t>—</w:t>
      </w:r>
      <w:r>
        <w:rPr>
          <w:rStyle w:val="CharPartText"/>
        </w:rPr>
        <w:t> Infringement notices</w:t>
      </w:r>
      <w:bookmarkEnd w:id="57"/>
      <w:bookmarkEnd w:id="58"/>
      <w:bookmarkEnd w:id="59"/>
    </w:p>
    <w:p>
      <w:pPr>
        <w:pStyle w:val="Heading3"/>
      </w:pPr>
      <w:bookmarkStart w:id="60" w:name="_Toc188005092"/>
      <w:bookmarkStart w:id="61" w:name="_Toc188006171"/>
      <w:bookmarkStart w:id="62" w:name="_Toc188016654"/>
      <w:r>
        <w:rPr>
          <w:rStyle w:val="CharDivNo"/>
        </w:rPr>
        <w:t>Division 1</w:t>
      </w:r>
      <w:r>
        <w:t> — </w:t>
      </w:r>
      <w:r>
        <w:rPr>
          <w:rStyle w:val="CharDivText"/>
        </w:rPr>
        <w:t>Offences for which infringement notices may be served under Part 5 of Act</w:t>
      </w:r>
      <w:bookmarkEnd w:id="60"/>
      <w:bookmarkEnd w:id="61"/>
      <w:bookmarkEnd w:id="62"/>
    </w:p>
    <w:p>
      <w:pPr>
        <w:pStyle w:val="Footnoteheading"/>
      </w:pPr>
      <w:r>
        <w:tab/>
        <w:t>[Heading inserted: SL 2024/201 r. 11.]</w:t>
      </w:r>
    </w:p>
    <w:p>
      <w:pPr>
        <w:pStyle w:val="Heading5"/>
        <w:rPr>
          <w:i/>
        </w:rPr>
      </w:pPr>
      <w:bookmarkStart w:id="63" w:name="_Toc188016655"/>
      <w:r>
        <w:rPr>
          <w:rStyle w:val="CharSectno"/>
        </w:rPr>
        <w:t>21</w:t>
      </w:r>
      <w:r>
        <w:t>.</w:t>
      </w:r>
      <w:r>
        <w:tab/>
        <w:t xml:space="preserve">Prescribed road law offences and modified penalties (s. 95(1)): </w:t>
      </w:r>
      <w:r>
        <w:rPr>
          <w:i/>
          <w:iCs/>
        </w:rPr>
        <w:t>Road Traffic (Administration) Act 2008</w:t>
      </w:r>
      <w:bookmarkEnd w:id="63"/>
    </w:p>
    <w:p>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PermNoteHeading"/>
      </w:pPr>
      <w:r>
        <w:tab/>
        <w:t>Note for this regulation:</w:t>
      </w:r>
    </w:p>
    <w:p>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lastRenderedPageBreak/>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lastRenderedPageBreak/>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 SL 2024/201 r. 12.]</w:t>
      </w:r>
    </w:p>
    <w:p>
      <w:pPr>
        <w:pStyle w:val="Heading5"/>
      </w:pPr>
      <w:bookmarkStart w:id="64" w:name="_Toc188016656"/>
      <w:r>
        <w:rPr>
          <w:rStyle w:val="CharSectno"/>
        </w:rPr>
        <w:lastRenderedPageBreak/>
        <w:t>21A</w:t>
      </w:r>
      <w:r>
        <w:t>.</w:t>
      </w:r>
      <w:r>
        <w:tab/>
        <w:t xml:space="preserve">Prescribed road law offences and modified penalties (s. 95(1)): </w:t>
      </w:r>
      <w:r>
        <w:rPr>
          <w:i/>
          <w:iCs/>
        </w:rPr>
        <w:t>Road Traffic (Authorisation to Drive) Act 2008</w:t>
      </w:r>
      <w:bookmarkEnd w:id="64"/>
    </w:p>
    <w:p>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pPr>
        <w:pStyle w:val="Subsection"/>
      </w:pPr>
      <w:r>
        <w:tab/>
        <w:t>(2)</w:t>
      </w:r>
      <w:r>
        <w:tab/>
        <w:t>The penalty applicable in relation to the offence if the offence is dealt with by infringement notice is 10 PU.</w:t>
      </w:r>
    </w:p>
    <w:p>
      <w:pPr>
        <w:pStyle w:val="Footnotesection"/>
      </w:pPr>
      <w:r>
        <w:tab/>
        <w:t>[Regulation 21A inserted: SL 2024/201 r. 13.]</w:t>
      </w:r>
    </w:p>
    <w:p>
      <w:pPr>
        <w:pStyle w:val="Heading5"/>
        <w:rPr>
          <w:i/>
        </w:rPr>
      </w:pPr>
      <w:bookmarkStart w:id="65" w:name="_Toc188016657"/>
      <w:r>
        <w:rPr>
          <w:rStyle w:val="CharSectno"/>
        </w:rPr>
        <w:t>22</w:t>
      </w:r>
      <w:r>
        <w:t>.</w:t>
      </w:r>
      <w:r>
        <w:tab/>
        <w:t xml:space="preserve">Prescribed road law offences and modified penalties (s. 95(1)): </w:t>
      </w:r>
      <w:r>
        <w:rPr>
          <w:i/>
          <w:iCs/>
        </w:rPr>
        <w:t>Road Traffic (Vehicles) Act 2012</w:t>
      </w:r>
      <w:bookmarkEnd w:id="65"/>
    </w:p>
    <w:p>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13"/>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1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13" w:type="dxa"/>
          </w:tcPr>
          <w:p>
            <w:pPr>
              <w:pStyle w:val="TableNAm"/>
              <w:jc w:val="center"/>
            </w:pPr>
            <w:r>
              <w:t>5</w:t>
            </w:r>
          </w:p>
        </w:tc>
      </w:tr>
      <w:tr>
        <w:trPr>
          <w:cantSplit/>
        </w:trPr>
        <w:tc>
          <w:tcPr>
            <w:tcW w:w="1531" w:type="dxa"/>
          </w:tcPr>
          <w:p>
            <w:pPr>
              <w:pStyle w:val="TableNAm"/>
            </w:pPr>
            <w:r>
              <w:lastRenderedPageBreak/>
              <w:t>s. 8(2)</w:t>
            </w:r>
          </w:p>
        </w:tc>
        <w:tc>
          <w:tcPr>
            <w:tcW w:w="2552" w:type="dxa"/>
          </w:tcPr>
          <w:p>
            <w:pPr>
              <w:pStyle w:val="TableNAm"/>
            </w:pPr>
            <w:r>
              <w:t>Failure to deliver licence document and number plates as demanded by CEO</w:t>
            </w:r>
          </w:p>
        </w:tc>
        <w:tc>
          <w:tcPr>
            <w:tcW w:w="2013"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13"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13"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13"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13" w:type="dxa"/>
          </w:tcPr>
          <w:p>
            <w:pPr>
              <w:pStyle w:val="TableNAm"/>
              <w:keepNext/>
              <w:keepLines/>
              <w:jc w:val="center"/>
            </w:pPr>
            <w:r>
              <w:t>2</w:t>
            </w:r>
          </w:p>
        </w:tc>
      </w:tr>
      <w:tr>
        <w:trPr>
          <w:cantSplit/>
        </w:trPr>
        <w:tc>
          <w:tcPr>
            <w:tcW w:w="1531" w:type="dxa"/>
          </w:tcPr>
          <w:p>
            <w:pPr>
              <w:pStyle w:val="TableNAm"/>
            </w:pPr>
            <w:r>
              <w:lastRenderedPageBreak/>
              <w:t>s. 29(1)</w:t>
            </w:r>
          </w:p>
        </w:tc>
        <w:tc>
          <w:tcPr>
            <w:tcW w:w="2552" w:type="dxa"/>
          </w:tcPr>
          <w:p>
            <w:pPr>
              <w:pStyle w:val="TableNAm"/>
            </w:pPr>
            <w:r>
              <w:t xml:space="preserve">Breach of mass requirement relating to heavy vehicle — mass up to 30% in excess of maximum permitted mass </w:t>
            </w:r>
          </w:p>
        </w:tc>
        <w:tc>
          <w:tcPr>
            <w:tcW w:w="2013"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13"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13" w:type="dxa"/>
          </w:tcPr>
          <w:p>
            <w:pPr>
              <w:pStyle w:val="TableNAm"/>
              <w:jc w:val="center"/>
              <w:rPr>
                <w:rStyle w:val="DraftersNotes"/>
              </w:rPr>
            </w:pPr>
            <w:r>
              <w:t>2</w:t>
            </w:r>
          </w:p>
        </w:tc>
      </w:tr>
      <w:tr>
        <w:trPr>
          <w:cantSplit/>
        </w:trPr>
        <w:tc>
          <w:tcPr>
            <w:tcW w:w="1531" w:type="dxa"/>
          </w:tcPr>
          <w:p>
            <w:pPr>
              <w:pStyle w:val="TableNAm"/>
            </w:pPr>
            <w:r>
              <w:lastRenderedPageBreak/>
              <w:t>s. 29(1)</w:t>
            </w:r>
          </w:p>
        </w:tc>
        <w:tc>
          <w:tcPr>
            <w:tcW w:w="2552" w:type="dxa"/>
          </w:tcPr>
          <w:p>
            <w:pPr>
              <w:pStyle w:val="TableNAm"/>
            </w:pPr>
            <w:r>
              <w:t>Breach of a dimension requirement that is a minor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lastRenderedPageBreak/>
              <w:t>s. 34(2)</w:t>
            </w:r>
          </w:p>
        </w:tc>
        <w:tc>
          <w:tcPr>
            <w:tcW w:w="2552" w:type="dxa"/>
          </w:tcPr>
          <w:p>
            <w:pPr>
              <w:pStyle w:val="TableNAm"/>
            </w:pPr>
            <w:r>
              <w:t>Driver to carry, produce permit for mass or dimension modification</w:t>
            </w:r>
          </w:p>
        </w:tc>
        <w:tc>
          <w:tcPr>
            <w:tcW w:w="2013"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modification of mass or dimension requirement other than about a road on which the vehicle can or cannot be driven</w:t>
            </w:r>
          </w:p>
        </w:tc>
        <w:tc>
          <w:tcPr>
            <w:tcW w:w="2013"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c>
          <w:tcPr>
            <w:tcW w:w="1531" w:type="dxa"/>
          </w:tcPr>
          <w:p>
            <w:pPr>
              <w:pStyle w:val="TableNAm"/>
            </w:pPr>
            <w:r>
              <w:t>s. 36(1)</w:t>
            </w:r>
          </w:p>
        </w:tc>
        <w:tc>
          <w:tcPr>
            <w:tcW w:w="2552" w:type="dxa"/>
          </w:tcPr>
          <w:p>
            <w:pPr>
              <w:pStyle w:val="TableNAm"/>
            </w:pPr>
            <w:r>
              <w:t>Failure to comply with provision of order or permit for modification of mass or dimension requirement about a road on which the vehicle can or cannot be driven, in circumstances where the vehicle is a heavy vehicle</w:t>
            </w:r>
          </w:p>
        </w:tc>
        <w:tc>
          <w:tcPr>
            <w:tcW w:w="2013" w:type="dxa"/>
          </w:tcPr>
          <w:p>
            <w:pPr>
              <w:pStyle w:val="TableNAm"/>
            </w:pPr>
            <w:r>
              <w:t xml:space="preserve">The greater of the following — </w:t>
            </w:r>
          </w:p>
          <w:p>
            <w:pPr>
              <w:pStyle w:val="TableNAmLeft0cm"/>
              <w:ind w:left="465" w:hanging="465"/>
            </w:pPr>
            <w:r>
              <w:t>(a)</w:t>
            </w:r>
            <w:r>
              <w:tab/>
              <w:t xml:space="preserve">the same number of PU as are set out in the Table to the </w:t>
            </w:r>
            <w:r>
              <w:rPr>
                <w:i/>
              </w:rPr>
              <w:t xml:space="preserve">Road Traffic (Vehicles) Act 2012 </w:t>
            </w:r>
            <w:r>
              <w:t xml:space="preserve">s. 30(1) for the minimum penalty for the offence </w:t>
            </w:r>
            <w:r>
              <w:lastRenderedPageBreak/>
              <w:t>that would have applied if the mass requirement (if any) had not been modified;</w:t>
            </w:r>
          </w:p>
          <w:p>
            <w:pPr>
              <w:pStyle w:val="TableNAmLeft0cm"/>
              <w:ind w:left="465" w:hanging="465"/>
            </w:pPr>
            <w:r>
              <w:t>(b)</w:t>
            </w:r>
            <w:r>
              <w:tab/>
              <w:t xml:space="preserve">the same number of PU as are set out in the </w:t>
            </w:r>
            <w:r>
              <w:rPr>
                <w:i/>
              </w:rPr>
              <w:t xml:space="preserve">Road Traffic (Vehicles) Act 2012 </w:t>
            </w:r>
            <w:r>
              <w:t>s. 30(3)(b) to (d) for the minimum penalty for the offence that would have applied if the dimension requirement (if any) had not been modified</w:t>
            </w:r>
          </w:p>
        </w:tc>
      </w:tr>
      <w:tr>
        <w:trPr>
          <w:cantSplit/>
        </w:trPr>
        <w:tc>
          <w:tcPr>
            <w:tcW w:w="1531" w:type="dxa"/>
          </w:tcPr>
          <w:p>
            <w:pPr>
              <w:pStyle w:val="TableNAm"/>
            </w:pPr>
            <w:r>
              <w:lastRenderedPageBreak/>
              <w:t>s. 39(1)</w:t>
            </w:r>
          </w:p>
        </w:tc>
        <w:tc>
          <w:tcPr>
            <w:tcW w:w="2552" w:type="dxa"/>
          </w:tcPr>
          <w:p>
            <w:pPr>
              <w:pStyle w:val="TableNAm"/>
            </w:pPr>
            <w:r>
              <w:t>Complying restricted access vehicle on road without access approval</w:t>
            </w:r>
          </w:p>
        </w:tc>
        <w:tc>
          <w:tcPr>
            <w:tcW w:w="2013"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13"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13"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13" w:type="dxa"/>
          </w:tcPr>
          <w:p>
            <w:pPr>
              <w:pStyle w:val="TableNAm"/>
              <w:jc w:val="center"/>
            </w:pPr>
            <w:r>
              <w:t>8</w:t>
            </w:r>
          </w:p>
        </w:tc>
      </w:tr>
      <w:tr>
        <w:trPr>
          <w:cantSplit/>
        </w:trPr>
        <w:tc>
          <w:tcPr>
            <w:tcW w:w="1531" w:type="dxa"/>
          </w:tcPr>
          <w:p>
            <w:pPr>
              <w:pStyle w:val="TableNAm"/>
            </w:pPr>
            <w:r>
              <w:lastRenderedPageBreak/>
              <w:t>s. 75(1)</w:t>
            </w:r>
          </w:p>
        </w:tc>
        <w:tc>
          <w:tcPr>
            <w:tcW w:w="2552" w:type="dxa"/>
          </w:tcPr>
          <w:p>
            <w:pPr>
              <w:pStyle w:val="TableNAm"/>
            </w:pPr>
            <w:r>
              <w:t>Vehicle driven not in accordance with applicable defect notice</w:t>
            </w:r>
          </w:p>
        </w:tc>
        <w:tc>
          <w:tcPr>
            <w:tcW w:w="2013"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13"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13"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13"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13"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13" w:type="dxa"/>
          </w:tcPr>
          <w:p>
            <w:pPr>
              <w:pStyle w:val="TableNAm"/>
              <w:jc w:val="center"/>
            </w:pPr>
            <w:r>
              <w:t>5</w:t>
            </w:r>
          </w:p>
        </w:tc>
      </w:tr>
      <w:tr>
        <w:trPr>
          <w:cantSplit/>
        </w:trPr>
        <w:tc>
          <w:tcPr>
            <w:tcW w:w="1531" w:type="dxa"/>
          </w:tcPr>
          <w:p>
            <w:pPr>
              <w:pStyle w:val="TableNAm"/>
            </w:pPr>
            <w:r>
              <w:lastRenderedPageBreak/>
              <w:t>s. 88(2)</w:t>
            </w:r>
          </w:p>
        </w:tc>
        <w:tc>
          <w:tcPr>
            <w:tcW w:w="2552" w:type="dxa"/>
          </w:tcPr>
          <w:p>
            <w:pPr>
              <w:pStyle w:val="TableNAm"/>
            </w:pPr>
            <w:r>
              <w:t>Failure to keep container weight declaration accessible from vehicle</w:t>
            </w:r>
          </w:p>
        </w:tc>
        <w:tc>
          <w:tcPr>
            <w:tcW w:w="2013"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13"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13" w:type="dxa"/>
          </w:tcPr>
          <w:p>
            <w:pPr>
              <w:pStyle w:val="TableNAm"/>
              <w:keepNext/>
              <w:jc w:val="center"/>
            </w:pPr>
            <w:r>
              <w:t>10</w:t>
            </w:r>
          </w:p>
        </w:tc>
      </w:tr>
    </w:tbl>
    <w:p>
      <w:pPr>
        <w:pStyle w:val="Footnotesection"/>
      </w:pPr>
      <w:r>
        <w:tab/>
        <w:t>[Regulation 22 amended: Gazette 26 May 2017 p. 2638; SL 2024/201 r. 14; SL 2025/20 r. 4.]</w:t>
      </w:r>
    </w:p>
    <w:p>
      <w:pPr>
        <w:pStyle w:val="Heading5"/>
        <w:keepNext w:val="0"/>
        <w:keepLines w:val="0"/>
        <w:rPr>
          <w:i/>
        </w:rPr>
      </w:pPr>
      <w:bookmarkStart w:id="66" w:name="_Toc188016658"/>
      <w:r>
        <w:rPr>
          <w:rStyle w:val="CharSectno"/>
        </w:rPr>
        <w:t>23</w:t>
      </w:r>
      <w:r>
        <w:t>.</w:t>
      </w:r>
      <w:r>
        <w:tab/>
        <w:t xml:space="preserve">Prescribed road law offences and modified penalties (s. 95(1)): </w:t>
      </w:r>
      <w:r>
        <w:rPr>
          <w:i/>
          <w:iCs/>
        </w:rPr>
        <w:t>Road Traffic Act 1974</w:t>
      </w:r>
      <w:bookmarkEnd w:id="6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iCs/>
        </w:rPr>
        <w:t>Road Traffic Act 1974</w:t>
      </w:r>
      <w:r>
        <w:t xml:space="preserve"> set out in the Table to this regulation is an offence in respect of </w:t>
      </w:r>
      <w:r>
        <w:lastRenderedPageBreak/>
        <w:t>which an infringement notice may be served under Part 5 of the Act.</w:t>
      </w:r>
    </w:p>
    <w:p>
      <w:pPr>
        <w:pStyle w:val="Subsection"/>
      </w:pPr>
      <w:r>
        <w:tab/>
        <w:t>(3)</w:t>
      </w:r>
      <w:r>
        <w:tab/>
        <w:t>The penalty applicable in relation to the offence if the offence is dealt with by infringement notice is the number of PU set out in the Table opposite the offence.</w:t>
      </w:r>
    </w:p>
    <w:p>
      <w:pPr>
        <w:pStyle w:val="THeadingNAm"/>
      </w:pPr>
      <w:r>
        <w:t>Table</w:t>
      </w:r>
    </w:p>
    <w:tbl>
      <w:tblPr>
        <w:tblW w:w="61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pPr>
              <w:pStyle w:val="TableNAm"/>
              <w:tabs>
                <w:tab w:val="clear" w:pos="567"/>
              </w:tabs>
              <w:ind w:left="459" w:hanging="459"/>
            </w:pPr>
            <w:r>
              <w:lastRenderedPageBreak/>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pPr>
            <w:r>
              <w:t xml:space="preserve">Driving while not authorised under the </w:t>
            </w:r>
            <w:r>
              <w:rPr>
                <w:i/>
              </w:rPr>
              <w:t>Road Traffic (Authorisation to Drive) Act 2008</w:t>
            </w:r>
            <w:r>
              <w:t xml:space="preserve"> Pt. 2 if the offence is committed by a novice driver (type 1A) either — </w:t>
            </w:r>
          </w:p>
          <w:p>
            <w:pPr>
              <w:pStyle w:val="TableNAm"/>
              <w:ind w:left="567" w:hanging="567"/>
            </w:pPr>
            <w:r>
              <w:t>(a)</w:t>
            </w:r>
            <w:r>
              <w:tab/>
              <w:t>between midnight and the following 5 a.m.; or</w:t>
            </w:r>
          </w:p>
          <w:p>
            <w:pPr>
              <w:pStyle w:val="TableNAm"/>
              <w:ind w:left="567" w:hanging="567"/>
              <w:rPr>
                <w:rStyle w:val="DraftersNotes"/>
              </w:rPr>
            </w:pPr>
            <w:r>
              <w:t>(b)</w:t>
            </w:r>
            <w:r>
              <w:tab/>
              <w:t xml:space="preserve">in relation to the number of passengers carried in a motor vehicle </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lastRenderedPageBreak/>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lastRenderedPageBreak/>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lastRenderedPageBreak/>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 SL 2024/201 r. 15; SL 2024/237 r. 4.]</w:t>
      </w:r>
    </w:p>
    <w:p>
      <w:pPr>
        <w:pStyle w:val="Heading5"/>
      </w:pPr>
      <w:bookmarkStart w:id="67" w:name="_Toc188016659"/>
      <w:r>
        <w:rPr>
          <w:rStyle w:val="CharSectno"/>
        </w:rPr>
        <w:lastRenderedPageBreak/>
        <w:t>24</w:t>
      </w:r>
      <w:r>
        <w:t>.</w:t>
      </w:r>
      <w:r>
        <w:tab/>
        <w:t>Prescribed road law offences and modified penalties (s. 95(1)): regulations made under road laws</w:t>
      </w:r>
      <w:bookmarkEnd w:id="67"/>
    </w:p>
    <w:p>
      <w:pPr>
        <w:pStyle w:val="Subsection"/>
        <w:keepNext/>
      </w:pPr>
      <w:r>
        <w:tab/>
        <w:t>(1)</w:t>
      </w:r>
      <w:r>
        <w:tab/>
        <w:t xml:space="preserve">An offence under a provision of a road law set out in the Table to this regulation is an offence in respect of which an infringement notice may be served under Part 5 of the Act if — </w:t>
      </w:r>
    </w:p>
    <w:p>
      <w:pPr>
        <w:pStyle w:val="Indenta"/>
      </w:pPr>
      <w:r>
        <w:tab/>
        <w:t>(a)</w:t>
      </w:r>
      <w:r>
        <w:tab/>
        <w:t>the road law specifies a modified penalty applicable to the offence; and</w:t>
      </w:r>
    </w:p>
    <w:p>
      <w:pPr>
        <w:pStyle w:val="Indenta"/>
      </w:pPr>
      <w:r>
        <w:tab/>
        <w:t>(b)</w:t>
      </w:r>
      <w:r>
        <w:tab/>
        <w:t>the offence is not of a kind mentioned in section 95(2)(a) or (b).</w:t>
      </w:r>
    </w:p>
    <w:p>
      <w:pPr>
        <w:pStyle w:val="Subsection"/>
      </w:pPr>
      <w:r>
        <w:tab/>
        <w:t>(2)</w:t>
      </w:r>
      <w:r>
        <w:tab/>
        <w:t>The penalty applicable in relation to the offence if the offence is dealt with by infringement notice is the modified penalty that the road law specifies is applicable to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Ednotesubsection"/>
      </w:pPr>
      <w:r>
        <w:tab/>
        <w:t>[(3)</w:t>
      </w:r>
      <w:r>
        <w:tab/>
        <w:t>deleted]</w:t>
      </w:r>
    </w:p>
    <w:p>
      <w:pPr>
        <w:pStyle w:val="Footnotesection"/>
      </w:pPr>
      <w:r>
        <w:tab/>
        <w:t>[Regulation 24 amended: Gazette 24 Jun 2016 p. 2343; 15 Nov 2016 p. 5077 SL 2020/231 r. 8; SL 2024/201 r. 16.]</w:t>
      </w:r>
    </w:p>
    <w:p>
      <w:pPr>
        <w:pStyle w:val="Heading3"/>
      </w:pPr>
      <w:bookmarkStart w:id="68" w:name="_Toc188005098"/>
      <w:bookmarkStart w:id="69" w:name="_Toc188006177"/>
      <w:bookmarkStart w:id="70" w:name="_Toc188016660"/>
      <w:r>
        <w:rPr>
          <w:rStyle w:val="CharDivNo"/>
        </w:rPr>
        <w:lastRenderedPageBreak/>
        <w:t>Division 2</w:t>
      </w:r>
      <w:r>
        <w:t> — </w:t>
      </w:r>
      <w:r>
        <w:rPr>
          <w:rStyle w:val="CharDivText"/>
        </w:rPr>
        <w:t>Service of infringement notices by wardens</w:t>
      </w:r>
      <w:bookmarkEnd w:id="68"/>
      <w:bookmarkEnd w:id="69"/>
      <w:bookmarkEnd w:id="70"/>
    </w:p>
    <w:p>
      <w:pPr>
        <w:pStyle w:val="Footnoteheading"/>
        <w:keepNext/>
      </w:pPr>
      <w:r>
        <w:tab/>
        <w:t>[Heading inserted: SL 2024/201 r. 17.]</w:t>
      </w:r>
    </w:p>
    <w:p>
      <w:pPr>
        <w:pStyle w:val="Heading5"/>
      </w:pPr>
      <w:bookmarkStart w:id="71" w:name="_Toc188016661"/>
      <w:r>
        <w:rPr>
          <w:rStyle w:val="CharSectno"/>
        </w:rPr>
        <w:t>25</w:t>
      </w:r>
      <w:r>
        <w:t>.</w:t>
      </w:r>
      <w:r>
        <w:tab/>
        <w:t>Offences for which infringement notices may be served by transport wardens</w:t>
      </w:r>
      <w:bookmarkEnd w:id="71"/>
    </w:p>
    <w:p>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 SL 2024/201 r. 18.]</w:t>
      </w:r>
    </w:p>
    <w:p>
      <w:pPr>
        <w:pStyle w:val="Heading5"/>
      </w:pPr>
      <w:bookmarkStart w:id="72" w:name="_Toc188016662"/>
      <w:r>
        <w:rPr>
          <w:rStyle w:val="CharSectno"/>
        </w:rPr>
        <w:t>26</w:t>
      </w:r>
      <w:r>
        <w:t>.</w:t>
      </w:r>
      <w:r>
        <w:tab/>
        <w:t>Offences for which infringement notices may be served by transport inspection wardens</w:t>
      </w:r>
      <w:bookmarkEnd w:id="72"/>
    </w:p>
    <w:p>
      <w:pPr>
        <w:pStyle w:val="Subsection"/>
      </w:pPr>
      <w:r>
        <w:tab/>
      </w:r>
      <w:r>
        <w:tab/>
        <w:t xml:space="preserve">For the purposes of regulation 13(1), a prescribed road law offence under a provision of a road law set out in the Table to </w:t>
      </w:r>
      <w:r>
        <w:lastRenderedPageBreak/>
        <w:t>this regulation is an offence in respect of which an infringement notice (alleged offender) may be served.</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 SL 2024/201 r. 19.]</w:t>
      </w:r>
    </w:p>
    <w:p>
      <w:pPr>
        <w:pStyle w:val="Heading5"/>
      </w:pPr>
      <w:bookmarkStart w:id="73" w:name="_Toc188016663"/>
      <w:r>
        <w:rPr>
          <w:rStyle w:val="CharSectno"/>
        </w:rPr>
        <w:t>26A</w:t>
      </w:r>
      <w:r>
        <w:t>.</w:t>
      </w:r>
      <w:r>
        <w:tab/>
        <w:t>Offences for which infringement notices may be served by transport investigation wardens</w:t>
      </w:r>
      <w:bookmarkEnd w:id="73"/>
    </w:p>
    <w:p>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 xml:space="preserve">s. 95(1), 97(1), 97(4), 99(2), 100(2), 100(3), 100(4), 100(5), 101, 102(2), 102(4), </w:t>
            </w:r>
            <w:r>
              <w:lastRenderedPageBreak/>
              <w:t>103(2), 105(1), 105A(1), 105E(1)</w:t>
            </w:r>
          </w:p>
        </w:tc>
      </w:tr>
      <w:tr>
        <w:tc>
          <w:tcPr>
            <w:tcW w:w="3033" w:type="dxa"/>
          </w:tcPr>
          <w:p>
            <w:pPr>
              <w:pStyle w:val="TableNAm"/>
              <w:rPr>
                <w:i/>
                <w:iCs/>
              </w:rPr>
            </w:pPr>
            <w:r>
              <w:rPr>
                <w:i/>
                <w:iCs/>
              </w:rPr>
              <w:lastRenderedPageBreak/>
              <w:t>Road Traffic (Administration) Act 2008</w:t>
            </w:r>
          </w:p>
        </w:tc>
        <w:tc>
          <w:tcPr>
            <w:tcW w:w="3034" w:type="dxa"/>
          </w:tcPr>
          <w:p>
            <w:pPr>
              <w:pStyle w:val="TableNAm"/>
            </w:pPr>
            <w:r>
              <w:t>s. 33(2), 36(2), 44, 47(4), 61C(4), 61D(2), 61D(3), 61E(3), 71(5A), 71(7A)</w:t>
            </w:r>
          </w:p>
        </w:tc>
      </w:tr>
      <w:tr>
        <w:tc>
          <w:tcPr>
            <w:tcW w:w="3033" w:type="dxa"/>
          </w:tcPr>
          <w:p>
            <w:pPr>
              <w:pStyle w:val="TableNAm"/>
              <w:rPr>
                <w:i/>
                <w:iCs/>
              </w:rPr>
            </w:pPr>
            <w:r>
              <w:rPr>
                <w:i/>
                <w:iCs/>
              </w:rPr>
              <w:t>Road Traffic (Vehicles) Act 2012</w:t>
            </w:r>
          </w:p>
        </w:tc>
        <w:tc>
          <w:tcPr>
            <w:tcW w:w="3034" w:type="dxa"/>
          </w:tcPr>
          <w:p>
            <w:pPr>
              <w:pStyle w:val="TableNAm"/>
            </w:pPr>
            <w:r>
              <w:t>All the provisions mentioned in the Table to regulation 22</w:t>
            </w:r>
          </w:p>
        </w:tc>
      </w:tr>
      <w:tr>
        <w:tc>
          <w:tcPr>
            <w:tcW w:w="3033" w:type="dxa"/>
          </w:tcPr>
          <w:p>
            <w:pPr>
              <w:pStyle w:val="TableNAm"/>
              <w:keepNext/>
              <w:keepLines/>
              <w:rPr>
                <w:i/>
                <w:iCs/>
              </w:rPr>
            </w:pPr>
            <w:r>
              <w:rPr>
                <w:i/>
                <w:iCs/>
              </w:rPr>
              <w:t>Road Traffic (Authorisation to Drive) Regulations 2014</w:t>
            </w:r>
          </w:p>
        </w:tc>
        <w:tc>
          <w:tcPr>
            <w:tcW w:w="3034" w:type="dxa"/>
          </w:tcPr>
          <w:p>
            <w:pPr>
              <w:pStyle w:val="TableNAm"/>
              <w:keepNext/>
              <w:keepLines/>
            </w:pPr>
            <w:r>
              <w:t>r. 63</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r>
        <w:tc>
          <w:tcPr>
            <w:tcW w:w="3033" w:type="dxa"/>
          </w:tcPr>
          <w:p>
            <w:pPr>
              <w:pStyle w:val="TableNAm"/>
              <w:keepNext/>
              <w:keepLines/>
              <w:rPr>
                <w:i/>
                <w:iCs/>
              </w:rPr>
            </w:pPr>
            <w:r>
              <w:rPr>
                <w:i/>
                <w:iCs/>
              </w:rPr>
              <w:t>Road Traffic (Vehicles) Regulations 2014</w:t>
            </w:r>
          </w:p>
        </w:tc>
        <w:tc>
          <w:tcPr>
            <w:tcW w:w="3034" w:type="dxa"/>
          </w:tcPr>
          <w:p>
            <w:pPr>
              <w:pStyle w:val="TableNAm"/>
              <w:keepNext/>
              <w:keepLines/>
            </w:pPr>
            <w:r>
              <w:t>Pts. 2, 3, 4, 5, 7, 8, 10, 11, 12, 13A, 14 and 16</w:t>
            </w:r>
          </w:p>
        </w:tc>
      </w:tr>
    </w:tbl>
    <w:p>
      <w:pPr>
        <w:pStyle w:val="Footnotesection"/>
      </w:pPr>
      <w:r>
        <w:tab/>
        <w:t>[Regulation 26A inserted: SL 2020/231 r. 9; amended: SL 2024/201 r. 20.]</w:t>
      </w:r>
    </w:p>
    <w:p>
      <w:pPr>
        <w:pStyle w:val="Heading3"/>
      </w:pPr>
      <w:bookmarkStart w:id="74" w:name="_Toc188005102"/>
      <w:bookmarkStart w:id="75" w:name="_Toc188006181"/>
      <w:bookmarkStart w:id="76" w:name="_Toc188016664"/>
      <w:r>
        <w:rPr>
          <w:rStyle w:val="CharDivNo"/>
        </w:rPr>
        <w:t>Division 3</w:t>
      </w:r>
      <w:r>
        <w:t> — </w:t>
      </w:r>
      <w:r>
        <w:rPr>
          <w:rStyle w:val="CharDivText"/>
        </w:rPr>
        <w:t>Miscellaneous</w:t>
      </w:r>
      <w:bookmarkEnd w:id="74"/>
      <w:bookmarkEnd w:id="75"/>
      <w:bookmarkEnd w:id="76"/>
    </w:p>
    <w:p>
      <w:pPr>
        <w:pStyle w:val="Footnoteheading"/>
      </w:pPr>
      <w:r>
        <w:tab/>
        <w:t>[Heading inserted: SL 2024/201 r. 21.]</w:t>
      </w:r>
    </w:p>
    <w:p>
      <w:pPr>
        <w:pStyle w:val="Heading5"/>
      </w:pPr>
      <w:bookmarkStart w:id="77" w:name="_Toc188016665"/>
      <w:r>
        <w:rPr>
          <w:rStyle w:val="CharSectno"/>
        </w:rPr>
        <w:t>26B</w:t>
      </w:r>
      <w:r>
        <w:t>.</w:t>
      </w:r>
      <w:r>
        <w:tab/>
        <w:t>Public transport offences</w:t>
      </w:r>
      <w:bookmarkEnd w:id="77"/>
    </w:p>
    <w:p>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pPr>
        <w:pStyle w:val="Footnotesection"/>
      </w:pPr>
      <w:r>
        <w:tab/>
        <w:t>[Regulation 26B inserted: SL 2024/201 r. 21.]</w:t>
      </w:r>
    </w:p>
    <w:p>
      <w:pPr>
        <w:pStyle w:val="Heading5"/>
      </w:pPr>
      <w:bookmarkStart w:id="78" w:name="_Toc188016666"/>
      <w:r>
        <w:rPr>
          <w:rStyle w:val="CharSectno"/>
        </w:rPr>
        <w:t>26C</w:t>
      </w:r>
      <w:r>
        <w:t>.</w:t>
      </w:r>
      <w:r>
        <w:tab/>
        <w:t>Police officers who are withdrawing officers</w:t>
      </w:r>
      <w:bookmarkEnd w:id="78"/>
    </w:p>
    <w:p>
      <w:pPr>
        <w:pStyle w:val="Subsection"/>
      </w:pPr>
      <w:r>
        <w:tab/>
      </w:r>
      <w:r>
        <w:tab/>
        <w:t xml:space="preserve">For the purposes of paragraph (a) of the definition of </w:t>
      </w:r>
      <w:r>
        <w:rPr>
          <w:b/>
          <w:i/>
        </w:rPr>
        <w:t>withdrawing officer</w:t>
      </w:r>
      <w:r>
        <w:t xml:space="preserve"> in section 79, the police officers are </w:t>
      </w:r>
      <w:r>
        <w:lastRenderedPageBreak/>
        <w:t>officers who are of, or are acting at, the rank of inspector or above.</w:t>
      </w:r>
    </w:p>
    <w:p>
      <w:pPr>
        <w:pStyle w:val="Footnotesection"/>
      </w:pPr>
      <w:r>
        <w:tab/>
        <w:t>[Regulation 26C inserted: SL 2024/201 r. 21.]</w:t>
      </w:r>
    </w:p>
    <w:p>
      <w:pPr>
        <w:pStyle w:val="Heading5"/>
      </w:pPr>
      <w:bookmarkStart w:id="79" w:name="_Toc188016667"/>
      <w:r>
        <w:rPr>
          <w:rStyle w:val="CharSectno"/>
        </w:rPr>
        <w:t>26D</w:t>
      </w:r>
      <w:r>
        <w:t>.</w:t>
      </w:r>
      <w:r>
        <w:tab/>
        <w:t>Payment of infringement notices by instalment</w:t>
      </w:r>
      <w:bookmarkEnd w:id="79"/>
    </w:p>
    <w:p>
      <w:pPr>
        <w:pStyle w:val="Subsection"/>
      </w:pPr>
      <w:r>
        <w:tab/>
        <w:t>(1)</w:t>
      </w:r>
      <w:r>
        <w:tab/>
        <w:t xml:space="preserve">For the purposes of section 95(4)(a), the number of instalments by which a modified penalty can be paid is — </w:t>
      </w:r>
    </w:p>
    <w:p>
      <w:pPr>
        <w:pStyle w:val="Indenta"/>
      </w:pPr>
      <w:r>
        <w:tab/>
        <w:t>(a)</w:t>
      </w:r>
      <w:r>
        <w:tab/>
        <w:t>if the amount of the modified penalty is less than or equal to 8 PU — 4 instalments; or</w:t>
      </w:r>
    </w:p>
    <w:p>
      <w:pPr>
        <w:pStyle w:val="Indenta"/>
      </w:pPr>
      <w:r>
        <w:tab/>
        <w:t>(b)</w:t>
      </w:r>
      <w:r>
        <w:tab/>
        <w:t>if the amount of the modified penalty is greater than 8 PU but less than or equal to 20 PU — 6 instalments; or</w:t>
      </w:r>
    </w:p>
    <w:p>
      <w:pPr>
        <w:pStyle w:val="Indenta"/>
      </w:pPr>
      <w:r>
        <w:tab/>
        <w:t>(c)</w:t>
      </w:r>
      <w:r>
        <w:tab/>
        <w:t>if the amount of the modified penalty is greater than 20 PU — 10 instalments.</w:t>
      </w:r>
    </w:p>
    <w:p>
      <w:pPr>
        <w:pStyle w:val="Subsection"/>
      </w:pPr>
      <w:r>
        <w:tab/>
        <w:t>(2)</w:t>
      </w:r>
      <w:r>
        <w:tab/>
        <w:t>For the purposes of section 95(4)(b), an equal or nearly equal amount is to be paid for each instalment.</w:t>
      </w:r>
    </w:p>
    <w:p>
      <w:pPr>
        <w:pStyle w:val="Subsection"/>
      </w:pPr>
      <w:r>
        <w:tab/>
        <w:t>(3)</w:t>
      </w:r>
      <w:r>
        <w:tab/>
        <w:t>For the purposes of section 95(4)(c), an instalment (other than the first instalment) must be paid no later than 28 days after the day on which the previous instalment was required to be paid.</w:t>
      </w:r>
    </w:p>
    <w:p>
      <w:pPr>
        <w:pStyle w:val="Footnotesection"/>
      </w:pPr>
      <w:r>
        <w:tab/>
        <w:t>[Regulation 26D inserted: SL 2024/201 r. 21.]</w:t>
      </w:r>
    </w:p>
    <w:p>
      <w:pPr>
        <w:pStyle w:val="Ednotesection"/>
      </w:pPr>
      <w:r>
        <w:t>[</w:t>
      </w:r>
      <w:r>
        <w:rPr>
          <w:b/>
        </w:rPr>
        <w:t>27-29.</w:t>
      </w:r>
      <w:r>
        <w:tab/>
        <w:t>Deleted: SL 2024/201 r. 22.]</w:t>
      </w:r>
    </w:p>
    <w:p>
      <w:pPr>
        <w:pStyle w:val="Heading2"/>
      </w:pPr>
      <w:bookmarkStart w:id="80" w:name="_Toc188005106"/>
      <w:bookmarkStart w:id="81" w:name="_Toc188006185"/>
      <w:bookmarkStart w:id="82" w:name="_Toc188016668"/>
      <w:r>
        <w:rPr>
          <w:rStyle w:val="CharPartNo"/>
        </w:rPr>
        <w:lastRenderedPageBreak/>
        <w:t>Part 8</w:t>
      </w:r>
      <w:r>
        <w:rPr>
          <w:rStyle w:val="CharDivNo"/>
        </w:rPr>
        <w:t> </w:t>
      </w:r>
      <w:r>
        <w:t>—</w:t>
      </w:r>
      <w:r>
        <w:rPr>
          <w:rStyle w:val="CharDivText"/>
        </w:rPr>
        <w:t> </w:t>
      </w:r>
      <w:r>
        <w:rPr>
          <w:rStyle w:val="CharPartText"/>
        </w:rPr>
        <w:t>Prosecutions</w:t>
      </w:r>
      <w:bookmarkEnd w:id="80"/>
      <w:bookmarkEnd w:id="81"/>
      <w:bookmarkEnd w:id="82"/>
    </w:p>
    <w:p>
      <w:pPr>
        <w:pStyle w:val="Heading5"/>
      </w:pPr>
      <w:bookmarkStart w:id="83" w:name="_Toc188016669"/>
      <w:r>
        <w:rPr>
          <w:rStyle w:val="CharSectno"/>
        </w:rPr>
        <w:t>30</w:t>
      </w:r>
      <w:r>
        <w:t>.</w:t>
      </w:r>
      <w:r>
        <w:tab/>
        <w:t>Persons to approve prosecution for breach of mass, dimension or loading requirement</w:t>
      </w:r>
      <w:bookmarkEnd w:id="83"/>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the Commissioner of Main Roads.</w:t>
      </w:r>
    </w:p>
    <w:p>
      <w:pPr>
        <w:pStyle w:val="Footnotesection"/>
      </w:pPr>
      <w:r>
        <w:tab/>
        <w:t>[Regulation 30 amended: SL 2025/20 r. 5.]</w:t>
      </w:r>
    </w:p>
    <w:p>
      <w:pPr>
        <w:pStyle w:val="Heading5"/>
      </w:pPr>
      <w:bookmarkStart w:id="84" w:name="_Toc188016670"/>
      <w:r>
        <w:rPr>
          <w:rStyle w:val="CharSectno"/>
        </w:rPr>
        <w:t>31</w:t>
      </w:r>
      <w:r>
        <w:t>.</w:t>
      </w:r>
      <w:r>
        <w:tab/>
        <w:t>Ascertaining mass supported on part of vehicle</w:t>
      </w:r>
      <w:bookmarkEnd w:id="8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pPr>
      <w:r>
        <w:tab/>
        <w:t>(2)</w:t>
      </w:r>
      <w:r>
        <w:tab/>
        <w:t>For section 113(4), the prescribed amount for a vehicle and its load is the measurement adjustment applied in accordance with the Measurement Adjustments document.</w:t>
      </w:r>
    </w:p>
    <w:p>
      <w:pPr>
        <w:pStyle w:val="Heading5"/>
      </w:pPr>
      <w:bookmarkStart w:id="85" w:name="_Toc188016671"/>
      <w:r>
        <w:rPr>
          <w:rStyle w:val="CharSectno"/>
        </w:rPr>
        <w:t>31AA</w:t>
      </w:r>
      <w:r>
        <w:t>.</w:t>
      </w:r>
      <w:r>
        <w:tab/>
        <w:t>Acts and omissions ascertained by visual detection equipment (s. 117(2)(d)(i))</w:t>
      </w:r>
      <w:bookmarkEnd w:id="85"/>
    </w:p>
    <w:p>
      <w:pPr>
        <w:pStyle w:val="Subsection"/>
      </w:pPr>
      <w:r>
        <w:tab/>
        <w:t>(1)</w:t>
      </w:r>
      <w:r>
        <w:tab/>
        <w:t xml:space="preserve">A term used in this regulation has the same meaning as it has in the </w:t>
      </w:r>
      <w:r>
        <w:rPr>
          <w:i/>
          <w:iCs/>
        </w:rPr>
        <w:t>Road Traffic Code 2000</w:t>
      </w:r>
      <w:r>
        <w:t>.</w:t>
      </w:r>
    </w:p>
    <w:p>
      <w:pPr>
        <w:pStyle w:val="Subsection"/>
      </w:pPr>
      <w:r>
        <w:tab/>
        <w:t>(2)</w:t>
      </w:r>
      <w:r>
        <w:tab/>
        <w:t xml:space="preserve">For the purposes of section 117(2)(d)(i) of the Act — </w:t>
      </w:r>
    </w:p>
    <w:p>
      <w:pPr>
        <w:pStyle w:val="Indenta"/>
      </w:pPr>
      <w:r>
        <w:tab/>
        <w:t>(a)</w:t>
      </w:r>
      <w:r>
        <w:tab/>
        <w:t xml:space="preserve">the acts are the following — </w:t>
      </w:r>
    </w:p>
    <w:p>
      <w:pPr>
        <w:pStyle w:val="Indenti"/>
      </w:pPr>
      <w:r>
        <w:tab/>
        <w:t>(i)</w:t>
      </w:r>
      <w:r>
        <w:tab/>
        <w:t>a driver of a vehicle using a mobile phone while the vehicle is moving or is stationary but not parked;</w:t>
      </w:r>
    </w:p>
    <w:p>
      <w:pPr>
        <w:pStyle w:val="Indenti"/>
      </w:pPr>
      <w:r>
        <w:lastRenderedPageBreak/>
        <w:tab/>
        <w:t>(ii)</w:t>
      </w:r>
      <w:r>
        <w:tab/>
        <w:t>a vehicle proceeding beyond a stop line when a traffic</w:t>
      </w:r>
      <w:r>
        <w:noBreakHyphen/>
        <w:t>control signal facing the driver of the vehicle displays a circular red signal;</w:t>
      </w:r>
    </w:p>
    <w:p>
      <w:pPr>
        <w:pStyle w:val="Indenti"/>
      </w:pPr>
      <w:r>
        <w:tab/>
        <w:t>(iii)</w:t>
      </w:r>
      <w:r>
        <w:tab/>
        <w:t>a vehicle proceeding beyond a stop line and turning in the direction indicated by a red arrow signal displayed by a traffic</w:t>
      </w:r>
      <w:r>
        <w:noBreakHyphen/>
        <w:t>control signal facing the driver of the vehicle;</w:t>
      </w:r>
    </w:p>
    <w:p>
      <w:pPr>
        <w:pStyle w:val="Indenti"/>
      </w:pPr>
      <w:r>
        <w:tab/>
        <w:t>(iv)</w:t>
      </w:r>
      <w:r>
        <w:tab/>
        <w:t>driving a vehicle in a red X lane;</w:t>
      </w:r>
    </w:p>
    <w:p>
      <w:pPr>
        <w:pStyle w:val="Indenti"/>
      </w:pPr>
      <w:r>
        <w:tab/>
        <w:t>(v)</w:t>
      </w:r>
      <w:r>
        <w:tab/>
        <w:t>driving a vehicle along or into a bus lane or busway;</w:t>
      </w:r>
    </w:p>
    <w:p>
      <w:pPr>
        <w:pStyle w:val="Indenti"/>
      </w:pPr>
      <w:r>
        <w:tab/>
        <w:t>(vi)</w:t>
      </w:r>
      <w:r>
        <w:tab/>
        <w:t>stopping a vehicle in a bus lane;</w:t>
      </w:r>
    </w:p>
    <w:p>
      <w:pPr>
        <w:pStyle w:val="Indenta"/>
      </w:pPr>
      <w:r>
        <w:tab/>
      </w:r>
      <w:r>
        <w:tab/>
        <w:t>and</w:t>
      </w:r>
    </w:p>
    <w:p>
      <w:pPr>
        <w:pStyle w:val="Indenta"/>
      </w:pPr>
      <w:r>
        <w:tab/>
        <w:t>(b)</w:t>
      </w:r>
      <w:r>
        <w:tab/>
        <w:t>the omission is a driver or passenger of a vehicle failing to wear a seatbelt properly adjusted and securely fastened while the vehicle is moving or is stationary but not parked.</w:t>
      </w:r>
    </w:p>
    <w:p>
      <w:pPr>
        <w:pStyle w:val="Footnotesection"/>
      </w:pPr>
      <w:r>
        <w:tab/>
        <w:t>[Regulation 31AA inserted: SL 2024/201 r. 23.]</w:t>
      </w:r>
    </w:p>
    <w:p>
      <w:pPr>
        <w:pStyle w:val="Heading5"/>
      </w:pPr>
      <w:bookmarkStart w:id="86" w:name="_Toc188016672"/>
      <w:r>
        <w:rPr>
          <w:rStyle w:val="CharSectno"/>
        </w:rPr>
        <w:t>31A</w:t>
      </w:r>
      <w:r>
        <w:t>.</w:t>
      </w:r>
      <w:r>
        <w:tab/>
        <w:t>Prescribed number of days for s. 117A(2)(c) and 117G(2)(b)</w:t>
      </w:r>
      <w:bookmarkEnd w:id="86"/>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87" w:name="_Toc188005111"/>
      <w:bookmarkStart w:id="88" w:name="_Toc188006190"/>
      <w:bookmarkStart w:id="89" w:name="_Toc188016673"/>
      <w:r>
        <w:rPr>
          <w:rStyle w:val="CharPartNo"/>
        </w:rPr>
        <w:lastRenderedPageBreak/>
        <w:t>Part 9</w:t>
      </w:r>
      <w:r>
        <w:rPr>
          <w:rStyle w:val="CharDivNo"/>
        </w:rPr>
        <w:t> </w:t>
      </w:r>
      <w:r>
        <w:t>—</w:t>
      </w:r>
      <w:r>
        <w:rPr>
          <w:rStyle w:val="CharDivText"/>
        </w:rPr>
        <w:t> </w:t>
      </w:r>
      <w:r>
        <w:rPr>
          <w:rStyle w:val="CharPartText"/>
        </w:rPr>
        <w:t>Review of decisions under road laws</w:t>
      </w:r>
      <w:bookmarkEnd w:id="87"/>
      <w:bookmarkEnd w:id="88"/>
      <w:bookmarkEnd w:id="89"/>
    </w:p>
    <w:p>
      <w:pPr>
        <w:pStyle w:val="Heading5"/>
        <w:rPr>
          <w:i/>
        </w:rPr>
      </w:pPr>
      <w:bookmarkStart w:id="90" w:name="_Toc188016674"/>
      <w:r>
        <w:rPr>
          <w:rStyle w:val="CharSectno"/>
        </w:rPr>
        <w:t>32</w:t>
      </w:r>
      <w:r>
        <w:t>.</w:t>
      </w:r>
      <w:r>
        <w:tab/>
        <w:t xml:space="preserve">Review of decisions under </w:t>
      </w:r>
      <w:r>
        <w:rPr>
          <w:i/>
        </w:rPr>
        <w:t>Road Traffic (Authorisation to Drive) Act 2008</w:t>
      </w:r>
      <w:bookmarkEnd w:id="9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91" w:name="_Toc188016675"/>
      <w:r>
        <w:rPr>
          <w:rStyle w:val="CharSectno"/>
        </w:rPr>
        <w:t>33</w:t>
      </w:r>
      <w:r>
        <w:t>.</w:t>
      </w:r>
      <w:r>
        <w:tab/>
        <w:t xml:space="preserve">Review of decisions under </w:t>
      </w:r>
      <w:r>
        <w:rPr>
          <w:i/>
        </w:rPr>
        <w:t>Road Traffic (Vehicles) Act 2012</w:t>
      </w:r>
      <w:bookmarkEnd w:id="9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92" w:name="_Toc188016676"/>
      <w:r>
        <w:rPr>
          <w:rStyle w:val="CharSectno"/>
        </w:rPr>
        <w:lastRenderedPageBreak/>
        <w:t>34</w:t>
      </w:r>
      <w:r>
        <w:t>.</w:t>
      </w:r>
      <w:r>
        <w:tab/>
        <w:t>Right of CEO or Commissioner of Police to be heard</w:t>
      </w:r>
      <w:bookmarkEnd w:id="9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93" w:name="_Toc188016677"/>
      <w:r>
        <w:rPr>
          <w:rStyle w:val="CharSectno"/>
        </w:rPr>
        <w:t>34A</w:t>
      </w:r>
      <w:r>
        <w:t>.</w:t>
      </w:r>
      <w:r>
        <w:tab/>
        <w:t xml:space="preserve">Review of decisions under </w:t>
      </w:r>
      <w:r>
        <w:rPr>
          <w:i/>
        </w:rPr>
        <w:t>Road Traffic Act 1974</w:t>
      </w:r>
      <w:r>
        <w:t xml:space="preserve"> s. 104(3)</w:t>
      </w:r>
      <w:bookmarkEnd w:id="93"/>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94" w:name="_Toc188005116"/>
      <w:bookmarkStart w:id="95" w:name="_Toc188006195"/>
      <w:bookmarkStart w:id="96" w:name="_Toc188016678"/>
      <w:r>
        <w:rPr>
          <w:rStyle w:val="CharPartNo"/>
        </w:rPr>
        <w:lastRenderedPageBreak/>
        <w:t>Part 10</w:t>
      </w:r>
      <w:r>
        <w:rPr>
          <w:rStyle w:val="CharDivNo"/>
        </w:rPr>
        <w:t> </w:t>
      </w:r>
      <w:r>
        <w:t>—</w:t>
      </w:r>
      <w:r>
        <w:rPr>
          <w:rStyle w:val="CharDivText"/>
        </w:rPr>
        <w:t> </w:t>
      </w:r>
      <w:r>
        <w:rPr>
          <w:rStyle w:val="CharPartText"/>
        </w:rPr>
        <w:t>Fees and charges</w:t>
      </w:r>
      <w:bookmarkEnd w:id="94"/>
      <w:bookmarkEnd w:id="95"/>
      <w:bookmarkEnd w:id="96"/>
    </w:p>
    <w:p>
      <w:pPr>
        <w:pStyle w:val="Heading5"/>
      </w:pPr>
      <w:bookmarkStart w:id="97" w:name="_Toc188016679"/>
      <w:r>
        <w:rPr>
          <w:rStyle w:val="CharSectno"/>
        </w:rPr>
        <w:t>35</w:t>
      </w:r>
      <w:r>
        <w:t>.</w:t>
      </w:r>
      <w:r>
        <w:tab/>
        <w:t>Disclosure of information to prescribed persons or for road safety purposes: s. 143(3)(a)</w:t>
      </w:r>
      <w:bookmarkEnd w:id="9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20.45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4.55</w:t>
            </w:r>
          </w:p>
        </w:tc>
      </w:tr>
      <w:tr>
        <w:tc>
          <w:tcPr>
            <w:tcW w:w="4395" w:type="dxa"/>
            <w:noWrap/>
          </w:tcPr>
          <w:p>
            <w:pPr>
              <w:pStyle w:val="TableNAm"/>
            </w:pPr>
            <w:r>
              <w:t>For production of an extract of a record, per extract</w:t>
            </w:r>
          </w:p>
        </w:tc>
        <w:tc>
          <w:tcPr>
            <w:tcW w:w="1672" w:type="dxa"/>
            <w:noWrap/>
            <w:vAlign w:val="bottom"/>
          </w:tcPr>
          <w:p>
            <w:pPr>
              <w:pStyle w:val="TableNAm"/>
            </w:pPr>
            <w:r>
              <w:t>22.10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28.05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w:t>
      </w:r>
    </w:p>
    <w:p>
      <w:pPr>
        <w:pStyle w:val="Heading2"/>
      </w:pPr>
      <w:bookmarkStart w:id="98" w:name="_Toc188005118"/>
      <w:bookmarkStart w:id="99" w:name="_Toc188006197"/>
      <w:bookmarkStart w:id="100" w:name="_Toc188016680"/>
      <w:r>
        <w:rPr>
          <w:rStyle w:val="CharPartNo"/>
        </w:rPr>
        <w:lastRenderedPageBreak/>
        <w:t>Part 11</w:t>
      </w:r>
      <w:r>
        <w:rPr>
          <w:rStyle w:val="CharDivNo"/>
        </w:rPr>
        <w:t> </w:t>
      </w:r>
      <w:r>
        <w:t>—</w:t>
      </w:r>
      <w:r>
        <w:rPr>
          <w:rStyle w:val="CharDivText"/>
        </w:rPr>
        <w:t> </w:t>
      </w:r>
      <w:r>
        <w:rPr>
          <w:rStyle w:val="CharPartText"/>
        </w:rPr>
        <w:t>Service</w:t>
      </w:r>
      <w:bookmarkEnd w:id="98"/>
      <w:bookmarkEnd w:id="99"/>
      <w:bookmarkEnd w:id="100"/>
    </w:p>
    <w:p>
      <w:pPr>
        <w:pStyle w:val="Footnoteheading"/>
      </w:pPr>
      <w:r>
        <w:tab/>
        <w:t>[Heading inserted: SL 2024/201 r. 24.]</w:t>
      </w:r>
    </w:p>
    <w:p>
      <w:pPr>
        <w:pStyle w:val="Heading5"/>
      </w:pPr>
      <w:bookmarkStart w:id="101" w:name="_Toc188016681"/>
      <w:r>
        <w:rPr>
          <w:rStyle w:val="CharSectno"/>
        </w:rPr>
        <w:t>36</w:t>
      </w:r>
      <w:r>
        <w:t>.</w:t>
      </w:r>
      <w:r>
        <w:tab/>
        <w:t>Service of Part 5 documents (s. 100)</w:t>
      </w:r>
      <w:bookmarkEnd w:id="101"/>
    </w:p>
    <w:p>
      <w:pPr>
        <w:pStyle w:val="Subsection"/>
      </w:pPr>
      <w:r>
        <w:tab/>
        <w:t>(1)</w:t>
      </w:r>
      <w:r>
        <w:tab/>
        <w:t>Consent to being served Part 5 documents by particular electronic means must be obtained in writing.</w:t>
      </w:r>
    </w:p>
    <w:p>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pPr>
        <w:pStyle w:val="Subsection"/>
      </w:pPr>
      <w:r>
        <w:tab/>
        <w:t>(3)</w:t>
      </w:r>
      <w:r>
        <w:tab/>
        <w:t>A Part 5 document served by email is taken to have been served on the day on which the email is sent.</w:t>
      </w:r>
    </w:p>
    <w:p>
      <w:pPr>
        <w:pStyle w:val="Footnotesection"/>
      </w:pPr>
      <w:r>
        <w:tab/>
        <w:t>[Regulation 36 inserted: SL 2024/201 r. 24.]</w:t>
      </w:r>
    </w:p>
    <w:p>
      <w:pPr>
        <w:pStyle w:val="Heading5"/>
      </w:pPr>
      <w:bookmarkStart w:id="102" w:name="_Toc188016682"/>
      <w:r>
        <w:rPr>
          <w:rStyle w:val="CharSectno"/>
        </w:rPr>
        <w:t>37</w:t>
      </w:r>
      <w:r>
        <w:t>.</w:t>
      </w:r>
      <w:r>
        <w:tab/>
        <w:t>Giving other records by electronic means (s. 143(3)(c))</w:t>
      </w:r>
      <w:bookmarkEnd w:id="102"/>
    </w:p>
    <w:p>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pPr>
        <w:pStyle w:val="Subsection"/>
      </w:pPr>
      <w:r>
        <w:tab/>
        <w:t>(2)</w:t>
      </w:r>
      <w:r>
        <w:tab/>
        <w:t>A record (other than a Part 5 document) sent by email is taken to have been given on the day on which the email is sent.</w:t>
      </w:r>
    </w:p>
    <w:p>
      <w:pPr>
        <w:pStyle w:val="Footnotesection"/>
      </w:pPr>
      <w:r>
        <w:tab/>
        <w:t>[Regulation 37 inserted: SL 2024/201 r. 24.]</w:t>
      </w:r>
    </w:p>
    <w:p>
      <w:pPr>
        <w:pStyle w:val="Heading2"/>
      </w:pPr>
      <w:bookmarkStart w:id="103" w:name="_Toc188005121"/>
      <w:bookmarkStart w:id="104" w:name="_Toc188006200"/>
      <w:bookmarkStart w:id="105" w:name="_Toc188016683"/>
      <w:r>
        <w:rPr>
          <w:rStyle w:val="CharPartNo"/>
        </w:rPr>
        <w:lastRenderedPageBreak/>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103"/>
      <w:bookmarkEnd w:id="104"/>
      <w:bookmarkEnd w:id="105"/>
    </w:p>
    <w:p>
      <w:pPr>
        <w:pStyle w:val="Footnoteheading"/>
      </w:pPr>
      <w:r>
        <w:tab/>
        <w:t>[Heading inserted: SL 2024/201 r. 24.]</w:t>
      </w:r>
    </w:p>
    <w:p>
      <w:pPr>
        <w:pStyle w:val="Heading5"/>
      </w:pPr>
      <w:bookmarkStart w:id="106" w:name="_Toc188016684"/>
      <w:r>
        <w:rPr>
          <w:rStyle w:val="CharSectno"/>
        </w:rPr>
        <w:t>38</w:t>
      </w:r>
      <w:r>
        <w:t>.</w:t>
      </w:r>
      <w:r>
        <w:tab/>
        <w:t>Existing wardens</w:t>
      </w:r>
      <w:bookmarkEnd w:id="10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pPr>
        <w:pStyle w:val="Defstart"/>
      </w:pPr>
      <w:r>
        <w:tab/>
      </w:r>
      <w:r>
        <w:rPr>
          <w:rStyle w:val="CharDefText"/>
        </w:rPr>
        <w:t>existing warden</w:t>
      </w:r>
      <w:r>
        <w:t xml:space="preserve"> means a person who, immediately before commencement day, is authorised by the CEO under section 22 to perform a function.</w:t>
      </w:r>
    </w:p>
    <w:p>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pPr>
        <w:pStyle w:val="Subsection"/>
      </w:pPr>
      <w:r>
        <w:tab/>
        <w:t>(3)</w:t>
      </w:r>
      <w:r>
        <w:tab/>
        <w:t>For section 24(1)(b), in a provision relating to a function that an existing warden is authorised by the CEO under section 22 to perform a reference to a police officer is to be read as including the warden.</w:t>
      </w:r>
    </w:p>
    <w:p>
      <w:pPr>
        <w:pStyle w:val="Footnotesection"/>
      </w:pPr>
      <w:r>
        <w:tab/>
        <w:t>[Regulation 38 inserted: SL 2024/201 r. 24.]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7" w:name="_Toc188005123"/>
      <w:bookmarkStart w:id="108" w:name="_Toc188006202"/>
      <w:bookmarkStart w:id="109" w:name="_Toc188016685"/>
      <w:r>
        <w:rPr>
          <w:rStyle w:val="CharSchNo"/>
        </w:rPr>
        <w:lastRenderedPageBreak/>
        <w:t>Schedule 1 </w:t>
      </w:r>
      <w:r>
        <w:t>—</w:t>
      </w:r>
      <w:r>
        <w:rPr>
          <w:rStyle w:val="CharSchText"/>
        </w:rPr>
        <w:t> Entry warrant</w:t>
      </w:r>
      <w:bookmarkEnd w:id="107"/>
      <w:bookmarkEnd w:id="108"/>
      <w:bookmarkEnd w:id="10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Ednoteschedule"/>
      </w:pPr>
      <w:r>
        <w:t>[Schedule 2 deleted: SL 2024/201 r. 25.]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1" w:name="_Toc188005124"/>
      <w:bookmarkStart w:id="112" w:name="_Toc188006203"/>
      <w:bookmarkStart w:id="113" w:name="_Toc188016686"/>
      <w:r>
        <w:lastRenderedPageBreak/>
        <w:t>Notes</w:t>
      </w:r>
      <w:bookmarkEnd w:id="111"/>
      <w:bookmarkEnd w:id="112"/>
      <w:bookmarkEnd w:id="113"/>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114" w:name="_Toc188016687"/>
      <w:r>
        <w:t>Compilation table</w:t>
      </w:r>
      <w:bookmarkEnd w:id="1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(Administration) Amendment Regulations (No. 2) 2024  </w:t>
            </w:r>
          </w:p>
        </w:tc>
        <w:tc>
          <w:tcPr>
            <w:tcW w:w="1276" w:type="dxa"/>
            <w:tcBorders>
              <w:top w:val="nil"/>
              <w:bottom w:val="nil"/>
            </w:tcBorders>
          </w:tcPr>
          <w:p>
            <w:pPr>
              <w:pStyle w:val="nTable"/>
              <w:spacing w:after="40"/>
            </w:pPr>
            <w:r>
              <w:t>SL 2024/184 4 Sep 2024</w:t>
            </w:r>
          </w:p>
        </w:tc>
        <w:tc>
          <w:tcPr>
            <w:tcW w:w="2693" w:type="dxa"/>
            <w:tcBorders>
              <w:top w:val="nil"/>
              <w:bottom w:val="nil"/>
            </w:tcBorders>
          </w:tcPr>
          <w:p>
            <w:pPr>
              <w:pStyle w:val="nTable"/>
              <w:spacing w:after="40"/>
            </w:pPr>
            <w:r>
              <w:t>r. 1 and 2: 4 Sep 2024 (see r. 2(a));</w:t>
            </w:r>
            <w:r>
              <w:br/>
              <w:t>Regulations other than r. 1 and 2: 5 Sep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2024</w:t>
            </w:r>
          </w:p>
        </w:tc>
        <w:tc>
          <w:tcPr>
            <w:tcW w:w="1276" w:type="dxa"/>
            <w:tcBorders>
              <w:top w:val="nil"/>
              <w:bottom w:val="nil"/>
            </w:tcBorders>
          </w:tcPr>
          <w:p>
            <w:pPr>
              <w:pStyle w:val="nTable"/>
              <w:spacing w:after="40"/>
            </w:pPr>
            <w:r>
              <w:t>SL 2024/201 2 Oct 2024</w:t>
            </w:r>
          </w:p>
        </w:tc>
        <w:tc>
          <w:tcPr>
            <w:tcW w:w="2693" w:type="dxa"/>
            <w:tcBorders>
              <w:top w:val="nil"/>
              <w:bottom w:val="nil"/>
            </w:tcBorders>
          </w:tcPr>
          <w:p>
            <w:pPr>
              <w:pStyle w:val="nTable"/>
              <w:spacing w:after="40"/>
            </w:pPr>
            <w:r>
              <w:t>r. 1 and 2: 2 Oct 2024 (see r. 2(a));</w:t>
            </w:r>
            <w:r>
              <w:br/>
              <w:t>Regulations other than r. 1 and 2: 7 Oct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Cs/>
              </w:rPr>
            </w:pPr>
            <w:r>
              <w:rPr>
                <w:i/>
              </w:rPr>
              <w:t>Transport Regulations Amendment (Road Traffic) Regulations 2024</w:t>
            </w:r>
            <w:r>
              <w:rPr>
                <w:iCs/>
              </w:rPr>
              <w:t xml:space="preserve"> Pt. 2</w:t>
            </w:r>
          </w:p>
        </w:tc>
        <w:tc>
          <w:tcPr>
            <w:tcW w:w="1276" w:type="dxa"/>
            <w:tcBorders>
              <w:top w:val="nil"/>
              <w:bottom w:val="nil"/>
            </w:tcBorders>
          </w:tcPr>
          <w:p>
            <w:pPr>
              <w:pStyle w:val="nTable"/>
              <w:spacing w:after="40"/>
            </w:pPr>
            <w:r>
              <w:t>SL 2024/237 27 Nov 2024</w:t>
            </w:r>
          </w:p>
        </w:tc>
        <w:tc>
          <w:tcPr>
            <w:tcW w:w="2693" w:type="dxa"/>
            <w:tcBorders>
              <w:top w:val="nil"/>
              <w:bottom w:val="nil"/>
            </w:tcBorders>
          </w:tcPr>
          <w:p>
            <w:pPr>
              <w:pStyle w:val="nTable"/>
              <w:spacing w:after="40"/>
            </w:pPr>
            <w:r>
              <w:t>1 Dec 2024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Cs/>
              </w:rPr>
            </w:pPr>
            <w:r>
              <w:rPr>
                <w:i/>
              </w:rPr>
              <w:t>Transport Regulations Amendment (Heavy Vehicle) Regulations 2025</w:t>
            </w:r>
            <w:r>
              <w:rPr>
                <w:iCs/>
              </w:rPr>
              <w:t xml:space="preserve"> Pt. 2</w:t>
            </w:r>
          </w:p>
        </w:tc>
        <w:tc>
          <w:tcPr>
            <w:tcW w:w="1276" w:type="dxa"/>
            <w:tcBorders>
              <w:top w:val="nil"/>
              <w:bottom w:val="single" w:sz="4" w:space="0" w:color="auto"/>
            </w:tcBorders>
          </w:tcPr>
          <w:p>
            <w:pPr>
              <w:pStyle w:val="nTable"/>
              <w:spacing w:after="40"/>
            </w:pPr>
            <w:r>
              <w:t>SL 2025/20 22 Jan 2025</w:t>
            </w:r>
          </w:p>
        </w:tc>
        <w:tc>
          <w:tcPr>
            <w:tcW w:w="2693" w:type="dxa"/>
            <w:tcBorders>
              <w:top w:val="nil"/>
              <w:bottom w:val="single" w:sz="4" w:space="0" w:color="auto"/>
            </w:tcBorders>
          </w:tcPr>
          <w:p>
            <w:pPr>
              <w:pStyle w:val="nTable"/>
              <w:spacing w:after="40"/>
            </w:pPr>
            <w:r>
              <w:t>23 Jan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16" w:name="_Toc188005126"/>
      <w:bookmarkStart w:id="117" w:name="_Toc188006205"/>
      <w:bookmarkStart w:id="118" w:name="_Toc188016688"/>
      <w:r>
        <w:rPr>
          <w:sz w:val="28"/>
        </w:rPr>
        <w:lastRenderedPageBreak/>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commencement day</w:t>
      </w:r>
      <w:r>
        <w:tab/>
        <w:t>38(1)</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electric-powered vehicle</w:t>
      </w:r>
      <w:r>
        <w:tab/>
        <w:t>9A(1)</w:t>
      </w:r>
    </w:p>
    <w:p>
      <w:pPr>
        <w:pStyle w:val="DefinedTerms"/>
      </w:pPr>
      <w:r>
        <w:t>existing warden</w:t>
      </w:r>
      <w:r>
        <w:tab/>
        <w:t>38(1)</w:t>
      </w:r>
    </w:p>
    <w:p>
      <w:pPr>
        <w:pStyle w:val="DefinedTerms"/>
      </w:pPr>
      <w:r>
        <w:t>HVNL</w:t>
      </w:r>
      <w:r>
        <w:tab/>
        <w:t>9(1), 10(1)</w:t>
      </w:r>
    </w:p>
    <w:p>
      <w:pPr>
        <w:pStyle w:val="DefinedTerms"/>
      </w:pPr>
      <w:r>
        <w:t>hydrogen-powered vehicle</w:t>
      </w:r>
      <w:r>
        <w:tab/>
        <w:t>9A(1)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parking warden</w:t>
      </w:r>
      <w:r>
        <w:tab/>
        <w:t>3</w:t>
      </w:r>
    </w:p>
    <w:p>
      <w:pPr>
        <w:pStyle w:val="DefinedTerms"/>
      </w:pPr>
      <w:r>
        <w:t>pedalec</w:t>
      </w:r>
      <w:r>
        <w:tab/>
        <w:t>4(1)</w:t>
      </w:r>
    </w:p>
    <w:p>
      <w:pPr>
        <w:pStyle w:val="DefinedTerms"/>
      </w:pPr>
      <w:r>
        <w:t>prescribed road law offence</w:t>
      </w:r>
      <w:r>
        <w:tab/>
        <w:t>3</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section</w:t>
      </w:r>
      <w:r>
        <w:tab/>
        <w:t>3</w:t>
      </w:r>
    </w:p>
    <w:p>
      <w:pPr>
        <w:pStyle w:val="DefinedTerms"/>
      </w:pPr>
      <w:r>
        <w:t>traffic escort warden</w:t>
      </w:r>
      <w:r>
        <w:tab/>
        <w:t>17(1)</w:t>
      </w:r>
    </w:p>
    <w:p>
      <w:pPr>
        <w:pStyle w:val="DefinedTerms"/>
      </w:pPr>
      <w:r>
        <w:t>transport inspection warden</w:t>
      </w:r>
      <w:r>
        <w:tab/>
        <w:t>3</w:t>
      </w:r>
    </w:p>
    <w:p>
      <w:pPr>
        <w:pStyle w:val="DefinedTerms"/>
      </w:pPr>
      <w:r>
        <w:t>transport investigation warden</w:t>
      </w:r>
      <w:r>
        <w:tab/>
        <w:t>3</w:t>
      </w:r>
    </w:p>
    <w:p>
      <w:pPr>
        <w:pStyle w:val="DefinedTerms"/>
      </w:pPr>
      <w:r>
        <w:t>transport warden</w:t>
      </w:r>
      <w:r>
        <w:tab/>
        <w:t>3</w:t>
      </w:r>
    </w:p>
    <w:p>
      <w:pPr>
        <w:pStyle w:val="DefinedTerms"/>
      </w:pPr>
      <w:r>
        <w:t>WOVR</w:t>
      </w:r>
      <w:r>
        <w:tab/>
        <w:t>8(1)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D132A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065F5CA" w14:textId="4449798F" w:rsidR="0002373E" w:rsidRDefault="0002373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A6CE1">
                        <w:rPr>
                          <w:sz w:val="16"/>
                        </w:rPr>
                        <w:t>2025</w:t>
                      </w:r>
                      <w:r>
                        <w:rPr>
                          <w:sz w:val="16"/>
                        </w:rPr>
                        <w:fldChar w:fldCharType="end"/>
                      </w:r>
                      <w:r>
                        <w:rPr>
                          <w:sz w:val="16"/>
                        </w:rPr>
                        <w:t>.</w:t>
                      </w:r>
                    </w:p>
                    <w:p w14:paraId="6292F7E9" w14:textId="77777777" w:rsidR="0002373E" w:rsidRDefault="0002373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B3D81F5" w14:textId="068B64C8" w:rsidR="0002373E" w:rsidRDefault="0002373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A6CE1">
                        <w:rPr>
                          <w:sz w:val="16"/>
                        </w:rPr>
                        <w:t>2025</w:t>
                      </w:r>
                      <w:r>
                        <w:rPr>
                          <w:sz w:val="16"/>
                        </w:rPr>
                        <w:fldChar w:fldCharType="end"/>
                      </w:r>
                      <w:r>
                        <w:rPr>
                          <w:sz w:val="16"/>
                        </w:rPr>
                        <w:t>.</w:t>
                      </w:r>
                    </w:p>
                    <w:p w14:paraId="41AF73D6" w14:textId="77777777" w:rsidR="0002373E" w:rsidRDefault="0002373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246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1154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 w:name="WAFER_2025011711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7111515_GUID" w:val="486ff2c1-89c0-4ce5-8802-0260ef3a2247"/>
    <w:docVar w:name="WAFER_20250117111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1540_GUID" w:val="74a24922-9885-4d68-837e-9ce52eedd0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41"/>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TableNAmLeft0cm">
    <w:name w:val="TableNAm + Left:  0 cm"/>
    <w:aliases w:val="Hanging:  0.82 cm,Before:  0 pt"/>
    <w:basedOn w:val="TableNAm"/>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11964</Words>
  <Characters>59704</Characters>
  <Application>Microsoft Office Word</Application>
  <DocSecurity>0</DocSecurity>
  <Lines>2595</Lines>
  <Paragraphs>1352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2014 - 00-at0-00</dc:title>
  <dc:subject/>
  <dc:creator/>
  <cp:keywords/>
  <dc:description/>
  <cp:lastModifiedBy>Master Repository Process</cp:lastModifiedBy>
  <cp:revision>4</cp:revision>
  <cp:lastPrinted>2014-11-27T00:08:00Z</cp:lastPrinted>
  <dcterms:created xsi:type="dcterms:W3CDTF">2025-07-03T03:40:00Z</dcterms:created>
  <dcterms:modified xsi:type="dcterms:W3CDTF">2025-07-03T03:40:00Z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23 Jan 2025</vt:lpwstr>
  </property>
  <property fmtid="{D5CDD505-2E9C-101B-9397-08002B2CF9AE}" pid="5" name="Suffix">
    <vt:lpwstr>00-at0-00</vt:lpwstr>
  </property>
  <property fmtid="{D5CDD505-2E9C-101B-9397-08002B2CF9AE}" pid="6" name="Official">
    <vt:lpwstr/>
  </property>
  <property fmtid="{D5CDD505-2E9C-101B-9397-08002B2CF9AE}" pid="7" name="CommencementDate">
    <vt:lpwstr>20250123</vt:lpwstr>
  </property>
  <property fmtid="{D5CDD505-2E9C-101B-9397-08002B2CF9AE}" pid="8" name="CommencementAsAt">
    <vt:filetime>2025-01-22T16:00:00Z</vt:filetime>
  </property>
  <property fmtid="{D5CDD505-2E9C-101B-9397-08002B2CF9AE}" pid="9" name="CommencementYear">
    <vt:lpwstr>2025</vt:lpwstr>
  </property>
</Properties>
</file>