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_Toc188020081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_Toc188020082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_Toc188020083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_Toc188020084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_Toc188020085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_Toc188020086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_Toc188020087 \h </w:instrText>
      </w:r>
      <w:r>
        <w:fldChar w:fldCharType="separate"/>
      </w:r>
      <w:r>
        <w:t>7</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_Toc188020088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_Toc188020089 \h </w:instrText>
      </w:r>
      <w:r>
        <w:fldChar w:fldCharType="separate"/>
      </w:r>
      <w:r>
        <w:t>8</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_Toc188020090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_Toc188020093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2" w:name="_Toc188020081"/>
      <w:r>
        <w:rPr>
          <w:rStyle w:val="CharSectno"/>
        </w:rPr>
        <w:t>1</w:t>
      </w:r>
      <w:r>
        <w:t>.</w:t>
      </w:r>
      <w:r>
        <w:tab/>
        <w:t>Citation</w:t>
      </w:r>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188020082"/>
      <w:r>
        <w:rPr>
          <w:rStyle w:val="CharSectno"/>
        </w:rPr>
        <w:t>2</w:t>
      </w:r>
      <w:r>
        <w:rPr>
          <w:spacing w:val="-2"/>
        </w:rPr>
        <w:t>.</w:t>
      </w:r>
      <w:r>
        <w:rPr>
          <w:spacing w:val="-2"/>
        </w:rPr>
        <w:tab/>
        <w:t>Commencement</w:t>
      </w:r>
      <w:bookmarkEnd w:id="3"/>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4" w:name="_Toc188020083"/>
      <w:r>
        <w:rPr>
          <w:rStyle w:val="CharSectno"/>
        </w:rPr>
        <w:t>3</w:t>
      </w:r>
      <w:r>
        <w:t>.</w:t>
      </w:r>
      <w:r>
        <w:tab/>
        <w:t>Forms</w:t>
      </w:r>
      <w:bookmarkEnd w:id="4"/>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5" w:name="_Toc188020084"/>
      <w:r>
        <w:rPr>
          <w:rStyle w:val="CharSectno"/>
        </w:rPr>
        <w:lastRenderedPageBreak/>
        <w:t>4</w:t>
      </w:r>
      <w:r>
        <w:t>.</w:t>
      </w:r>
      <w:r>
        <w:tab/>
        <w:t>Law enforcement officers, classes prescribed</w:t>
      </w:r>
      <w:bookmarkEnd w:id="5"/>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6" w:name="_Toc188020085"/>
      <w:r>
        <w:rPr>
          <w:rStyle w:val="CharSectno"/>
        </w:rPr>
        <w:t>5</w:t>
      </w:r>
      <w:r>
        <w:t>.</w:t>
      </w:r>
      <w:r>
        <w:tab/>
        <w:t>Commonwealth agencies, instrumentalities and bodies</w:t>
      </w:r>
      <w:bookmarkEnd w:id="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7" w:name="_Toc188020086"/>
      <w:r>
        <w:rPr>
          <w:rStyle w:val="CharSectno"/>
        </w:rPr>
        <w:t>6</w:t>
      </w:r>
      <w:r>
        <w:t>.</w:t>
      </w:r>
      <w:r>
        <w:tab/>
        <w:t>Use of tracking devices without warrant</w:t>
      </w:r>
      <w:bookmarkEnd w:id="7"/>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pPr>
      <w:r>
        <w:tab/>
        <w:t>(db)</w:t>
      </w:r>
      <w:r>
        <w:tab/>
        <w:t xml:space="preserve">by a police officer or police employee, in a Border Search Area, to identify devices that emit radio waves, </w:t>
      </w:r>
      <w:r>
        <w:lastRenderedPageBreak/>
        <w:t>for the purpose of monitoring patterns of movement or behaviour that indicate criminal activity;</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Indenti"/>
      </w:pPr>
      <w:r>
        <w:tab/>
        <w:t>(iia)</w:t>
      </w:r>
      <w:r>
        <w:tab/>
      </w:r>
      <w:r>
        <w:rPr>
          <w:i/>
          <w:iCs/>
        </w:rPr>
        <w:t>Criminal Law (Mental Impairment) Act 2023</w:t>
      </w:r>
      <w:r>
        <w:t xml:space="preserve"> section 55(3)(e), 78(5)(e) or 86(1)(b);</w:t>
      </w:r>
    </w:p>
    <w:p>
      <w:pPr>
        <w:pStyle w:val="Indenti"/>
      </w:pPr>
      <w:r>
        <w:tab/>
        <w:t>(iib)</w:t>
      </w:r>
      <w:r>
        <w:tab/>
      </w:r>
      <w:r>
        <w:rPr>
          <w:i/>
          <w:iCs/>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(1A)</w:t>
      </w:r>
      <w:r>
        <w:tab/>
        <w:t>For the purposes of subregulation (1)(db), the Commissioner of Police may designate in writing an employee, or a class of employee, of the department principally assisting the Minister in the administration of the Act.</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 xml:space="preserve">As soon as practicable after a tracking device is attached, installed or used in relation to a vulnerable patient in circumstances described in subregulation (1)(b) the person in </w:t>
      </w:r>
      <w:r>
        <w:lastRenderedPageBreak/>
        <w:t>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pPr>
      <w:r>
        <w:tab/>
      </w:r>
      <w:r>
        <w:rPr>
          <w:rStyle w:val="CharDefText"/>
        </w:rPr>
        <w:t>Border Search Area</w:t>
      </w:r>
      <w:r>
        <w:t xml:space="preserve"> has the meaning given in the </w:t>
      </w:r>
      <w:r>
        <w:rPr>
          <w:i/>
          <w:iCs/>
        </w:rPr>
        <w:t>Misuse of Drugs Act 1981</w:t>
      </w:r>
      <w:r>
        <w:t xml:space="preserve"> section 20N(1);</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keepNext/>
      </w:pPr>
      <w:r>
        <w:lastRenderedPageBreak/>
        <w:tab/>
      </w:r>
      <w:r>
        <w:rPr>
          <w:rStyle w:val="CharDefText"/>
        </w:rPr>
        <w:t>police employee</w:t>
      </w:r>
      <w:r>
        <w:t xml:space="preserve"> means an employee, or a person who is of a class of employee, designated under subregulation (1A);</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4; SL 2024/172 r. 11; SL 2025/15 r. 4.]</w:t>
      </w:r>
    </w:p>
    <w:p>
      <w:pPr>
        <w:pStyle w:val="Heading5"/>
        <w:rPr>
          <w:rStyle w:val="CharSectno"/>
        </w:rPr>
      </w:pPr>
      <w:bookmarkStart w:id="8" w:name="_Toc188020087"/>
      <w:r>
        <w:rPr>
          <w:rStyle w:val="CharSectno"/>
        </w:rPr>
        <w:lastRenderedPageBreak/>
        <w:t>7</w:t>
      </w:r>
      <w:r>
        <w:t>.</w:t>
      </w:r>
      <w:r>
        <w:rPr>
          <w:rStyle w:val="CharSectno"/>
        </w:rPr>
        <w:tab/>
      </w:r>
      <w:r>
        <w:t>Storage and destruction of Part 5 records</w:t>
      </w:r>
      <w:bookmarkEnd w:id="8"/>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9" w:name="_Toc188020088"/>
      <w:r>
        <w:rPr>
          <w:rStyle w:val="CharSectno"/>
        </w:rPr>
        <w:t>8</w:t>
      </w:r>
      <w:r>
        <w:t>.</w:t>
      </w:r>
      <w:r>
        <w:tab/>
        <w:t>Annual reports</w:t>
      </w:r>
      <w:bookmarkEnd w:id="9"/>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lastRenderedPageBreak/>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0" w:name="_Toc188020089"/>
      <w:r>
        <w:rPr>
          <w:rStyle w:val="CharSectno"/>
        </w:rPr>
        <w:t>8A</w:t>
      </w:r>
      <w:r>
        <w:t>.</w:t>
      </w:r>
      <w:r>
        <w:tab/>
        <w:t>Reports by designated Commission</w:t>
      </w:r>
      <w:bookmarkEnd w:id="1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1" w:name="_Toc188020090"/>
      <w:r>
        <w:rPr>
          <w:rStyle w:val="CharSectno"/>
        </w:rPr>
        <w:t>9</w:t>
      </w:r>
      <w:r>
        <w:t>.</w:t>
      </w:r>
      <w:r>
        <w:tab/>
        <w:t>Unlawful possession of surveillance information</w:t>
      </w:r>
      <w:bookmarkEnd w:id="11"/>
    </w:p>
    <w:p>
      <w:pPr>
        <w:pStyle w:val="Subsection"/>
        <w:keepNext/>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 xml:space="preserve">in circumstances where the publication or communication of the surveillance information to </w:t>
      </w:r>
      <w:r>
        <w:lastRenderedPageBreak/>
        <w:t>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 w:name="_Toc188005460"/>
      <w:bookmarkStart w:id="13" w:name="_Toc188005813"/>
      <w:bookmarkStart w:id="14" w:name="_Toc188020091"/>
      <w:r>
        <w:rPr>
          <w:rStyle w:val="CharSchNo"/>
        </w:rPr>
        <w:lastRenderedPageBreak/>
        <w:t>Schedule 1</w:t>
      </w:r>
      <w:r>
        <w:t xml:space="preserve"> — </w:t>
      </w:r>
      <w:r>
        <w:rPr>
          <w:rStyle w:val="CharSchText"/>
        </w:rPr>
        <w:t>Forms</w:t>
      </w:r>
      <w:bookmarkEnd w:id="12"/>
      <w:bookmarkEnd w:id="13"/>
      <w:bookmarkEnd w:id="14"/>
    </w:p>
    <w:p>
      <w:pPr>
        <w:pStyle w:val="yShoulderClause"/>
      </w:pPr>
      <w:r>
        <w:t>[r. 3]</w:t>
      </w:r>
    </w:p>
    <w:tbl>
      <w:tblPr>
        <w:tblW w:w="72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33"/>
        <w:gridCol w:w="2127"/>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286" w:type="dxa"/>
            <w:gridSpan w:val="4"/>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286" w:type="dxa"/>
            <w:gridSpan w:val="4"/>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286" w:type="dxa"/>
            <w:gridSpan w:val="4"/>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286" w:type="dxa"/>
            <w:gridSpan w:val="4"/>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286"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r>
        <w:trPr>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lastRenderedPageBreak/>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160"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04"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04"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04"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04"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04"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04"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lastRenderedPageBreak/>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04"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04"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04"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04"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04"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04"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04"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04"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04"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pStyle w:val="ySubsection"/>
            </w:pPr>
          </w:p>
          <w:p>
            <w:pPr>
              <w:pStyle w:val="ySubsection"/>
            </w:pPr>
          </w:p>
          <w:p>
            <w:pPr>
              <w:pStyle w:val="ySubsection"/>
            </w:pPr>
          </w:p>
          <w:p>
            <w:pPr>
              <w:pStyle w:val="ySubsection"/>
              <w:tabs>
                <w:tab w:val="clear" w:pos="595"/>
                <w:tab w:val="clear" w:pos="879"/>
              </w:tabs>
              <w:spacing w:before="0"/>
              <w:ind w:left="0" w:firstLine="0"/>
              <w:rPr>
                <w:sz w:val="18"/>
              </w:rPr>
            </w:pP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pPr>
              <w:pStyle w:val="ySubsection"/>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94"/>
      </w:tblGrid>
      <w:tr>
        <w:trPr>
          <w:gridAfter w:val="1"/>
          <w:wAfter w:w="194"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lastRenderedPageBreak/>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1"/>
          <w:wAfter w:w="194"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83"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83"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83"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83"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83"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83"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83"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83"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83" w:type="dxa"/>
            <w:gridSpan w:val="4"/>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pPr>
        <w:pStyle w:val="MiscClose"/>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Pr>
              <w:pStyle w:val="ySubsection"/>
            </w:pPr>
          </w:p>
          <w:p>
            <w:pPr>
              <w:pStyle w:val="ySubsection"/>
            </w:pPr>
          </w:p>
          <w:p>
            <w:pPr>
              <w:pStyle w:val="ySubsection"/>
              <w:rPr>
                <w:sz w:val="18"/>
              </w:rPr>
            </w:pPr>
          </w:p>
          <w:p>
            <w:pPr>
              <w:pStyle w:val="ySubsection"/>
              <w:rPr>
                <w:sz w:val="20"/>
              </w:rPr>
            </w:pPr>
          </w:p>
          <w:p>
            <w:pPr>
              <w:pStyle w:val="ySubsection"/>
              <w:rPr>
                <w:sz w:val="20"/>
              </w:rPr>
            </w:pPr>
          </w:p>
          <w:p>
            <w:pPr>
              <w:pStyle w:val="ySubsection"/>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5" w:name="_Toc188005461"/>
      <w:bookmarkStart w:id="16" w:name="_Toc188005814"/>
      <w:bookmarkStart w:id="17" w:name="_Toc188020092"/>
      <w:r>
        <w:lastRenderedPageBreak/>
        <w:t>Notes</w:t>
      </w:r>
      <w:bookmarkEnd w:id="15"/>
      <w:bookmarkEnd w:id="16"/>
      <w:bookmarkEnd w:id="17"/>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 </w:t>
      </w:r>
    </w:p>
    <w:p>
      <w:pPr>
        <w:pStyle w:val="nHeading3"/>
      </w:pPr>
      <w:bookmarkStart w:id="18" w:name="_Toc188020093"/>
      <w:r>
        <w:t>Compilation table</w:t>
      </w:r>
      <w:bookmarkEnd w:id="18"/>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2023</w:t>
            </w:r>
          </w:p>
        </w:tc>
        <w:tc>
          <w:tcPr>
            <w:tcW w:w="1276" w:type="dxa"/>
            <w:gridSpan w:val="2"/>
            <w:tcBorders>
              <w:top w:val="nil"/>
              <w:bottom w:val="nil"/>
            </w:tcBorders>
          </w:tcPr>
          <w:p>
            <w:pPr>
              <w:pStyle w:val="nTable"/>
              <w:spacing w:after="40"/>
            </w:pPr>
            <w:r>
              <w:t>SL 2023/188 29 Nov 2023</w:t>
            </w:r>
          </w:p>
        </w:tc>
        <w:tc>
          <w:tcPr>
            <w:tcW w:w="2695" w:type="dxa"/>
            <w:gridSpan w:val="2"/>
            <w:tcBorders>
              <w:top w:val="nil"/>
              <w:bottom w:val="nil"/>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Police Regulations Amendment (Criminal Law Mental Impairment) Regulations 2024 </w:t>
            </w:r>
            <w:r>
              <w:rPr>
                <w:iCs/>
              </w:rPr>
              <w:t>Pt. 4</w:t>
            </w:r>
          </w:p>
        </w:tc>
        <w:tc>
          <w:tcPr>
            <w:tcW w:w="1276" w:type="dxa"/>
            <w:gridSpan w:val="2"/>
            <w:tcBorders>
              <w:top w:val="nil"/>
              <w:bottom w:val="nil"/>
            </w:tcBorders>
          </w:tcPr>
          <w:p>
            <w:pPr>
              <w:pStyle w:val="nTable"/>
              <w:spacing w:after="40"/>
            </w:pPr>
            <w:r>
              <w:t>SL 2024/172 21 Aug 2024</w:t>
            </w:r>
          </w:p>
        </w:tc>
        <w:tc>
          <w:tcPr>
            <w:tcW w:w="2695" w:type="dxa"/>
            <w:gridSpan w:val="2"/>
            <w:tcBorders>
              <w:top w:val="nil"/>
              <w:bottom w:val="nil"/>
            </w:tcBorders>
          </w:tcPr>
          <w:p>
            <w:pPr>
              <w:pStyle w:val="nTable"/>
              <w:spacing w:after="40"/>
              <w:rPr>
                <w:snapToGrid w:val="0"/>
                <w:spacing w:val="-2"/>
              </w:rPr>
            </w:pPr>
            <w:r>
              <w:t>1 Sep 2024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lastRenderedPageBreak/>
              <w:t>Surveillance Devices Amendment Regulations 2025</w:t>
            </w:r>
          </w:p>
        </w:tc>
        <w:tc>
          <w:tcPr>
            <w:tcW w:w="1276" w:type="dxa"/>
            <w:gridSpan w:val="2"/>
            <w:tcBorders>
              <w:bottom w:val="single" w:sz="4" w:space="0" w:color="auto"/>
            </w:tcBorders>
          </w:tcPr>
          <w:p>
            <w:pPr>
              <w:pStyle w:val="nTable"/>
              <w:spacing w:after="40"/>
            </w:pPr>
            <w:r>
              <w:t>SL 2025/15 22 Jan 2025</w:t>
            </w:r>
          </w:p>
        </w:tc>
        <w:tc>
          <w:tcPr>
            <w:tcW w:w="2695" w:type="dxa"/>
            <w:gridSpan w:val="2"/>
            <w:tcBorders>
              <w:bottom w:val="single" w:sz="4" w:space="0" w:color="auto"/>
            </w:tcBorders>
          </w:tcPr>
          <w:p>
            <w:pPr>
              <w:pStyle w:val="nTable"/>
              <w:spacing w:after="40"/>
            </w:pPr>
            <w:r>
              <w:rPr>
                <w:snapToGrid w:val="0"/>
                <w:spacing w:val="-2"/>
              </w:rPr>
              <w:t>r. 1 and 2: 22</w:t>
            </w:r>
            <w:r>
              <w:t> Jan 2025</w:t>
            </w:r>
            <w:r>
              <w:rPr>
                <w:snapToGrid w:val="0"/>
                <w:spacing w:val="-2"/>
              </w:rPr>
              <w:t xml:space="preserve"> (see r. 2(a));</w:t>
            </w:r>
            <w:r>
              <w:rPr>
                <w:snapToGrid w:val="0"/>
                <w:spacing w:val="-2"/>
              </w:rPr>
              <w:br/>
              <w:t xml:space="preserve">Regulations other than r. 1 and 2: </w:t>
            </w:r>
            <w:r>
              <w:t>23 Jan 2025</w:t>
            </w:r>
            <w:r>
              <w:rPr>
                <w:snapToGrid w:val="0"/>
                <w:spacing w:val="-2"/>
              </w:rPr>
              <w:t xml:space="preserve">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 w:name="_Toc188020094"/>
      <w:r>
        <w:rPr>
          <w:sz w:val="28"/>
        </w:rPr>
        <w:lastRenderedPageBreak/>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Border Search Area</w:t>
      </w:r>
      <w:r>
        <w:tab/>
        <w:t>6(4)</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police employee</w:t>
      </w:r>
      <w:r>
        <w:tab/>
        <w:t>6(4)</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BB832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93F378A" w14:textId="2ABEC564" w:rsidR="00FB3535" w:rsidRDefault="00DA2A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0D1D">
                        <w:rPr>
                          <w:sz w:val="16"/>
                        </w:rPr>
                        <w:t>2025</w:t>
                      </w:r>
                      <w:r>
                        <w:rPr>
                          <w:sz w:val="16"/>
                        </w:rPr>
                        <w:fldChar w:fldCharType="end"/>
                      </w:r>
                      <w:r>
                        <w:rPr>
                          <w:sz w:val="16"/>
                        </w:rPr>
                        <w:t>.</w:t>
                      </w:r>
                    </w:p>
                    <w:p w14:paraId="0942AB5D" w14:textId="77777777" w:rsidR="00FB3535" w:rsidRDefault="00DA2A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B4B692" w14:textId="11637518" w:rsidR="00FB3535" w:rsidRDefault="00DA2A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0D1D">
                        <w:rPr>
                          <w:sz w:val="16"/>
                        </w:rPr>
                        <w:t>2025</w:t>
                      </w:r>
                      <w:r>
                        <w:rPr>
                          <w:sz w:val="16"/>
                        </w:rPr>
                        <w:fldChar w:fldCharType="end"/>
                      </w:r>
                      <w:r>
                        <w:rPr>
                          <w:sz w:val="16"/>
                        </w:rPr>
                        <w:t>.</w:t>
                      </w:r>
                    </w:p>
                    <w:p w14:paraId="78CCEA2F" w14:textId="77777777" w:rsidR="00FB3535" w:rsidRDefault="00DA2A3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2325"/>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 w:name="WAFER_20240822105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5419_GUID" w:val="8794e857-d92a-4600-b6fd-0f226ac208ac"/>
    <w:docVar w:name="WAFER_20240822132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2336_GUID" w:val="86c28b85-36e0-48e1-8412-047580f4b44c"/>
    <w:docVar w:name="WAFER_20250117112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325_GUID" w:val="8d6031dd-d95c-49e7-b122-90d5bf1892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5088</Words>
  <Characters>27577</Characters>
  <Application>Microsoft Office Word</Application>
  <DocSecurity>0</DocSecurity>
  <Lines>1149</Lines>
  <Paragraphs>680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1999 - 03-h0-00</dc:title>
  <dc:subject/>
  <dc:creator/>
  <cp:keywords/>
  <dc:description/>
  <cp:lastModifiedBy>Master Repository Process</cp:lastModifiedBy>
  <cp:revision>4</cp:revision>
  <cp:lastPrinted>2018-03-20T02:06:00Z</cp:lastPrinted>
  <dcterms:created xsi:type="dcterms:W3CDTF">2025-07-03T03:42:00Z</dcterms:created>
  <dcterms:modified xsi:type="dcterms:W3CDTF">2025-07-03T03:42:00Z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23 Jan 2025</vt:lpwstr>
  </property>
  <property fmtid="{D5CDD505-2E9C-101B-9397-08002B2CF9AE}" pid="8" name="Suffix">
    <vt:lpwstr>03-h0-00</vt:lpwstr>
  </property>
  <property fmtid="{D5CDD505-2E9C-101B-9397-08002B2CF9AE}" pid="9" name="Official">
    <vt:lpwstr/>
  </property>
  <property fmtid="{D5CDD505-2E9C-101B-9397-08002B2CF9AE}" pid="10" name="CommencementDate">
    <vt:lpwstr>20250123</vt:lpwstr>
  </property>
  <property fmtid="{D5CDD505-2E9C-101B-9397-08002B2CF9AE}" pid="11" name="CommencementAsAt">
    <vt:filetime>2025-01-22T16:00:00Z</vt:filetime>
  </property>
  <property fmtid="{D5CDD505-2E9C-101B-9397-08002B2CF9AE}" pid="12" name="CommencementYear">
    <vt:lpwstr>2025</vt:lpwstr>
  </property>
</Properties>
</file>