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_Toc187931873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_Toc187931874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_Toc187931875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_Toc187931877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_Toc187931878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_Toc187931879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_Toc187931880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_Toc187931881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_Toc187931882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_Toc187931883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_Toc187931884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_Toc187931885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_Toc187931886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_Toc187931887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_Toc187931889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_Toc187931890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_Toc187931891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_Toc187931893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_Toc187931894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_Toc187931895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_Toc187931896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_Toc187931897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_Toc187931898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_Toc187931901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_Toc187931902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_Toc187931903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_Toc187931904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_Toc187931905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_Toc187931906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_Toc187931907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_Toc187931908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_Toc187931909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_Toc187931911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_Toc187931912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_Toc187931913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_Toc187931915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_Toc187931916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_Toc187931917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_Toc187931919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_Toc187931920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_Toc187931921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_Toc187931922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_Toc187931923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_Toc187931924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_Toc187931925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_Toc187931926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_Toc187931928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_Toc187931929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_Toc187931931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_Toc187931932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_Toc187931933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_Toc187931934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_Toc187931935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_Toc187931936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_Toc187931937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_Toc187931938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_Toc187931939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_Toc187931940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_Toc187931941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_Toc187931943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_Toc187931944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_Toc187931945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_Toc187931946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_Toc187931947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_Toc187931948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_Toc187931949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_Toc187931950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_Toc187931951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_Toc187931952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_Toc187931953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_Toc187931954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_Toc187931955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_Toc187931956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_Toc187931957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_Toc187931958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_Toc187931960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_Toc187931961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_Toc187931962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_Toc187931963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_Toc187931964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_Toc187931965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_Toc187931966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_Toc187931967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_Toc187931968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_Toc187931970 \h </w:instrText>
      </w:r>
      <w:r>
        <w:fldChar w:fldCharType="separate"/>
      </w:r>
      <w:r>
        <w:t>72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_Toc187931971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_Toc187931972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_Toc187931973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187915231"/>
      <w:bookmarkStart w:id="3" w:name="_Toc187931872"/>
      <w:r>
        <w:rPr>
          <w:rStyle w:val="CharPartNo"/>
        </w:rPr>
        <w:lastRenderedPageBreak/>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87931873"/>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5" w:name="_Toc187931874"/>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6" w:name="_Toc187931875"/>
      <w:r>
        <w:rPr>
          <w:rStyle w:val="CharSectno"/>
        </w:rPr>
        <w:t>3</w:t>
      </w:r>
      <w:r>
        <w:rPr>
          <w:snapToGrid w:val="0"/>
        </w:rPr>
        <w:t>.</w:t>
      </w:r>
      <w:r>
        <w:rPr>
          <w:snapToGrid w:val="0"/>
        </w:rPr>
        <w:tab/>
        <w:t>Terms used in this Act</w:t>
      </w:r>
      <w:bookmarkEnd w:id="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lastRenderedPageBreak/>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7" w:name="_Toc187915235"/>
      <w:bookmarkStart w:id="8" w:name="_Toc187931876"/>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7"/>
      <w:bookmarkEnd w:id="8"/>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9" w:name="_Toc187931877"/>
      <w:r>
        <w:rPr>
          <w:rStyle w:val="CharSectno"/>
        </w:rPr>
        <w:t>4</w:t>
      </w:r>
      <w:r>
        <w:rPr>
          <w:snapToGrid w:val="0"/>
        </w:rPr>
        <w:t>.</w:t>
      </w:r>
      <w:r>
        <w:rPr>
          <w:snapToGrid w:val="0"/>
        </w:rPr>
        <w:tab/>
        <w:t>Constitution of Gold Corporation as a body corporate</w:t>
      </w:r>
      <w:bookmarkEnd w:id="9"/>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 xml:space="preserve">Notwithstanding any exemption or immunity that may otherwise exist, Gold Corporation shall be liable for and shall pay all land tax, metropolitan region improvement tax, water </w:t>
      </w:r>
      <w:r>
        <w:rPr>
          <w:snapToGrid w:val="0"/>
        </w:rPr>
        <w:lastRenderedPageBreak/>
        <w:t>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0" w:name="_Toc187931878"/>
      <w:r>
        <w:rPr>
          <w:rStyle w:val="CharSectno"/>
        </w:rPr>
        <w:t>5</w:t>
      </w:r>
      <w:r>
        <w:rPr>
          <w:snapToGrid w:val="0"/>
        </w:rPr>
        <w:t>.</w:t>
      </w:r>
      <w:r>
        <w:rPr>
          <w:snapToGrid w:val="0"/>
        </w:rPr>
        <w:tab/>
        <w:t>Constitution of Board of Gold Corporation</w:t>
      </w:r>
      <w:bookmarkEnd w:id="10"/>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1" w:name="_Toc187931879"/>
      <w:r>
        <w:rPr>
          <w:rStyle w:val="CharSectno"/>
        </w:rPr>
        <w:t>6</w:t>
      </w:r>
      <w:r>
        <w:rPr>
          <w:snapToGrid w:val="0"/>
        </w:rPr>
        <w:t>.</w:t>
      </w:r>
      <w:r>
        <w:rPr>
          <w:snapToGrid w:val="0"/>
        </w:rPr>
        <w:tab/>
        <w:t>Functions of the Board</w:t>
      </w:r>
      <w:bookmarkEnd w:id="11"/>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2" w:name="_Toc187931880"/>
      <w:r>
        <w:rPr>
          <w:rStyle w:val="CharSectno"/>
        </w:rPr>
        <w:t>7</w:t>
      </w:r>
      <w:r>
        <w:rPr>
          <w:snapToGrid w:val="0"/>
        </w:rPr>
        <w:t>.</w:t>
      </w:r>
      <w:r>
        <w:rPr>
          <w:snapToGrid w:val="0"/>
        </w:rPr>
        <w:tab/>
        <w:t>Management of Gold Corporation</w:t>
      </w:r>
      <w:bookmarkEnd w:id="1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3" w:name="_Toc187931881"/>
      <w:r>
        <w:rPr>
          <w:rStyle w:val="CharSectno"/>
        </w:rPr>
        <w:lastRenderedPageBreak/>
        <w:t>8A</w:t>
      </w:r>
      <w:r>
        <w:t>.</w:t>
      </w:r>
      <w:r>
        <w:tab/>
        <w:t>Remuneration of chief executive officer, deputy while Gold Corporation is not a Government entity</w:t>
      </w:r>
      <w:bookmarkEnd w:id="1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14" w:name="_Toc187931882"/>
      <w:r>
        <w:rPr>
          <w:rStyle w:val="CharSectno"/>
        </w:rPr>
        <w:t>8B</w:t>
      </w:r>
      <w:r>
        <w:t>.</w:t>
      </w:r>
      <w:r>
        <w:tab/>
        <w:t>Remuneration of chief executive officer, deputy while Gold Corporation is a Government entity</w:t>
      </w:r>
      <w:bookmarkEnd w:id="1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15" w:name="_Toc187931883"/>
      <w:r>
        <w:rPr>
          <w:rStyle w:val="CharSectno"/>
        </w:rPr>
        <w:t>8</w:t>
      </w:r>
      <w:r>
        <w:rPr>
          <w:snapToGrid w:val="0"/>
        </w:rPr>
        <w:t>.</w:t>
      </w:r>
      <w:r>
        <w:rPr>
          <w:snapToGrid w:val="0"/>
        </w:rPr>
        <w:tab/>
        <w:t>Power to appoint committees</w:t>
      </w:r>
      <w:bookmarkEnd w:id="15"/>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16" w:name="_Toc187931884"/>
      <w:r>
        <w:rPr>
          <w:rStyle w:val="CharSectno"/>
        </w:rPr>
        <w:t>9</w:t>
      </w:r>
      <w:r>
        <w:rPr>
          <w:snapToGrid w:val="0"/>
        </w:rPr>
        <w:t>.</w:t>
      </w:r>
      <w:r>
        <w:rPr>
          <w:snapToGrid w:val="0"/>
        </w:rPr>
        <w:tab/>
        <w:t>Power of Board to delegate</w:t>
      </w:r>
      <w:bookmarkEnd w:id="16"/>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lastRenderedPageBreak/>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17" w:name="_Toc187931885"/>
      <w:r>
        <w:rPr>
          <w:rStyle w:val="CharSectno"/>
        </w:rPr>
        <w:t>9A</w:t>
      </w:r>
      <w:r>
        <w:t>.</w:t>
      </w:r>
      <w:r>
        <w:tab/>
        <w:t>Duty to observe policy instruments</w:t>
      </w:r>
      <w:bookmarkEnd w:id="17"/>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18" w:name="_Toc187931886"/>
      <w:r>
        <w:rPr>
          <w:rStyle w:val="CharSectno"/>
        </w:rPr>
        <w:t>9B</w:t>
      </w:r>
      <w:r>
        <w:t>.</w:t>
      </w:r>
      <w:r>
        <w:tab/>
        <w:t>Strategic development plan and statement of corporate intent</w:t>
      </w:r>
      <w:bookmarkEnd w:id="18"/>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lastRenderedPageBreak/>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19" w:name="_Toc187931887"/>
      <w:r>
        <w:rPr>
          <w:rStyle w:val="CharSectno"/>
        </w:rPr>
        <w:t>9C</w:t>
      </w:r>
      <w:r>
        <w:t>.</w:t>
      </w:r>
      <w:r>
        <w:tab/>
        <w:t>Laying directions about strategic development plan or statement of corporate intent before Parliament</w:t>
      </w:r>
      <w:bookmarkEnd w:id="19"/>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20" w:name="_Toc187915247"/>
      <w:bookmarkStart w:id="21" w:name="_Toc187931888"/>
      <w:r>
        <w:rPr>
          <w:rStyle w:val="CharPartNo"/>
        </w:rPr>
        <w:lastRenderedPageBreak/>
        <w:t>Part III</w:t>
      </w:r>
      <w:r>
        <w:rPr>
          <w:rStyle w:val="CharDivNo"/>
        </w:rPr>
        <w:t> </w:t>
      </w:r>
      <w:r>
        <w:t>—</w:t>
      </w:r>
      <w:r>
        <w:rPr>
          <w:rStyle w:val="CharDivText"/>
        </w:rPr>
        <w:t> </w:t>
      </w:r>
      <w:r>
        <w:rPr>
          <w:rStyle w:val="CharPartText"/>
        </w:rPr>
        <w:t>Functions of Gold Corporation</w:t>
      </w:r>
      <w:bookmarkEnd w:id="20"/>
      <w:bookmarkEnd w:id="21"/>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22" w:name="_Toc187931889"/>
      <w:r>
        <w:rPr>
          <w:rStyle w:val="CharSectno"/>
        </w:rPr>
        <w:t>10</w:t>
      </w:r>
      <w:r>
        <w:rPr>
          <w:snapToGrid w:val="0"/>
        </w:rPr>
        <w:t>.</w:t>
      </w:r>
      <w:r>
        <w:rPr>
          <w:snapToGrid w:val="0"/>
        </w:rPr>
        <w:tab/>
        <w:t>General functions of Gold Corporation</w:t>
      </w:r>
      <w:bookmarkEnd w:id="22"/>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23" w:name="_Toc187931890"/>
      <w:r>
        <w:rPr>
          <w:rStyle w:val="CharSectno"/>
        </w:rPr>
        <w:t>11</w:t>
      </w:r>
      <w:r>
        <w:rPr>
          <w:snapToGrid w:val="0"/>
        </w:rPr>
        <w:t>.</w:t>
      </w:r>
      <w:r>
        <w:rPr>
          <w:snapToGrid w:val="0"/>
        </w:rPr>
        <w:tab/>
        <w:t>Powers of Gold Corporation</w:t>
      </w:r>
      <w:bookmarkEnd w:id="23"/>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24" w:name="_Toc187931891"/>
      <w:r>
        <w:rPr>
          <w:rStyle w:val="CharSectno"/>
        </w:rPr>
        <w:t>13</w:t>
      </w:r>
      <w:r>
        <w:rPr>
          <w:snapToGrid w:val="0"/>
        </w:rPr>
        <w:t>.</w:t>
      </w:r>
      <w:r>
        <w:rPr>
          <w:snapToGrid w:val="0"/>
        </w:rPr>
        <w:tab/>
        <w:t>Power to act as agent for Commonwealth or States</w:t>
      </w:r>
      <w:bookmarkEnd w:id="24"/>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25" w:name="_Toc187915251"/>
      <w:bookmarkStart w:id="26" w:name="_Toc187931892"/>
      <w:r>
        <w:rPr>
          <w:rStyle w:val="CharPartNo"/>
        </w:rPr>
        <w:lastRenderedPageBreak/>
        <w:t>Part IV</w:t>
      </w:r>
      <w:r>
        <w:rPr>
          <w:rStyle w:val="CharDivNo"/>
        </w:rPr>
        <w:t> </w:t>
      </w:r>
      <w:r>
        <w:t>—</w:t>
      </w:r>
      <w:r>
        <w:rPr>
          <w:rStyle w:val="CharDivText"/>
        </w:rPr>
        <w:t> </w:t>
      </w:r>
      <w:r>
        <w:rPr>
          <w:rStyle w:val="CharPartText"/>
        </w:rPr>
        <w:t>Financial provisions of Gold Corporation</w:t>
      </w:r>
      <w:bookmarkEnd w:id="25"/>
      <w:bookmarkEnd w:id="26"/>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27" w:name="_Toc187931893"/>
      <w:r>
        <w:rPr>
          <w:rStyle w:val="CharSectno"/>
        </w:rPr>
        <w:t>15</w:t>
      </w:r>
      <w:r>
        <w:rPr>
          <w:snapToGrid w:val="0"/>
        </w:rPr>
        <w:t>.</w:t>
      </w:r>
      <w:r>
        <w:rPr>
          <w:snapToGrid w:val="0"/>
        </w:rPr>
        <w:tab/>
        <w:t>Capital of Gold Corporation</w:t>
      </w:r>
      <w:bookmarkEnd w:id="27"/>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 xml:space="preserve">The Treasurer is authorised, on transferring to Gold Corporation the shares in Gold Bank at par in accordance with subsection (2) </w:t>
      </w:r>
      <w:r>
        <w:rPr>
          <w:snapToGrid w:val="0"/>
        </w:rPr>
        <w:lastRenderedPageBreak/>
        <w:t>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28" w:name="_Toc187931894"/>
      <w:r>
        <w:rPr>
          <w:rStyle w:val="CharSectno"/>
        </w:rPr>
        <w:t>16</w:t>
      </w:r>
      <w:r>
        <w:rPr>
          <w:snapToGrid w:val="0"/>
        </w:rPr>
        <w:t>.</w:t>
      </w:r>
      <w:r>
        <w:rPr>
          <w:snapToGrid w:val="0"/>
        </w:rPr>
        <w:tab/>
        <w:t>Share issues</w:t>
      </w:r>
      <w:bookmarkEnd w:id="28"/>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lastRenderedPageBreak/>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lastRenderedPageBreak/>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29" w:name="_Toc187931895"/>
      <w:r>
        <w:rPr>
          <w:rStyle w:val="CharSectno"/>
        </w:rPr>
        <w:t>18</w:t>
      </w:r>
      <w:r>
        <w:rPr>
          <w:snapToGrid w:val="0"/>
        </w:rPr>
        <w:t>.</w:t>
      </w:r>
      <w:r>
        <w:rPr>
          <w:snapToGrid w:val="0"/>
        </w:rPr>
        <w:tab/>
        <w:t>Borrowing from Treasurer</w:t>
      </w:r>
      <w:bookmarkEnd w:id="29"/>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30" w:name="_Toc187931896"/>
      <w:r>
        <w:rPr>
          <w:rStyle w:val="CharSectno"/>
        </w:rPr>
        <w:t>21</w:t>
      </w:r>
      <w:r>
        <w:rPr>
          <w:snapToGrid w:val="0"/>
        </w:rPr>
        <w:t>.</w:t>
      </w:r>
      <w:r>
        <w:rPr>
          <w:snapToGrid w:val="0"/>
        </w:rPr>
        <w:tab/>
        <w:t>Application of profits</w:t>
      </w:r>
      <w:bookmarkEnd w:id="30"/>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 xml:space="preserve">shall determine the amount, if any, that is to be paid by Gold Corporation by way of dividend to shareholders from </w:t>
      </w:r>
      <w:r>
        <w:rPr>
          <w:snapToGrid w:val="0"/>
        </w:rPr>
        <w:lastRenderedPageBreak/>
        <w:t>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31" w:name="_Toc187931897"/>
      <w:r>
        <w:rPr>
          <w:rStyle w:val="CharSectno"/>
        </w:rPr>
        <w:t>22</w:t>
      </w:r>
      <w:r>
        <w:rPr>
          <w:snapToGrid w:val="0"/>
        </w:rPr>
        <w:t>.</w:t>
      </w:r>
      <w:r>
        <w:rPr>
          <w:snapToGrid w:val="0"/>
        </w:rPr>
        <w:tab/>
        <w:t>Guarantee by Treasurer</w:t>
      </w:r>
      <w:bookmarkEnd w:id="31"/>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lastRenderedPageBreak/>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lastRenderedPageBreak/>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32" w:name="_Toc187931898"/>
      <w:r>
        <w:rPr>
          <w:rStyle w:val="CharSectno"/>
        </w:rPr>
        <w:t>23</w:t>
      </w:r>
      <w:r>
        <w:t>.</w:t>
      </w:r>
      <w:r>
        <w:tab/>
        <w:t>Charges for guarantee</w:t>
      </w:r>
      <w:bookmarkEnd w:id="32"/>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33" w:name="_Toc187915258"/>
      <w:bookmarkStart w:id="34" w:name="_Toc187931899"/>
      <w:r>
        <w:rPr>
          <w:rStyle w:val="CharPartNo"/>
        </w:rPr>
        <w:lastRenderedPageBreak/>
        <w:t>Part VI</w:t>
      </w:r>
      <w:r>
        <w:t> — </w:t>
      </w:r>
      <w:r>
        <w:rPr>
          <w:rStyle w:val="CharPartText"/>
        </w:rPr>
        <w:t>Western Australian Mint</w:t>
      </w:r>
      <w:bookmarkEnd w:id="33"/>
      <w:bookmarkEnd w:id="34"/>
    </w:p>
    <w:p>
      <w:pPr>
        <w:pStyle w:val="Heading3"/>
        <w:rPr>
          <w:snapToGrid w:val="0"/>
        </w:rPr>
      </w:pPr>
      <w:bookmarkStart w:id="35" w:name="_Toc187915259"/>
      <w:bookmarkStart w:id="36" w:name="_Toc187931900"/>
      <w:r>
        <w:rPr>
          <w:rStyle w:val="CharDivNo"/>
        </w:rPr>
        <w:t>Division 1</w:t>
      </w:r>
      <w:r>
        <w:rPr>
          <w:snapToGrid w:val="0"/>
        </w:rPr>
        <w:t> — </w:t>
      </w:r>
      <w:r>
        <w:rPr>
          <w:rStyle w:val="CharDivText"/>
        </w:rPr>
        <w:t>Constitution of the Mint</w:t>
      </w:r>
      <w:bookmarkEnd w:id="35"/>
      <w:bookmarkEnd w:id="36"/>
      <w:r>
        <w:rPr>
          <w:rStyle w:val="CharDivText"/>
        </w:rPr>
        <w:t xml:space="preserve"> </w:t>
      </w:r>
    </w:p>
    <w:p>
      <w:pPr>
        <w:pStyle w:val="Heading5"/>
        <w:rPr>
          <w:snapToGrid w:val="0"/>
        </w:rPr>
      </w:pPr>
      <w:bookmarkStart w:id="37" w:name="_Toc187931901"/>
      <w:r>
        <w:rPr>
          <w:rStyle w:val="CharSectno"/>
        </w:rPr>
        <w:t>35</w:t>
      </w:r>
      <w:r>
        <w:rPr>
          <w:snapToGrid w:val="0"/>
        </w:rPr>
        <w:t>.</w:t>
      </w:r>
      <w:r>
        <w:rPr>
          <w:snapToGrid w:val="0"/>
        </w:rPr>
        <w:tab/>
        <w:t>Constitution of the Mint</w:t>
      </w:r>
      <w:bookmarkEnd w:id="37"/>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38" w:name="_Toc187931902"/>
      <w:r>
        <w:rPr>
          <w:rStyle w:val="CharSectno"/>
        </w:rPr>
        <w:lastRenderedPageBreak/>
        <w:t>36</w:t>
      </w:r>
      <w:r>
        <w:rPr>
          <w:snapToGrid w:val="0"/>
        </w:rPr>
        <w:t>.</w:t>
      </w:r>
      <w:r>
        <w:rPr>
          <w:snapToGrid w:val="0"/>
        </w:rPr>
        <w:tab/>
        <w:t>Functions of the Mint</w:t>
      </w:r>
      <w:bookmarkEnd w:id="38"/>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39" w:name="_Toc187931903"/>
      <w:r>
        <w:rPr>
          <w:rStyle w:val="CharSectno"/>
        </w:rPr>
        <w:t>37</w:t>
      </w:r>
      <w:r>
        <w:rPr>
          <w:snapToGrid w:val="0"/>
        </w:rPr>
        <w:t>.</w:t>
      </w:r>
      <w:r>
        <w:rPr>
          <w:snapToGrid w:val="0"/>
        </w:rPr>
        <w:tab/>
        <w:t>Powers of the Mint</w:t>
      </w:r>
      <w:bookmarkEnd w:id="39"/>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40" w:name="_Toc187931904"/>
      <w:r>
        <w:rPr>
          <w:rStyle w:val="CharSectno"/>
        </w:rPr>
        <w:t>38</w:t>
      </w:r>
      <w:r>
        <w:rPr>
          <w:snapToGrid w:val="0"/>
        </w:rPr>
        <w:t>.</w:t>
      </w:r>
      <w:r>
        <w:rPr>
          <w:snapToGrid w:val="0"/>
        </w:rPr>
        <w:tab/>
        <w:t>Prescribed symbols</w:t>
      </w:r>
      <w:bookmarkEnd w:id="40"/>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41" w:name="_Toc187931905"/>
      <w:r>
        <w:rPr>
          <w:rStyle w:val="CharSectno"/>
        </w:rPr>
        <w:t>39</w:t>
      </w:r>
      <w:r>
        <w:rPr>
          <w:snapToGrid w:val="0"/>
        </w:rPr>
        <w:t>.</w:t>
      </w:r>
      <w:r>
        <w:rPr>
          <w:snapToGrid w:val="0"/>
        </w:rPr>
        <w:tab/>
        <w:t>Branches of the Mint</w:t>
      </w:r>
      <w:bookmarkEnd w:id="4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42" w:name="_Toc187931906"/>
      <w:r>
        <w:rPr>
          <w:rStyle w:val="CharSectno"/>
        </w:rPr>
        <w:t>40</w:t>
      </w:r>
      <w:r>
        <w:rPr>
          <w:snapToGrid w:val="0"/>
        </w:rPr>
        <w:t>.</w:t>
      </w:r>
      <w:r>
        <w:rPr>
          <w:snapToGrid w:val="0"/>
        </w:rPr>
        <w:tab/>
        <w:t>Managing director of the Mint</w:t>
      </w:r>
      <w:bookmarkEnd w:id="42"/>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43" w:name="_Toc187931907"/>
      <w:r>
        <w:rPr>
          <w:rStyle w:val="CharSectno"/>
        </w:rPr>
        <w:t>41A</w:t>
      </w:r>
      <w:r>
        <w:t>.</w:t>
      </w:r>
      <w:r>
        <w:tab/>
        <w:t>Remuneration of managing director while Mint is not a Government entity</w:t>
      </w:r>
      <w:bookmarkEnd w:id="4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44" w:name="_Toc187931908"/>
      <w:r>
        <w:rPr>
          <w:rStyle w:val="CharSectno"/>
        </w:rPr>
        <w:lastRenderedPageBreak/>
        <w:t>41B</w:t>
      </w:r>
      <w:r>
        <w:t>.</w:t>
      </w:r>
      <w:r>
        <w:tab/>
        <w:t>Remuneration of managing director while Mint is a Government entity</w:t>
      </w:r>
      <w:bookmarkEnd w:id="4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45" w:name="_Toc187931909"/>
      <w:r>
        <w:rPr>
          <w:rStyle w:val="CharSectno"/>
        </w:rPr>
        <w:t>41</w:t>
      </w:r>
      <w:r>
        <w:rPr>
          <w:snapToGrid w:val="0"/>
        </w:rPr>
        <w:t>.</w:t>
      </w:r>
      <w:r>
        <w:rPr>
          <w:snapToGrid w:val="0"/>
        </w:rPr>
        <w:tab/>
        <w:t>Employment by the Mint of staff and consultants</w:t>
      </w:r>
      <w:bookmarkEnd w:id="45"/>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46" w:name="_Toc187915269"/>
      <w:bookmarkStart w:id="47" w:name="_Toc187931910"/>
      <w:r>
        <w:rPr>
          <w:rStyle w:val="CharDivNo"/>
        </w:rPr>
        <w:t>Division 2</w:t>
      </w:r>
      <w:r>
        <w:rPr>
          <w:snapToGrid w:val="0"/>
        </w:rPr>
        <w:t> — </w:t>
      </w:r>
      <w:r>
        <w:rPr>
          <w:rStyle w:val="CharDivText"/>
        </w:rPr>
        <w:t>Financial provisions of the Mint</w:t>
      </w:r>
      <w:bookmarkEnd w:id="46"/>
      <w:bookmarkEnd w:id="47"/>
      <w:r>
        <w:rPr>
          <w:rStyle w:val="CharDivText"/>
        </w:rPr>
        <w:t xml:space="preserve"> </w:t>
      </w:r>
    </w:p>
    <w:p>
      <w:pPr>
        <w:pStyle w:val="Heading5"/>
        <w:rPr>
          <w:snapToGrid w:val="0"/>
        </w:rPr>
      </w:pPr>
      <w:bookmarkStart w:id="48" w:name="_Toc187931911"/>
      <w:r>
        <w:rPr>
          <w:rStyle w:val="CharSectno"/>
        </w:rPr>
        <w:t>42</w:t>
      </w:r>
      <w:r>
        <w:rPr>
          <w:snapToGrid w:val="0"/>
        </w:rPr>
        <w:t>.</w:t>
      </w:r>
      <w:r>
        <w:rPr>
          <w:snapToGrid w:val="0"/>
        </w:rPr>
        <w:tab/>
        <w:t>Moneys available to the Mint</w:t>
      </w:r>
      <w:bookmarkEnd w:id="48"/>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49" w:name="_Toc187931912"/>
      <w:r>
        <w:rPr>
          <w:rStyle w:val="CharSectno"/>
        </w:rPr>
        <w:t>43</w:t>
      </w:r>
      <w:r>
        <w:rPr>
          <w:snapToGrid w:val="0"/>
        </w:rPr>
        <w:t>.</w:t>
      </w:r>
      <w:r>
        <w:rPr>
          <w:snapToGrid w:val="0"/>
        </w:rPr>
        <w:tab/>
        <w:t>Recovery of fees and charges</w:t>
      </w:r>
      <w:bookmarkEnd w:id="49"/>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50" w:name="_Toc187931913"/>
      <w:r>
        <w:rPr>
          <w:rStyle w:val="CharSectno"/>
        </w:rPr>
        <w:t>44</w:t>
      </w:r>
      <w:r>
        <w:rPr>
          <w:snapToGrid w:val="0"/>
        </w:rPr>
        <w:t>.</w:t>
      </w:r>
      <w:r>
        <w:rPr>
          <w:snapToGrid w:val="0"/>
        </w:rPr>
        <w:tab/>
        <w:t>Payments to Gold Corporation</w:t>
      </w:r>
      <w:bookmarkEnd w:id="50"/>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51" w:name="_Toc187915273"/>
      <w:bookmarkStart w:id="52" w:name="_Toc187931914"/>
      <w:r>
        <w:rPr>
          <w:rStyle w:val="CharDivNo"/>
        </w:rPr>
        <w:t>Division 3</w:t>
      </w:r>
      <w:r>
        <w:rPr>
          <w:snapToGrid w:val="0"/>
        </w:rPr>
        <w:t> — </w:t>
      </w:r>
      <w:r>
        <w:rPr>
          <w:rStyle w:val="CharDivText"/>
        </w:rPr>
        <w:t>Security provisions</w:t>
      </w:r>
      <w:bookmarkEnd w:id="51"/>
      <w:bookmarkEnd w:id="52"/>
      <w:r>
        <w:rPr>
          <w:rStyle w:val="CharDivText"/>
        </w:rPr>
        <w:t xml:space="preserve"> </w:t>
      </w:r>
    </w:p>
    <w:p>
      <w:pPr>
        <w:pStyle w:val="Heading5"/>
        <w:rPr>
          <w:snapToGrid w:val="0"/>
        </w:rPr>
      </w:pPr>
      <w:bookmarkStart w:id="53" w:name="_Toc187931915"/>
      <w:r>
        <w:rPr>
          <w:rStyle w:val="CharSectno"/>
        </w:rPr>
        <w:t>45</w:t>
      </w:r>
      <w:r>
        <w:rPr>
          <w:snapToGrid w:val="0"/>
        </w:rPr>
        <w:t>.</w:t>
      </w:r>
      <w:r>
        <w:rPr>
          <w:snapToGrid w:val="0"/>
        </w:rPr>
        <w:tab/>
        <w:t>Title to gold and other residues</w:t>
      </w:r>
      <w:bookmarkEnd w:id="5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54" w:name="_Toc187931916"/>
      <w:r>
        <w:rPr>
          <w:rStyle w:val="CharSectno"/>
        </w:rPr>
        <w:t>46</w:t>
      </w:r>
      <w:r>
        <w:rPr>
          <w:snapToGrid w:val="0"/>
        </w:rPr>
        <w:t>.</w:t>
      </w:r>
      <w:r>
        <w:rPr>
          <w:snapToGrid w:val="0"/>
        </w:rPr>
        <w:tab/>
        <w:t>Detention of suspects</w:t>
      </w:r>
      <w:bookmarkEnd w:id="54"/>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w:t>
      </w:r>
      <w:r>
        <w:rPr>
          <w:snapToGrid w:val="0"/>
        </w:rPr>
        <w:lastRenderedPageBreak/>
        <w:t xml:space="preserve">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55" w:name="_Toc187931917"/>
      <w:r>
        <w:rPr>
          <w:rStyle w:val="CharSectno"/>
        </w:rPr>
        <w:t>47</w:t>
      </w:r>
      <w:r>
        <w:rPr>
          <w:snapToGrid w:val="0"/>
        </w:rPr>
        <w:t>.</w:t>
      </w:r>
      <w:r>
        <w:rPr>
          <w:snapToGrid w:val="0"/>
        </w:rPr>
        <w:tab/>
        <w:t>Protection of the Mint name, symbol etc.</w:t>
      </w:r>
      <w:bookmarkEnd w:id="55"/>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 xml:space="preserve">sells, offers for sale, exposes for sale, or otherwise has in his possession for sale, goods or securities to which the </w:t>
      </w:r>
      <w:r>
        <w:rPr>
          <w:snapToGrid w:val="0"/>
        </w:rPr>
        <w:lastRenderedPageBreak/>
        <w:t>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 xml:space="preserve">The conviction of a person for an offence against this section in respect of the use of a name, abbreviation of a name, or prescribed symbol does not prevent a further conviction of that person in respect of the use of that name, abbreviation or </w:t>
      </w:r>
      <w:r>
        <w:rPr>
          <w:snapToGrid w:val="0"/>
        </w:rPr>
        <w:lastRenderedPageBreak/>
        <w:t>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lastRenderedPageBreak/>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56" w:name="_Toc187915277"/>
      <w:bookmarkStart w:id="57" w:name="_Toc187931918"/>
      <w:r>
        <w:rPr>
          <w:rStyle w:val="CharPartNo"/>
        </w:rPr>
        <w:lastRenderedPageBreak/>
        <w:t>Part VII</w:t>
      </w:r>
      <w:r>
        <w:rPr>
          <w:rStyle w:val="CharDivNo"/>
        </w:rPr>
        <w:t> </w:t>
      </w:r>
      <w:r>
        <w:t>—</w:t>
      </w:r>
      <w:r>
        <w:rPr>
          <w:rStyle w:val="CharDivText"/>
        </w:rPr>
        <w:t> </w:t>
      </w:r>
      <w:r>
        <w:rPr>
          <w:rStyle w:val="CharPartText"/>
        </w:rPr>
        <w:t>GoldCorp Australia</w:t>
      </w:r>
      <w:bookmarkEnd w:id="56"/>
      <w:bookmarkEnd w:id="57"/>
      <w:r>
        <w:rPr>
          <w:rStyle w:val="CharPartText"/>
        </w:rPr>
        <w:t xml:space="preserve"> </w:t>
      </w:r>
    </w:p>
    <w:p>
      <w:pPr>
        <w:pStyle w:val="Heading5"/>
        <w:rPr>
          <w:snapToGrid w:val="0"/>
        </w:rPr>
      </w:pPr>
      <w:bookmarkStart w:id="58" w:name="_Toc187931919"/>
      <w:r>
        <w:rPr>
          <w:rStyle w:val="CharSectno"/>
        </w:rPr>
        <w:t>48</w:t>
      </w:r>
      <w:r>
        <w:rPr>
          <w:snapToGrid w:val="0"/>
        </w:rPr>
        <w:t>.</w:t>
      </w:r>
      <w:r>
        <w:rPr>
          <w:snapToGrid w:val="0"/>
        </w:rPr>
        <w:tab/>
        <w:t>Constitution of GoldCorp Australia as a body corporate</w:t>
      </w:r>
      <w:bookmarkEnd w:id="58"/>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w:t>
      </w:r>
      <w:r>
        <w:lastRenderedPageBreak/>
        <w:t>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59" w:name="_Toc187931920"/>
      <w:r>
        <w:rPr>
          <w:rStyle w:val="CharSectno"/>
        </w:rPr>
        <w:t>49</w:t>
      </w:r>
      <w:r>
        <w:rPr>
          <w:snapToGrid w:val="0"/>
        </w:rPr>
        <w:t>.</w:t>
      </w:r>
      <w:r>
        <w:rPr>
          <w:snapToGrid w:val="0"/>
        </w:rPr>
        <w:tab/>
        <w:t>Functions of GoldCorp</w:t>
      </w:r>
      <w:bookmarkEnd w:id="59"/>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60" w:name="_Toc187931921"/>
      <w:r>
        <w:rPr>
          <w:rStyle w:val="CharSectno"/>
        </w:rPr>
        <w:t>50</w:t>
      </w:r>
      <w:r>
        <w:rPr>
          <w:snapToGrid w:val="0"/>
        </w:rPr>
        <w:t>.</w:t>
      </w:r>
      <w:r>
        <w:rPr>
          <w:snapToGrid w:val="0"/>
        </w:rPr>
        <w:tab/>
        <w:t>Powers of GoldCorp</w:t>
      </w:r>
      <w:bookmarkEnd w:id="60"/>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61" w:name="_Toc187931922"/>
      <w:r>
        <w:rPr>
          <w:rStyle w:val="CharSectno"/>
        </w:rPr>
        <w:t>51</w:t>
      </w:r>
      <w:r>
        <w:rPr>
          <w:snapToGrid w:val="0"/>
        </w:rPr>
        <w:t>.</w:t>
      </w:r>
      <w:r>
        <w:rPr>
          <w:snapToGrid w:val="0"/>
        </w:rPr>
        <w:tab/>
        <w:t>Managing director of GoldCorp</w:t>
      </w:r>
      <w:bookmarkEnd w:id="6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lastRenderedPageBreak/>
        <w:tab/>
        <w:t>[Section 51 amended: No. 28 of 2006 s. 422; No. 46 of 2016 s. 20.]</w:t>
      </w:r>
    </w:p>
    <w:p>
      <w:pPr>
        <w:pStyle w:val="Heading5"/>
      </w:pPr>
      <w:bookmarkStart w:id="62" w:name="_Toc187931923"/>
      <w:r>
        <w:rPr>
          <w:rStyle w:val="CharSectno"/>
        </w:rPr>
        <w:t>52A</w:t>
      </w:r>
      <w:r>
        <w:t>.</w:t>
      </w:r>
      <w:r>
        <w:tab/>
        <w:t>Remuneration of managing director while GoldCorp is not a Government entity</w:t>
      </w:r>
      <w:bookmarkEnd w:id="6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63" w:name="_Toc187931924"/>
      <w:r>
        <w:rPr>
          <w:rStyle w:val="CharSectno"/>
        </w:rPr>
        <w:t>52B</w:t>
      </w:r>
      <w:r>
        <w:t>.</w:t>
      </w:r>
      <w:r>
        <w:tab/>
        <w:t>Remuneration of managing director while GoldCorp is a Government entity</w:t>
      </w:r>
      <w:bookmarkEnd w:id="63"/>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64" w:name="_Toc187931925"/>
      <w:r>
        <w:rPr>
          <w:rStyle w:val="CharSectno"/>
        </w:rPr>
        <w:t>52</w:t>
      </w:r>
      <w:r>
        <w:rPr>
          <w:snapToGrid w:val="0"/>
        </w:rPr>
        <w:t>.</w:t>
      </w:r>
      <w:r>
        <w:rPr>
          <w:snapToGrid w:val="0"/>
        </w:rPr>
        <w:tab/>
        <w:t>Employment by GoldCorp of staff and consultants</w:t>
      </w:r>
      <w:bookmarkEnd w:id="64"/>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w:t>
      </w:r>
      <w:r>
        <w:t xml:space="preserve">the </w:t>
      </w:r>
      <w:r>
        <w:rPr>
          <w:i/>
          <w:iCs/>
        </w:rPr>
        <w:t>Industrial Relations Act 1979</w:t>
      </w:r>
      <w:r>
        <w:t xml:space="preserve"> Part II Division 2AA.</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No. 43 of 2024 s. 157(2).] </w:t>
      </w:r>
    </w:p>
    <w:p>
      <w:pPr>
        <w:pStyle w:val="Heading5"/>
        <w:rPr>
          <w:snapToGrid w:val="0"/>
        </w:rPr>
      </w:pPr>
      <w:bookmarkStart w:id="65" w:name="_Toc187931926"/>
      <w:r>
        <w:rPr>
          <w:rStyle w:val="CharSectno"/>
        </w:rPr>
        <w:t>53</w:t>
      </w:r>
      <w:r>
        <w:rPr>
          <w:snapToGrid w:val="0"/>
        </w:rPr>
        <w:t>.</w:t>
      </w:r>
      <w:r>
        <w:rPr>
          <w:snapToGrid w:val="0"/>
        </w:rPr>
        <w:tab/>
        <w:t>Payments to Gold Corporation</w:t>
      </w:r>
      <w:bookmarkEnd w:id="65"/>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66" w:name="_Toc187915286"/>
      <w:bookmarkStart w:id="67" w:name="_Toc187931927"/>
      <w:r>
        <w:rPr>
          <w:rStyle w:val="CharPartNo"/>
        </w:rPr>
        <w:lastRenderedPageBreak/>
        <w:t>Part VIII</w:t>
      </w:r>
      <w:r>
        <w:rPr>
          <w:rStyle w:val="CharDivNo"/>
        </w:rPr>
        <w:t> </w:t>
      </w:r>
      <w:r>
        <w:t>—</w:t>
      </w:r>
      <w:r>
        <w:rPr>
          <w:rStyle w:val="CharDivText"/>
        </w:rPr>
        <w:t> </w:t>
      </w:r>
      <w:r>
        <w:rPr>
          <w:rStyle w:val="CharPartText"/>
        </w:rPr>
        <w:t>Accounts and audit</w:t>
      </w:r>
      <w:bookmarkEnd w:id="66"/>
      <w:bookmarkEnd w:id="67"/>
      <w:r>
        <w:rPr>
          <w:rStyle w:val="CharPartText"/>
        </w:rPr>
        <w:t xml:space="preserve"> </w:t>
      </w:r>
    </w:p>
    <w:p>
      <w:pPr>
        <w:pStyle w:val="Heading5"/>
        <w:rPr>
          <w:snapToGrid w:val="0"/>
        </w:rPr>
      </w:pPr>
      <w:bookmarkStart w:id="68" w:name="_Toc187931928"/>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69" w:name="_Toc187931929"/>
      <w:r>
        <w:rPr>
          <w:rStyle w:val="CharSectno"/>
        </w:rPr>
        <w:t>55</w:t>
      </w:r>
      <w:r>
        <w:rPr>
          <w:snapToGrid w:val="0"/>
        </w:rPr>
        <w:t>.</w:t>
      </w:r>
      <w:r>
        <w:rPr>
          <w:snapToGrid w:val="0"/>
        </w:rPr>
        <w:tab/>
        <w:t>Funding</w:t>
      </w:r>
      <w:bookmarkEnd w:id="69"/>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70" w:name="_Toc187915289"/>
      <w:bookmarkStart w:id="71" w:name="_Toc187931930"/>
      <w:r>
        <w:rPr>
          <w:rStyle w:val="CharPartNo"/>
        </w:rPr>
        <w:lastRenderedPageBreak/>
        <w:t>Part IX</w:t>
      </w:r>
      <w:r>
        <w:rPr>
          <w:rStyle w:val="CharDivNo"/>
        </w:rPr>
        <w:t> </w:t>
      </w:r>
      <w:r>
        <w:t>—</w:t>
      </w:r>
      <w:r>
        <w:rPr>
          <w:rStyle w:val="CharDivText"/>
        </w:rPr>
        <w:t> </w:t>
      </w:r>
      <w:r>
        <w:rPr>
          <w:rStyle w:val="CharPartText"/>
        </w:rPr>
        <w:t>Miscellaneous matters</w:t>
      </w:r>
      <w:bookmarkEnd w:id="70"/>
      <w:bookmarkEnd w:id="71"/>
      <w:r>
        <w:rPr>
          <w:rStyle w:val="CharPartText"/>
        </w:rPr>
        <w:t xml:space="preserve"> </w:t>
      </w:r>
    </w:p>
    <w:p>
      <w:pPr>
        <w:pStyle w:val="Heading5"/>
        <w:rPr>
          <w:snapToGrid w:val="0"/>
        </w:rPr>
      </w:pPr>
      <w:bookmarkStart w:id="72" w:name="_Toc187931931"/>
      <w:r>
        <w:rPr>
          <w:rStyle w:val="CharSectno"/>
        </w:rPr>
        <w:t>67</w:t>
      </w:r>
      <w:r>
        <w:rPr>
          <w:snapToGrid w:val="0"/>
        </w:rPr>
        <w:t>.</w:t>
      </w:r>
      <w:r>
        <w:rPr>
          <w:snapToGrid w:val="0"/>
        </w:rPr>
        <w:tab/>
        <w:t>Title to gold etc.</w:t>
      </w:r>
      <w:bookmarkEnd w:id="72"/>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73" w:name="_Toc187931932"/>
      <w:r>
        <w:rPr>
          <w:rStyle w:val="CharSectno"/>
        </w:rPr>
        <w:lastRenderedPageBreak/>
        <w:t>68</w:t>
      </w:r>
      <w:r>
        <w:rPr>
          <w:snapToGrid w:val="0"/>
        </w:rPr>
        <w:t>.</w:t>
      </w:r>
      <w:r>
        <w:rPr>
          <w:snapToGrid w:val="0"/>
        </w:rPr>
        <w:tab/>
        <w:t>Employment by Gold Corporation of staff and consultants</w:t>
      </w:r>
      <w:bookmarkEnd w:id="73"/>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w:t>
      </w:r>
      <w:r>
        <w:t xml:space="preserve">the </w:t>
      </w:r>
      <w:r>
        <w:rPr>
          <w:i/>
          <w:iCs/>
        </w:rPr>
        <w:t>Industrial Relations Act 1979</w:t>
      </w:r>
      <w:r>
        <w:t xml:space="preserve"> Part II Division 2AA.</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No. 43 of 2024 s. 157(3).] </w:t>
      </w:r>
    </w:p>
    <w:p>
      <w:pPr>
        <w:pStyle w:val="Heading5"/>
        <w:spacing w:before="180"/>
        <w:rPr>
          <w:snapToGrid w:val="0"/>
        </w:rPr>
      </w:pPr>
      <w:bookmarkStart w:id="74" w:name="_Toc187931933"/>
      <w:r>
        <w:rPr>
          <w:rStyle w:val="CharSectno"/>
        </w:rPr>
        <w:t>69</w:t>
      </w:r>
      <w:r>
        <w:rPr>
          <w:snapToGrid w:val="0"/>
        </w:rPr>
        <w:t>.</w:t>
      </w:r>
      <w:r>
        <w:rPr>
          <w:snapToGrid w:val="0"/>
        </w:rPr>
        <w:tab/>
        <w:t>Use of staff and facilities of departments and instrumentalities etc.</w:t>
      </w:r>
      <w:bookmarkEnd w:id="74"/>
      <w:r>
        <w:rPr>
          <w:snapToGrid w:val="0"/>
        </w:rPr>
        <w:t xml:space="preserve"> </w:t>
      </w:r>
    </w:p>
    <w:p>
      <w:pPr>
        <w:pStyle w:val="Subsection"/>
        <w:keepNext/>
        <w:spacing w:before="120"/>
        <w:rPr>
          <w:snapToGrid w:val="0"/>
        </w:rPr>
      </w:pPr>
      <w:r>
        <w:rPr>
          <w:snapToGrid w:val="0"/>
        </w:rPr>
        <w:tab/>
        <w:t>(1)</w:t>
      </w:r>
      <w:r>
        <w:rPr>
          <w:snapToGrid w:val="0"/>
        </w:rPr>
        <w:tab/>
        <w:t xml:space="preserve">Gold Corporation and any of its subsidiaries may, by arrangement made between the Board and the Minister </w:t>
      </w:r>
      <w:r>
        <w:rPr>
          <w:snapToGrid w:val="0"/>
        </w:rPr>
        <w:lastRenderedPageBreak/>
        <w:t>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75" w:name="_Toc187931934"/>
      <w:r>
        <w:rPr>
          <w:rStyle w:val="CharSectno"/>
        </w:rPr>
        <w:t>70</w:t>
      </w:r>
      <w:r>
        <w:rPr>
          <w:snapToGrid w:val="0"/>
        </w:rPr>
        <w:t>.</w:t>
      </w:r>
      <w:r>
        <w:rPr>
          <w:snapToGrid w:val="0"/>
        </w:rPr>
        <w:tab/>
        <w:t>Superannuation</w:t>
      </w:r>
      <w:bookmarkEnd w:id="75"/>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76" w:name="_Toc187931935"/>
      <w:r>
        <w:rPr>
          <w:rStyle w:val="CharSectno"/>
        </w:rPr>
        <w:lastRenderedPageBreak/>
        <w:t>71</w:t>
      </w:r>
      <w:r>
        <w:rPr>
          <w:snapToGrid w:val="0"/>
        </w:rPr>
        <w:t>.</w:t>
      </w:r>
      <w:r>
        <w:rPr>
          <w:snapToGrid w:val="0"/>
        </w:rPr>
        <w:tab/>
        <w:t>Duty and liability of directors</w:t>
      </w:r>
      <w:bookmarkEnd w:id="76"/>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77" w:name="_Toc187931936"/>
      <w:r>
        <w:rPr>
          <w:rStyle w:val="CharSectno"/>
        </w:rPr>
        <w:t>72</w:t>
      </w:r>
      <w:r>
        <w:rPr>
          <w:snapToGrid w:val="0"/>
        </w:rPr>
        <w:t>.</w:t>
      </w:r>
      <w:r>
        <w:rPr>
          <w:snapToGrid w:val="0"/>
        </w:rPr>
        <w:tab/>
        <w:t>Improper use of position or information</w:t>
      </w:r>
      <w:bookmarkEnd w:id="77"/>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 xml:space="preserve">and makes improper use of his or her position as such an officer or employee, or of information acquired by virtue of that </w:t>
      </w:r>
      <w:r>
        <w:rPr>
          <w:snapToGrid w:val="0"/>
        </w:rPr>
        <w:lastRenderedPageBreak/>
        <w:t>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78" w:name="_Toc187931937"/>
      <w:r>
        <w:rPr>
          <w:rStyle w:val="CharSectno"/>
        </w:rPr>
        <w:t>73</w:t>
      </w:r>
      <w:r>
        <w:rPr>
          <w:snapToGrid w:val="0"/>
        </w:rPr>
        <w:t>.</w:t>
      </w:r>
      <w:r>
        <w:rPr>
          <w:snapToGrid w:val="0"/>
        </w:rPr>
        <w:tab/>
        <w:t>Contravention of sections 71 and 72</w:t>
      </w:r>
      <w:bookmarkEnd w:id="78"/>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lastRenderedPageBreak/>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xml:space="preserve">, that arose out of or was constituted by the same act or transaction as the contravention of or failure to </w:t>
      </w:r>
      <w:r>
        <w:rPr>
          <w:snapToGrid w:val="0"/>
        </w:rPr>
        <w:lastRenderedPageBreak/>
        <w:t>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79" w:name="_Toc187931938"/>
      <w:r>
        <w:rPr>
          <w:rStyle w:val="CharSectno"/>
        </w:rPr>
        <w:t>74</w:t>
      </w:r>
      <w:r>
        <w:rPr>
          <w:snapToGrid w:val="0"/>
        </w:rPr>
        <w:t>.</w:t>
      </w:r>
      <w:r>
        <w:rPr>
          <w:snapToGrid w:val="0"/>
        </w:rPr>
        <w:tab/>
        <w:t>Secrecy and security of records of Gold Corporation and its subsidiaries</w:t>
      </w:r>
      <w:bookmarkEnd w:id="79"/>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lastRenderedPageBreak/>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lastRenderedPageBreak/>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80" w:name="_Toc187931939"/>
      <w:r>
        <w:rPr>
          <w:rStyle w:val="CharSectno"/>
        </w:rPr>
        <w:t>75</w:t>
      </w:r>
      <w:r>
        <w:rPr>
          <w:snapToGrid w:val="0"/>
        </w:rPr>
        <w:t>.</w:t>
      </w:r>
      <w:r>
        <w:rPr>
          <w:snapToGrid w:val="0"/>
        </w:rPr>
        <w:tab/>
        <w:t>Security</w:t>
      </w:r>
      <w:bookmarkEnd w:id="8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lastRenderedPageBreak/>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lastRenderedPageBreak/>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81" w:name="_Toc187931940"/>
      <w:r>
        <w:rPr>
          <w:rStyle w:val="CharSectno"/>
        </w:rPr>
        <w:t>77</w:t>
      </w:r>
      <w:r>
        <w:rPr>
          <w:snapToGrid w:val="0"/>
        </w:rPr>
        <w:t>.</w:t>
      </w:r>
      <w:r>
        <w:rPr>
          <w:snapToGrid w:val="0"/>
        </w:rPr>
        <w:tab/>
        <w:t>Regulations</w:t>
      </w:r>
      <w:bookmarkEnd w:id="8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82" w:name="_Toc187931941"/>
      <w:r>
        <w:rPr>
          <w:rStyle w:val="CharSectno"/>
        </w:rPr>
        <w:t>78</w:t>
      </w:r>
      <w:r>
        <w:rPr>
          <w:snapToGrid w:val="0"/>
        </w:rPr>
        <w:t>.</w:t>
      </w:r>
      <w:r>
        <w:rPr>
          <w:snapToGrid w:val="0"/>
        </w:rPr>
        <w:tab/>
        <w:t>Repeal</w:t>
      </w:r>
      <w:bookmarkEnd w:id="82"/>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3" w:name="_Toc187915301"/>
      <w:bookmarkStart w:id="84" w:name="_Toc187931942"/>
      <w:r>
        <w:rPr>
          <w:rStyle w:val="CharSchNo"/>
        </w:rPr>
        <w:lastRenderedPageBreak/>
        <w:t>Schedule 1</w:t>
      </w:r>
      <w:r>
        <w:t> — </w:t>
      </w:r>
      <w:r>
        <w:rPr>
          <w:rStyle w:val="CharSchText"/>
        </w:rPr>
        <w:t>Provisions concerning directors and the procedure of the Board</w:t>
      </w:r>
      <w:bookmarkEnd w:id="83"/>
      <w:bookmarkEnd w:id="84"/>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85" w:name="_Toc187931943"/>
      <w:r>
        <w:rPr>
          <w:rStyle w:val="CharSClsNo"/>
        </w:rPr>
        <w:t>1</w:t>
      </w:r>
      <w:r>
        <w:rPr>
          <w:snapToGrid w:val="0"/>
        </w:rPr>
        <w:t>.</w:t>
      </w:r>
      <w:r>
        <w:rPr>
          <w:snapToGrid w:val="0"/>
        </w:rPr>
        <w:tab/>
        <w:t>Term of office of directors</w:t>
      </w:r>
      <w:bookmarkEnd w:id="85"/>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86" w:name="_Toc187931944"/>
      <w:r>
        <w:rPr>
          <w:rStyle w:val="CharSClsNo"/>
        </w:rPr>
        <w:t>2</w:t>
      </w:r>
      <w:r>
        <w:rPr>
          <w:snapToGrid w:val="0"/>
        </w:rPr>
        <w:t>.</w:t>
      </w:r>
      <w:r>
        <w:rPr>
          <w:snapToGrid w:val="0"/>
        </w:rPr>
        <w:tab/>
        <w:t>Vacation of office</w:t>
      </w:r>
      <w:bookmarkEnd w:id="8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87" w:name="_Toc187931945"/>
      <w:r>
        <w:rPr>
          <w:rStyle w:val="CharSClsNo"/>
        </w:rPr>
        <w:t>3</w:t>
      </w:r>
      <w:r>
        <w:rPr>
          <w:snapToGrid w:val="0"/>
        </w:rPr>
        <w:t>.</w:t>
      </w:r>
      <w:r>
        <w:rPr>
          <w:snapToGrid w:val="0"/>
        </w:rPr>
        <w:tab/>
        <w:t>Temporary directors</w:t>
      </w:r>
      <w:bookmarkEnd w:id="87"/>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88" w:name="_Toc187931946"/>
      <w:r>
        <w:rPr>
          <w:snapToGrid w:val="0"/>
        </w:rPr>
        <w:t>4.</w:t>
      </w:r>
      <w:r>
        <w:rPr>
          <w:snapToGrid w:val="0"/>
        </w:rPr>
        <w:tab/>
        <w:t>Remuneration of certain directors</w:t>
      </w:r>
      <w:bookmarkEnd w:id="88"/>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89" w:name="_Toc187931947"/>
      <w:r>
        <w:rPr>
          <w:rStyle w:val="CharSClsNo"/>
        </w:rPr>
        <w:t>5</w:t>
      </w:r>
      <w:r>
        <w:rPr>
          <w:snapToGrid w:val="0"/>
        </w:rPr>
        <w:t>.</w:t>
      </w:r>
      <w:r>
        <w:rPr>
          <w:snapToGrid w:val="0"/>
        </w:rPr>
        <w:tab/>
        <w:t>Restrictions on loans to directors</w:t>
      </w:r>
      <w:bookmarkEnd w:id="89"/>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90" w:name="_Toc187931948"/>
      <w:r>
        <w:rPr>
          <w:rStyle w:val="CharSClsNo"/>
        </w:rPr>
        <w:t>6</w:t>
      </w:r>
      <w:r>
        <w:rPr>
          <w:snapToGrid w:val="0"/>
        </w:rPr>
        <w:t>.</w:t>
      </w:r>
      <w:r>
        <w:rPr>
          <w:snapToGrid w:val="0"/>
        </w:rPr>
        <w:tab/>
        <w:t>Liability of directors</w:t>
      </w:r>
      <w:bookmarkEnd w:id="9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91" w:name="_Toc187931949"/>
      <w:r>
        <w:rPr>
          <w:snapToGrid w:val="0"/>
        </w:rPr>
        <w:t>7.</w:t>
      </w:r>
      <w:r>
        <w:rPr>
          <w:snapToGrid w:val="0"/>
        </w:rPr>
        <w:tab/>
        <w:t>General procedure concerning meetings</w:t>
      </w:r>
      <w:bookmarkEnd w:id="91"/>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92" w:name="_Toc187931950"/>
      <w:r>
        <w:rPr>
          <w:snapToGrid w:val="0"/>
        </w:rPr>
        <w:t>8.</w:t>
      </w:r>
      <w:r>
        <w:rPr>
          <w:snapToGrid w:val="0"/>
        </w:rPr>
        <w:tab/>
        <w:t>Presiding member</w:t>
      </w:r>
      <w:bookmarkEnd w:id="92"/>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93" w:name="_Toc187931951"/>
      <w:r>
        <w:rPr>
          <w:rStyle w:val="CharSClsNo"/>
        </w:rPr>
        <w:t>9</w:t>
      </w:r>
      <w:r>
        <w:rPr>
          <w:snapToGrid w:val="0"/>
        </w:rPr>
        <w:t>.</w:t>
      </w:r>
      <w:r>
        <w:rPr>
          <w:snapToGrid w:val="0"/>
        </w:rPr>
        <w:tab/>
        <w:t>Declaration of interests by directors</w:t>
      </w:r>
      <w:bookmarkEnd w:id="93"/>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94" w:name="_Toc187931952"/>
      <w:r>
        <w:rPr>
          <w:rStyle w:val="CharSClsNo"/>
        </w:rPr>
        <w:t>10</w:t>
      </w:r>
      <w:r>
        <w:rPr>
          <w:snapToGrid w:val="0"/>
        </w:rPr>
        <w:t>.</w:t>
      </w:r>
      <w:r>
        <w:rPr>
          <w:snapToGrid w:val="0"/>
        </w:rPr>
        <w:tab/>
        <w:t>Conflict of interest</w:t>
      </w:r>
      <w:bookmarkEnd w:id="94"/>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lastRenderedPageBreak/>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95" w:name="_Toc187931953"/>
      <w:r>
        <w:rPr>
          <w:rStyle w:val="CharSClsNo"/>
        </w:rPr>
        <w:t>11</w:t>
      </w:r>
      <w:r>
        <w:rPr>
          <w:snapToGrid w:val="0"/>
        </w:rPr>
        <w:t>.</w:t>
      </w:r>
      <w:r>
        <w:rPr>
          <w:snapToGrid w:val="0"/>
        </w:rPr>
        <w:tab/>
        <w:t>Voting</w:t>
      </w:r>
      <w:bookmarkEnd w:id="95"/>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96" w:name="_Toc187931954"/>
      <w:r>
        <w:rPr>
          <w:snapToGrid w:val="0"/>
        </w:rPr>
        <w:t>12.</w:t>
      </w:r>
      <w:r>
        <w:rPr>
          <w:snapToGrid w:val="0"/>
        </w:rPr>
        <w:tab/>
        <w:t>Quorum</w:t>
      </w:r>
      <w:bookmarkEnd w:id="9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97" w:name="_Toc187931955"/>
      <w:r>
        <w:rPr>
          <w:snapToGrid w:val="0"/>
        </w:rPr>
        <w:t>13.</w:t>
      </w:r>
      <w:r>
        <w:rPr>
          <w:snapToGrid w:val="0"/>
        </w:rPr>
        <w:tab/>
        <w:t>Minutes</w:t>
      </w:r>
      <w:bookmarkEnd w:id="97"/>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98" w:name="_Toc187931956"/>
      <w:r>
        <w:rPr>
          <w:rStyle w:val="CharSClsNo"/>
        </w:rPr>
        <w:t>14</w:t>
      </w:r>
      <w:r>
        <w:rPr>
          <w:snapToGrid w:val="0"/>
        </w:rPr>
        <w:t>.</w:t>
      </w:r>
      <w:r>
        <w:rPr>
          <w:snapToGrid w:val="0"/>
        </w:rPr>
        <w:tab/>
        <w:t>Resolution may be passed without meeting</w:t>
      </w:r>
      <w:bookmarkEnd w:id="98"/>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99" w:name="_Toc187931957"/>
      <w:r>
        <w:rPr>
          <w:rStyle w:val="CharSClsNo"/>
        </w:rPr>
        <w:lastRenderedPageBreak/>
        <w:t>15</w:t>
      </w:r>
      <w:r>
        <w:rPr>
          <w:snapToGrid w:val="0"/>
        </w:rPr>
        <w:t>.</w:t>
      </w:r>
      <w:r>
        <w:rPr>
          <w:snapToGrid w:val="0"/>
        </w:rPr>
        <w:tab/>
        <w:t>Leave of absence</w:t>
      </w:r>
      <w:bookmarkEnd w:id="99"/>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100" w:name="_Toc187931958"/>
      <w:r>
        <w:rPr>
          <w:snapToGrid w:val="0"/>
        </w:rPr>
        <w:t>17.</w:t>
      </w:r>
      <w:r>
        <w:rPr>
          <w:snapToGrid w:val="0"/>
        </w:rPr>
        <w:tab/>
        <w:t>Common seals, and the use of facsimiles</w:t>
      </w:r>
      <w:bookmarkEnd w:id="100"/>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101" w:name="_Toc187915318"/>
      <w:bookmarkStart w:id="102" w:name="_Toc187931959"/>
      <w:r>
        <w:rPr>
          <w:rStyle w:val="CharSchNo"/>
        </w:rPr>
        <w:lastRenderedPageBreak/>
        <w:t>Schedule 2</w:t>
      </w:r>
      <w:r>
        <w:t> — </w:t>
      </w:r>
      <w:r>
        <w:rPr>
          <w:rStyle w:val="CharSchText"/>
        </w:rPr>
        <w:t>Transitional provisions concerning the Mint</w:t>
      </w:r>
      <w:bookmarkEnd w:id="101"/>
      <w:bookmarkEnd w:id="102"/>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103" w:name="_Toc187931960"/>
      <w:r>
        <w:rPr>
          <w:rStyle w:val="CharSClsNo"/>
        </w:rPr>
        <w:t>1</w:t>
      </w:r>
      <w:r>
        <w:rPr>
          <w:snapToGrid w:val="0"/>
        </w:rPr>
        <w:t>.</w:t>
      </w:r>
      <w:r>
        <w:rPr>
          <w:snapToGrid w:val="0"/>
        </w:rPr>
        <w:tab/>
        <w:t>Terms used in this Schedule</w:t>
      </w:r>
      <w:bookmarkEnd w:id="10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lastRenderedPageBreak/>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04" w:name="_Toc187931961"/>
      <w:r>
        <w:rPr>
          <w:rStyle w:val="CharSClsNo"/>
        </w:rPr>
        <w:t>2</w:t>
      </w:r>
      <w:r>
        <w:rPr>
          <w:snapToGrid w:val="0"/>
        </w:rPr>
        <w:t>.</w:t>
      </w:r>
      <w:r>
        <w:rPr>
          <w:snapToGrid w:val="0"/>
        </w:rPr>
        <w:tab/>
        <w:t>Transitional arrangements as to employment</w:t>
      </w:r>
      <w:bookmarkEnd w:id="104"/>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w:t>
      </w:r>
      <w:r>
        <w:rPr>
          <w:snapToGrid w:val="0"/>
        </w:rPr>
        <w:lastRenderedPageBreak/>
        <w:t>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05" w:name="_Toc187931962"/>
      <w:r>
        <w:rPr>
          <w:rStyle w:val="CharSClsNo"/>
        </w:rPr>
        <w:t>3</w:t>
      </w:r>
      <w:r>
        <w:rPr>
          <w:snapToGrid w:val="0"/>
        </w:rPr>
        <w:t>.</w:t>
      </w:r>
      <w:r>
        <w:rPr>
          <w:snapToGrid w:val="0"/>
        </w:rPr>
        <w:tab/>
        <w:t>Transitional termination and re</w:t>
      </w:r>
      <w:r>
        <w:rPr>
          <w:snapToGrid w:val="0"/>
        </w:rPr>
        <w:noBreakHyphen/>
        <w:t>employment scheme</w:t>
      </w:r>
      <w:bookmarkEnd w:id="105"/>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lastRenderedPageBreak/>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106" w:name="_Toc187931963"/>
      <w:r>
        <w:rPr>
          <w:rStyle w:val="CharSClsNo"/>
        </w:rPr>
        <w:lastRenderedPageBreak/>
        <w:t>4</w:t>
      </w:r>
      <w:r>
        <w:rPr>
          <w:snapToGrid w:val="0"/>
        </w:rPr>
        <w:t>.</w:t>
      </w:r>
      <w:r>
        <w:rPr>
          <w:snapToGrid w:val="0"/>
        </w:rPr>
        <w:tab/>
        <w:t>Continuity of service and superannuation</w:t>
      </w:r>
      <w:bookmarkEnd w:id="106"/>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107" w:name="_Toc187931964"/>
      <w:r>
        <w:rPr>
          <w:rStyle w:val="CharSClsNo"/>
        </w:rPr>
        <w:t>5</w:t>
      </w:r>
      <w:r>
        <w:rPr>
          <w:snapToGrid w:val="0"/>
        </w:rPr>
        <w:t>.</w:t>
      </w:r>
      <w:r>
        <w:rPr>
          <w:snapToGrid w:val="0"/>
        </w:rPr>
        <w:tab/>
        <w:t>Managing Director of the Mint</w:t>
      </w:r>
      <w:bookmarkEnd w:id="107"/>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08" w:name="_Toc187931965"/>
      <w:r>
        <w:rPr>
          <w:rStyle w:val="CharSClsNo"/>
        </w:rPr>
        <w:t>6</w:t>
      </w:r>
      <w:r>
        <w:rPr>
          <w:snapToGrid w:val="0"/>
        </w:rPr>
        <w:t>.</w:t>
      </w:r>
      <w:r>
        <w:rPr>
          <w:snapToGrid w:val="0"/>
        </w:rPr>
        <w:tab/>
        <w:t>Transfer of certain functions of directors of the Mint</w:t>
      </w:r>
      <w:bookmarkEnd w:id="108"/>
      <w:r>
        <w:rPr>
          <w:snapToGrid w:val="0"/>
        </w:rPr>
        <w:t xml:space="preserve"> </w:t>
      </w:r>
    </w:p>
    <w:p>
      <w:pPr>
        <w:pStyle w:val="ySubsection"/>
        <w:rPr>
          <w:snapToGrid w:val="0"/>
        </w:rPr>
      </w:pPr>
      <w:r>
        <w:rPr>
          <w:snapToGrid w:val="0"/>
        </w:rPr>
        <w:tab/>
        <w:t>(1)</w:t>
      </w:r>
      <w:r>
        <w:rPr>
          <w:snapToGrid w:val="0"/>
        </w:rPr>
        <w:tab/>
        <w:t xml:space="preserve">Any function required to be performed by the Board of directors of the Mint under the repealed Act, or under or in respect of any other law of the Commonwealth or the State, concerning the operations of the Mint during the period ending when the repeal of the repealed Act </w:t>
      </w:r>
      <w:r>
        <w:rPr>
          <w:snapToGrid w:val="0"/>
        </w:rPr>
        <w:lastRenderedPageBreak/>
        <w:t>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109" w:name="_Toc187931966"/>
      <w:r>
        <w:rPr>
          <w:rStyle w:val="CharSClsNo"/>
        </w:rPr>
        <w:t>7</w:t>
      </w:r>
      <w:r>
        <w:rPr>
          <w:snapToGrid w:val="0"/>
        </w:rPr>
        <w:t>.</w:t>
      </w:r>
      <w:r>
        <w:rPr>
          <w:snapToGrid w:val="0"/>
        </w:rPr>
        <w:tab/>
        <w:t>Appropriation for employment benefits</w:t>
      </w:r>
      <w:bookmarkEnd w:id="109"/>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110" w:name="_Toc187931967"/>
      <w:r>
        <w:rPr>
          <w:rStyle w:val="CharSClsNo"/>
        </w:rPr>
        <w:t>8</w:t>
      </w:r>
      <w:r>
        <w:rPr>
          <w:snapToGrid w:val="0"/>
        </w:rPr>
        <w:t>.</w:t>
      </w:r>
      <w:r>
        <w:rPr>
          <w:snapToGrid w:val="0"/>
        </w:rPr>
        <w:tab/>
        <w:t>Amounts payable to the Consolidated Account</w:t>
      </w:r>
      <w:bookmarkEnd w:id="110"/>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lastRenderedPageBreak/>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111" w:name="_Toc187931968"/>
      <w:r>
        <w:rPr>
          <w:rStyle w:val="CharSClsNo"/>
        </w:rPr>
        <w:t>9</w:t>
      </w:r>
      <w:r>
        <w:rPr>
          <w:snapToGrid w:val="0"/>
        </w:rPr>
        <w:t>.</w:t>
      </w:r>
      <w:r>
        <w:rPr>
          <w:snapToGrid w:val="0"/>
        </w:rPr>
        <w:tab/>
        <w:t>Construction of references</w:t>
      </w:r>
      <w:bookmarkEnd w:id="111"/>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13" w:name="_Toc187915328"/>
      <w:bookmarkStart w:id="114" w:name="_Toc187931969"/>
      <w:r>
        <w:lastRenderedPageBreak/>
        <w:t>Notes</w:t>
      </w:r>
      <w:bookmarkEnd w:id="113"/>
      <w:bookmarkEnd w:id="114"/>
    </w:p>
    <w:p>
      <w:pPr>
        <w:pStyle w:val="nStatement"/>
      </w:pPr>
      <w:r>
        <w:t xml:space="preserve">This is a compilation of the </w:t>
      </w:r>
      <w:r>
        <w:rPr>
          <w:i/>
          <w:noProof/>
        </w:rPr>
        <w:t>Gold Corporation Act 1987</w:t>
      </w:r>
      <w:r>
        <w:t xml:space="preserve"> and includes amendments made by other written laws </w:t>
      </w:r>
      <w:r>
        <w:rPr>
          <w:vertAlign w:val="superscript"/>
        </w:rPr>
        <w:t>6</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115" w:name="_Toc187931970"/>
      <w:bookmarkStart w:id="116" w:name="_Hlk187931569"/>
      <w:r>
        <w:t>Compilation table</w:t>
      </w:r>
      <w:bookmarkEnd w:id="115"/>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37"/>
        <w:gridCol w:w="965"/>
        <w:gridCol w:w="1134"/>
        <w:gridCol w:w="2556"/>
      </w:tblGrid>
      <w:tr>
        <w:trPr>
          <w:tblHeader/>
        </w:trPr>
        <w:tc>
          <w:tcPr>
            <w:tcW w:w="2437" w:type="dxa"/>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2432" w:type="dxa"/>
          </w:tcPr>
          <w:p>
            <w:pPr>
              <w:pStyle w:val="nTable"/>
              <w:keepNext/>
              <w:keepLines/>
              <w:spacing w:after="40"/>
              <w:ind w:right="113"/>
            </w:pPr>
            <w:r>
              <w:rPr>
                <w:i/>
              </w:rPr>
              <w:lastRenderedPageBreak/>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432" w:type="dxa"/>
          </w:tcPr>
          <w:p>
            <w:pPr>
              <w:pStyle w:val="nTable"/>
              <w:keepNext/>
              <w:spacing w:after="40"/>
              <w:ind w:right="113"/>
              <w:rPr>
                <w:iCs/>
              </w:rPr>
            </w:pPr>
            <w:r>
              <w:rPr>
                <w:i/>
              </w:rPr>
              <w:lastRenderedPageBreak/>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7" w:type="dxa"/>
            <w:tcBorders>
              <w:top w:val="nil"/>
              <w:left w:val="nil"/>
              <w:bottom w:val="nil"/>
              <w:right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left w:val="nil"/>
              <w:bottom w:val="nil"/>
              <w:right w:val="nil"/>
            </w:tcBorders>
          </w:tcPr>
          <w:p>
            <w:pPr>
              <w:pStyle w:val="nTable"/>
              <w:spacing w:after="40"/>
              <w:rPr>
                <w:snapToGrid w:val="0"/>
              </w:rPr>
            </w:pPr>
            <w:r>
              <w:rPr>
                <w:snapToGrid w:val="0"/>
              </w:rPr>
              <w:t>46 of 2016</w:t>
            </w:r>
          </w:p>
        </w:tc>
        <w:tc>
          <w:tcPr>
            <w:tcW w:w="1134" w:type="dxa"/>
            <w:tcBorders>
              <w:top w:val="nil"/>
              <w:left w:val="nil"/>
              <w:bottom w:val="nil"/>
              <w:right w:val="nil"/>
            </w:tcBorders>
          </w:tcPr>
          <w:p>
            <w:pPr>
              <w:pStyle w:val="nTable"/>
              <w:spacing w:after="40"/>
            </w:pPr>
            <w:r>
              <w:t>7 Dec 2016</w:t>
            </w:r>
          </w:p>
        </w:tc>
        <w:tc>
          <w:tcPr>
            <w:tcW w:w="2556" w:type="dxa"/>
            <w:tcBorders>
              <w:top w:val="nil"/>
              <w:left w:val="nil"/>
              <w:bottom w:val="nil"/>
              <w:right w:val="nil"/>
            </w:tcBorders>
          </w:tcPr>
          <w:p>
            <w:pPr>
              <w:pStyle w:val="nTable"/>
              <w:spacing w:after="40"/>
              <w:rPr>
                <w:snapToGrid w:val="0"/>
              </w:rPr>
            </w:pPr>
            <w:r>
              <w:rPr>
                <w:snapToGrid w:val="0"/>
              </w:rPr>
              <w:t>8 Dec 2016 (see s. 2(b))</w:t>
            </w:r>
          </w:p>
        </w:tc>
      </w:tr>
      <w:tr>
        <w:trPr>
          <w:cantSplit/>
        </w:trPr>
        <w:tc>
          <w:tcPr>
            <w:tcW w:w="2437" w:type="dxa"/>
            <w:tcBorders>
              <w:top w:val="nil"/>
              <w:left w:val="nil"/>
              <w:bottom w:val="nil"/>
              <w:right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left w:val="nil"/>
              <w:bottom w:val="nil"/>
              <w:right w:val="nil"/>
            </w:tcBorders>
          </w:tcPr>
          <w:p>
            <w:pPr>
              <w:pStyle w:val="nTable"/>
              <w:spacing w:after="40"/>
              <w:rPr>
                <w:snapToGrid w:val="0"/>
              </w:rPr>
            </w:pPr>
            <w:r>
              <w:rPr>
                <w:snapToGrid w:val="0"/>
              </w:rPr>
              <w:t>9 of 2023</w:t>
            </w:r>
          </w:p>
        </w:tc>
        <w:tc>
          <w:tcPr>
            <w:tcW w:w="1134" w:type="dxa"/>
            <w:tcBorders>
              <w:top w:val="nil"/>
              <w:left w:val="nil"/>
              <w:bottom w:val="nil"/>
              <w:right w:val="nil"/>
            </w:tcBorders>
          </w:tcPr>
          <w:p>
            <w:pPr>
              <w:pStyle w:val="nTable"/>
              <w:spacing w:after="40"/>
            </w:pPr>
            <w:r>
              <w:t>4 Apr 2023</w:t>
            </w:r>
          </w:p>
        </w:tc>
        <w:tc>
          <w:tcPr>
            <w:tcW w:w="2556" w:type="dxa"/>
            <w:tcBorders>
              <w:top w:val="nil"/>
              <w:left w:val="nil"/>
              <w:bottom w:val="nil"/>
              <w:right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7" w:type="dxa"/>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trPr>
        <w:tc>
          <w:tcPr>
            <w:tcW w:w="7092" w:type="dxa"/>
            <w:gridSpan w:val="4"/>
          </w:tcPr>
          <w:p>
            <w:pPr>
              <w:pStyle w:val="nTable"/>
              <w:spacing w:after="40"/>
            </w:pPr>
            <w:r>
              <w:rPr>
                <w:b/>
                <w:i/>
                <w:noProof/>
              </w:rPr>
              <w:t>Gold Corporation Act 1987</w:t>
            </w:r>
            <w:r>
              <w:rPr>
                <w:b/>
              </w:rPr>
              <w:t xml:space="preserve"> with editorial changes as at 11 Oct 2024</w:t>
            </w:r>
          </w:p>
        </w:tc>
      </w:tr>
      <w:tr>
        <w:tblPrEx>
          <w:tblBorders>
            <w:top w:val="none" w:sz="0" w:space="0" w:color="auto"/>
            <w:bottom w:val="none" w:sz="0" w:space="0" w:color="auto"/>
            <w:insideH w:val="none" w:sz="0" w:space="0" w:color="auto"/>
          </w:tblBorders>
        </w:tblPrEx>
        <w:trPr>
          <w:cantSplit/>
        </w:trPr>
        <w:tc>
          <w:tcPr>
            <w:tcW w:w="2437" w:type="dxa"/>
            <w:tcBorders>
              <w:bottom w:val="single" w:sz="4" w:space="0" w:color="auto"/>
            </w:tcBorders>
          </w:tcPr>
          <w:p>
            <w:pPr>
              <w:pStyle w:val="nTable"/>
              <w:spacing w:after="40"/>
              <w:rPr>
                <w:b/>
                <w:i/>
                <w:noProof/>
              </w:rPr>
            </w:pPr>
            <w:r>
              <w:rPr>
                <w:i/>
                <w:iCs/>
                <w:snapToGrid w:val="0"/>
              </w:rPr>
              <w:t xml:space="preserve">Industrial Relations Legislation Amendment Act 2024 </w:t>
            </w:r>
            <w:r>
              <w:rPr>
                <w:snapToGrid w:val="0"/>
              </w:rPr>
              <w:t>s. 157</w:t>
            </w:r>
          </w:p>
        </w:tc>
        <w:tc>
          <w:tcPr>
            <w:tcW w:w="965" w:type="dxa"/>
            <w:tcBorders>
              <w:bottom w:val="single" w:sz="4" w:space="0" w:color="auto"/>
            </w:tcBorders>
          </w:tcPr>
          <w:p>
            <w:pPr>
              <w:pStyle w:val="nTable"/>
              <w:spacing w:after="40"/>
              <w:rPr>
                <w:b/>
                <w:i/>
                <w:noProof/>
              </w:rPr>
            </w:pPr>
            <w:r>
              <w:t>43 of 2024</w:t>
            </w:r>
          </w:p>
        </w:tc>
        <w:tc>
          <w:tcPr>
            <w:tcW w:w="1134" w:type="dxa"/>
            <w:tcBorders>
              <w:bottom w:val="single" w:sz="4" w:space="0" w:color="auto"/>
            </w:tcBorders>
          </w:tcPr>
          <w:p>
            <w:pPr>
              <w:pStyle w:val="nTable"/>
              <w:spacing w:after="40"/>
              <w:rPr>
                <w:b/>
                <w:i/>
                <w:noProof/>
              </w:rPr>
            </w:pPr>
            <w:r>
              <w:t>13 Nov 2024</w:t>
            </w:r>
          </w:p>
        </w:tc>
        <w:tc>
          <w:tcPr>
            <w:tcW w:w="2551" w:type="dxa"/>
            <w:tcBorders>
              <w:bottom w:val="single" w:sz="4" w:space="0" w:color="auto"/>
            </w:tcBorders>
          </w:tcPr>
          <w:p>
            <w:pPr>
              <w:pStyle w:val="nTable"/>
              <w:spacing w:after="40"/>
              <w:rPr>
                <w:b/>
                <w:i/>
                <w:noProof/>
              </w:rPr>
            </w:pPr>
            <w:r>
              <w:t>31 Jan 2025 (see s. 2(c))</w:t>
            </w:r>
          </w:p>
        </w:tc>
      </w:tr>
    </w:tbl>
    <w:p>
      <w:pPr>
        <w:pStyle w:val="nHeading3"/>
        <w:keepLines/>
      </w:pPr>
      <w:bookmarkStart w:id="117" w:name="_Toc187931971"/>
      <w:bookmarkEnd w:id="116"/>
      <w:r>
        <w:t>Editorial changes table</w:t>
      </w:r>
      <w:bookmarkEnd w:id="117"/>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 xml:space="preserve">s. 8B(4), 41B(3) and (4), </w:t>
            </w:r>
            <w:r>
              <w:br/>
              <w:t>52B(3) and (4)</w:t>
            </w:r>
          </w:p>
        </w:tc>
        <w:tc>
          <w:tcPr>
            <w:tcW w:w="2694" w:type="dxa"/>
          </w:tcPr>
          <w:p>
            <w:pPr>
              <w:pStyle w:val="nTable"/>
              <w:spacing w:after="40"/>
            </w:pPr>
            <w:r>
              <w:t>s. 34(2)</w:t>
            </w:r>
            <w:r>
              <w:br/>
              <w:t>[s. 34(1) def. (i)]</w:t>
            </w:r>
          </w:p>
        </w:tc>
        <w:tc>
          <w:tcPr>
            <w:tcW w:w="1559" w:type="dxa"/>
          </w:tcPr>
          <w:p>
            <w:pPr>
              <w:pStyle w:val="nTable"/>
              <w:spacing w:after="40"/>
            </w:pPr>
            <w:r>
              <w:t>11 Oct 2024</w:t>
            </w:r>
          </w:p>
        </w:tc>
      </w:tr>
    </w:tbl>
    <w:p>
      <w:pPr>
        <w:pStyle w:val="nHeading3"/>
      </w:pPr>
      <w:bookmarkStart w:id="118" w:name="_Toc187931972"/>
      <w:r>
        <w:lastRenderedPageBreak/>
        <w:t>Uncommenced provisions table</w:t>
      </w:r>
      <w:bookmarkEnd w:id="1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bl>
    <w:p>
      <w:pPr>
        <w:pStyle w:val="nHeading3"/>
      </w:pPr>
      <w:bookmarkStart w:id="119" w:name="_Toc187931973"/>
      <w:r>
        <w:t>Other notes</w:t>
      </w:r>
      <w:bookmarkEnd w:id="119"/>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lastRenderedPageBreak/>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21" w:name="_Toc187915333"/>
      <w:bookmarkStart w:id="122" w:name="_Toc187931974"/>
      <w:r>
        <w:rPr>
          <w:sz w:val="28"/>
        </w:rPr>
        <w:lastRenderedPageBreak/>
        <w:t>Defined terms</w:t>
      </w:r>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lastRenderedPageBreak/>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F0C98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3FD5B9" w14:textId="600DCA77" w:rsidR="00534E30" w:rsidRDefault="00BB362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6D53">
                        <w:rPr>
                          <w:sz w:val="16"/>
                        </w:rPr>
                        <w:t>2025</w:t>
                      </w:r>
                      <w:r>
                        <w:rPr>
                          <w:sz w:val="16"/>
                        </w:rPr>
                        <w:fldChar w:fldCharType="end"/>
                      </w:r>
                      <w:r>
                        <w:rPr>
                          <w:sz w:val="16"/>
                        </w:rPr>
                        <w:t>.</w:t>
                      </w:r>
                    </w:p>
                    <w:p w14:paraId="32F6F758" w14:textId="77777777" w:rsidR="00534E30" w:rsidRDefault="00BB362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77BBC57" w14:textId="25DEB28A" w:rsidR="00534E30" w:rsidRDefault="00BB362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6D53">
                        <w:rPr>
                          <w:sz w:val="16"/>
                        </w:rPr>
                        <w:t>2025</w:t>
                      </w:r>
                      <w:r>
                        <w:rPr>
                          <w:sz w:val="16"/>
                        </w:rPr>
                        <w:fldChar w:fldCharType="end"/>
                      </w:r>
                      <w:r>
                        <w:rPr>
                          <w:sz w:val="16"/>
                        </w:rPr>
                        <w:t>.</w:t>
                      </w:r>
                    </w:p>
                    <w:p w14:paraId="70F5397B" w14:textId="77777777" w:rsidR="00534E30" w:rsidRDefault="00BB362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01754"/>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 w:name="WAFER_20241112140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06_GUID" w:val="676147c9-f671-4b80-a21d-b5e1919135c0"/>
    <w:docVar w:name="WAFER_2024111214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40457_GUID" w:val="d27ba933-1838-4200-8fdb-550cc3e95ac7"/>
    <w:docVar w:name="WAFER_20250116101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01754_GUID" w:val="024bc43e-4367-4921-8ea4-264e0a9080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20751</Words>
  <Characters>98568</Characters>
  <Application>Microsoft Office Word</Application>
  <DocSecurity>0</DocSecurity>
  <Lines>2664</Lines>
  <Paragraphs>1387</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1987 - 05-c0-00</dc:title>
  <dc:subject/>
  <dc:creator/>
  <cp:keywords/>
  <dc:description/>
  <cp:lastModifiedBy>Master Repository Process</cp:lastModifiedBy>
  <cp:revision>4</cp:revision>
  <cp:lastPrinted>2024-10-07T01:45:00Z</cp:lastPrinted>
  <dcterms:created xsi:type="dcterms:W3CDTF">2025-06-23T06:01:00Z</dcterms:created>
  <dcterms:modified xsi:type="dcterms:W3CDTF">2025-06-23T06:02:00Z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ReprintNo">
    <vt:lpwstr>5</vt:lpwstr>
  </property>
  <property fmtid="{D5CDD505-2E9C-101B-9397-08002B2CF9AE}" pid="7" name="ReprintedAsAt">
    <vt:filetime>2024-10-10T16:00:00Z</vt:filetime>
  </property>
  <property fmtid="{D5CDD505-2E9C-101B-9397-08002B2CF9AE}" pid="8" name="AsAtDate">
    <vt:lpwstr>31 Jan 2025</vt:lpwstr>
  </property>
  <property fmtid="{D5CDD505-2E9C-101B-9397-08002B2CF9AE}" pid="9" name="Suffix">
    <vt:lpwstr>05-c0-00</vt:lpwstr>
  </property>
  <property fmtid="{D5CDD505-2E9C-101B-9397-08002B2CF9AE}" pid="10" name="Official">
    <vt:lpwstr/>
  </property>
  <property fmtid="{D5CDD505-2E9C-101B-9397-08002B2CF9AE}" pid="11" name="CommencementDate">
    <vt:lpwstr>20250131</vt:lpwstr>
  </property>
  <property fmtid="{D5CDD505-2E9C-101B-9397-08002B2CF9AE}" pid="12" name="CommencementAsAt">
    <vt:filetime>2025-01-30T16:00:00Z</vt:filetime>
  </property>
  <property fmtid="{D5CDD505-2E9C-101B-9397-08002B2CF9AE}" pid="13" name="CommencementYear">
    <vt:lpwstr>2025</vt:lpwstr>
  </property>
</Properties>
</file>