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_Toc188451035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_Toc188451036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_Toc188451037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_Toc188451038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_Toc188451039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_Toc188451040 \h </w:instrText>
      </w:r>
      <w:r>
        <w:fldChar w:fldCharType="separate"/>
      </w:r>
      <w:r>
        <w:t>7</w:t>
      </w:r>
      <w:r>
        <w:fldChar w:fldCharType="end"/>
      </w:r>
    </w:p>
    <w:p>
      <w:pPr>
        <w:pStyle w:val="TOC8"/>
        <w:rPr>
          <w:rFonts w:asciiTheme="minorHAnsi" w:eastAsiaTheme="minorEastAsia" w:hAnsiTheme="minorHAnsi" w:cstheme="minorBidi"/>
          <w:szCs w:val="22"/>
        </w:rPr>
      </w:pPr>
      <w:r>
        <w:t>7A.</w:t>
      </w:r>
      <w:r>
        <w:tab/>
        <w:t>Determining whether individual is employee or person is employer</w:t>
      </w:r>
      <w:r>
        <w:tab/>
      </w:r>
      <w:r>
        <w:fldChar w:fldCharType="begin"/>
      </w:r>
      <w:r>
        <w:instrText xml:space="preserve"> PAGEREF _Toc188451041 \h </w:instrText>
      </w:r>
      <w:r>
        <w:fldChar w:fldCharType="separate"/>
      </w:r>
      <w:r>
        <w:t>21</w:t>
      </w:r>
      <w:r>
        <w:fldChar w:fldCharType="end"/>
      </w:r>
    </w:p>
    <w:p>
      <w:pPr>
        <w:pStyle w:val="TOC8"/>
        <w:rPr>
          <w:rFonts w:asciiTheme="minorHAnsi" w:eastAsiaTheme="minorEastAsia" w:hAnsiTheme="minorHAnsi" w:cstheme="minorBidi"/>
          <w:szCs w:val="22"/>
        </w:rPr>
      </w:pPr>
      <w:r>
        <w:t>7B.</w:t>
      </w:r>
      <w:r>
        <w:tab/>
        <w:t>Determining whether employee is casual employee</w:t>
      </w:r>
      <w:r>
        <w:tab/>
      </w:r>
      <w:r>
        <w:fldChar w:fldCharType="begin"/>
      </w:r>
      <w:r>
        <w:instrText xml:space="preserve"> PAGEREF _Toc188451042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_Toc188451045 \h </w:instrText>
      </w:r>
      <w:r>
        <w:fldChar w:fldCharType="separate"/>
      </w:r>
      <w:r>
        <w:t>23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_Toc188451046 \h </w:instrText>
      </w:r>
      <w:r>
        <w:fldChar w:fldCharType="separate"/>
      </w:r>
      <w:r>
        <w:t>24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_Toc188451047 \h </w:instrText>
      </w:r>
      <w:r>
        <w:fldChar w:fldCharType="separate"/>
      </w:r>
      <w:r>
        <w:t>24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_Toc188451048 \h </w:instrText>
      </w:r>
      <w:r>
        <w:fldChar w:fldCharType="separate"/>
      </w:r>
      <w:r>
        <w:t>25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_Toc188451049 \h </w:instrText>
      </w:r>
      <w:r>
        <w:fldChar w:fldCharType="separate"/>
      </w:r>
      <w:r>
        <w:t>25</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_Toc188451050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_Toc188451051 \h </w:instrText>
      </w:r>
      <w:r>
        <w:fldChar w:fldCharType="separate"/>
      </w:r>
      <w:r>
        <w:t>26</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r>
      <w:r>
        <w:t>Dual federal and State appointments</w:t>
      </w:r>
      <w:r>
        <w:tab/>
      </w:r>
      <w:r>
        <w:fldChar w:fldCharType="begin"/>
      </w:r>
      <w:r>
        <w:instrText xml:space="preserve"> PAGEREF _Toc188451052 \h </w:instrText>
      </w:r>
      <w:r>
        <w:fldChar w:fldCharType="separate"/>
      </w:r>
      <w:r>
        <w:t>26</w:t>
      </w:r>
      <w:r>
        <w:fldChar w:fldCharType="end"/>
      </w:r>
    </w:p>
    <w:p>
      <w:pPr>
        <w:pStyle w:val="TOC8"/>
        <w:rPr>
          <w:rFonts w:asciiTheme="minorHAnsi" w:eastAsiaTheme="minorEastAsia" w:hAnsiTheme="minorHAnsi" w:cstheme="minorBidi"/>
          <w:szCs w:val="22"/>
        </w:rPr>
      </w:pPr>
      <w:r>
        <w:t>14B</w:t>
      </w:r>
      <w:r>
        <w:rPr>
          <w:snapToGrid w:val="0"/>
        </w:rPr>
        <w:t>.</w:t>
      </w:r>
      <w:r>
        <w:rPr>
          <w:snapToGrid w:val="0"/>
        </w:rPr>
        <w:tab/>
      </w:r>
      <w:r>
        <w:t>Performance of duties by dual federal and State appointees</w:t>
      </w:r>
      <w:r>
        <w:tab/>
      </w:r>
      <w:r>
        <w:fldChar w:fldCharType="begin"/>
      </w:r>
      <w:r>
        <w:instrText xml:space="preserve"> PAGEREF _Toc188451053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_Toc188451054 \h </w:instrText>
      </w:r>
      <w:r>
        <w:fldChar w:fldCharType="separate"/>
      </w:r>
      <w:r>
        <w:t>27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_Toc188451055 \h </w:instrText>
      </w:r>
      <w:r>
        <w:fldChar w:fldCharType="separate"/>
      </w:r>
      <w:r>
        <w:t>28</w:t>
      </w:r>
      <w:r>
        <w:fldChar w:fldCharType="end"/>
      </w:r>
    </w:p>
    <w:p>
      <w:pPr>
        <w:pStyle w:val="TOC8"/>
        <w:rPr>
          <w:rFonts w:asciiTheme="minorHAnsi" w:eastAsiaTheme="minorEastAsia" w:hAnsiTheme="minorHAnsi" w:cstheme="minorBidi"/>
          <w:szCs w:val="22"/>
        </w:rPr>
      </w:pPr>
      <w:r>
        <w:lastRenderedPageBreak/>
        <w:t>16A.</w:t>
      </w:r>
      <w:r>
        <w:tab/>
        <w:t>Delegation by Chief Commissioner</w:t>
      </w:r>
      <w:r>
        <w:tab/>
      </w:r>
      <w:r>
        <w:fldChar w:fldCharType="begin"/>
      </w:r>
      <w:r>
        <w:instrText xml:space="preserve"> PAGEREF _Toc188451056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_Toc188451057 \h </w:instrText>
      </w:r>
      <w:r>
        <w:fldChar w:fldCharType="separate"/>
      </w:r>
      <w:r>
        <w:t>31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_Toc188451058 \h </w:instrText>
      </w:r>
      <w:r>
        <w:fldChar w:fldCharType="separate"/>
      </w:r>
      <w:r>
        <w:t>32</w:t>
      </w:r>
      <w:r>
        <w:fldChar w:fldCharType="end"/>
      </w:r>
    </w:p>
    <w:p>
      <w:pPr>
        <w:pStyle w:val="TOC8"/>
        <w:rPr>
          <w:rFonts w:asciiTheme="minorHAnsi" w:eastAsiaTheme="minorEastAsia" w:hAnsiTheme="minorHAnsi" w:cstheme="minorBidi"/>
          <w:szCs w:val="22"/>
        </w:rPr>
      </w:pPr>
      <w:r>
        <w:t>19.</w:t>
      </w:r>
      <w:r>
        <w:tab/>
        <w:t>Duty of commissioners</w:t>
      </w:r>
      <w:r>
        <w:tab/>
      </w:r>
      <w:r>
        <w:fldChar w:fldCharType="begin"/>
      </w:r>
      <w:r>
        <w:instrText xml:space="preserve"> PAGEREF _Toc188451059 \h </w:instrText>
      </w:r>
      <w:r>
        <w:fldChar w:fldCharType="separate"/>
      </w:r>
      <w:r>
        <w:t>32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_Toc188451060 \h </w:instrText>
      </w:r>
      <w:r>
        <w:fldChar w:fldCharType="separate"/>
      </w:r>
      <w:r>
        <w:t>32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_Toc188451061 \h </w:instrText>
      </w:r>
      <w:r>
        <w:fldChar w:fldCharType="separate"/>
      </w:r>
      <w:r>
        <w:t>34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_Toc188451062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_Toc188451064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_Toc188451065 \h </w:instrText>
      </w:r>
      <w:r>
        <w:fldChar w:fldCharType="separate"/>
      </w:r>
      <w:r>
        <w:t>35</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_Toc188451066 \h </w:instrText>
      </w:r>
      <w:r>
        <w:fldChar w:fldCharType="separate"/>
      </w:r>
      <w:r>
        <w:t>38</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_Toc188451067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_Toc188451068 \h </w:instrText>
      </w:r>
      <w:r>
        <w:fldChar w:fldCharType="separate"/>
      </w:r>
      <w:r>
        <w:t>41</w:t>
      </w:r>
      <w:r>
        <w:fldChar w:fldCharType="end"/>
      </w:r>
    </w:p>
    <w:p>
      <w:pPr>
        <w:pStyle w:val="TOC8"/>
        <w:rPr>
          <w:rFonts w:asciiTheme="minorHAnsi" w:eastAsiaTheme="minorEastAsia" w:hAnsiTheme="minorHAnsi" w:cstheme="minorBidi"/>
          <w:szCs w:val="22"/>
        </w:rPr>
      </w:pPr>
      <w:r>
        <w:t>24A.</w:t>
      </w:r>
      <w:r>
        <w:tab/>
        <w:t>Onus of proving individual is or was not employee</w:t>
      </w:r>
      <w:r>
        <w:tab/>
      </w:r>
      <w:r>
        <w:fldChar w:fldCharType="begin"/>
      </w:r>
      <w:r>
        <w:instrText xml:space="preserve"> PAGEREF _Toc188451069 \h </w:instrText>
      </w:r>
      <w:r>
        <w:fldChar w:fldCharType="separate"/>
      </w:r>
      <w:r>
        <w:t>42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_Toc188451070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_Toc188451071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_Toc188451072 \h </w:instrText>
      </w:r>
      <w:r>
        <w:fldChar w:fldCharType="separate"/>
      </w:r>
      <w:r>
        <w:t>47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_Toc188451073 \h </w:instrText>
      </w:r>
      <w:r>
        <w:fldChar w:fldCharType="separate"/>
      </w:r>
      <w:r>
        <w:t>50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_Toc188451074 \h </w:instrText>
      </w:r>
      <w:r>
        <w:fldChar w:fldCharType="separate"/>
      </w:r>
      <w:r>
        <w:t>51</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_Toc188451075 \h </w:instrText>
      </w:r>
      <w:r>
        <w:fldChar w:fldCharType="separate"/>
      </w:r>
      <w:r>
        <w:t>53</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_Toc188451076 \h </w:instrText>
      </w:r>
      <w:r>
        <w:fldChar w:fldCharType="separate"/>
      </w:r>
      <w:r>
        <w:t>55</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_Toc188451077 \h </w:instrText>
      </w:r>
      <w:r>
        <w:fldChar w:fldCharType="separate"/>
      </w:r>
      <w:r>
        <w:t>57</w:t>
      </w:r>
      <w:r>
        <w:fldChar w:fldCharType="end"/>
      </w:r>
    </w:p>
    <w:p>
      <w:pPr>
        <w:pStyle w:val="TOC8"/>
        <w:rPr>
          <w:rFonts w:asciiTheme="minorHAnsi" w:eastAsiaTheme="minorEastAsia" w:hAnsiTheme="minorHAnsi" w:cstheme="minorBidi"/>
          <w:szCs w:val="22"/>
        </w:rPr>
      </w:pPr>
      <w:r>
        <w:t>29C.</w:t>
      </w:r>
      <w:r>
        <w:tab/>
        <w:t>Deciding which organisation to be party to award, order or industrial agreement relating to government officers</w:t>
      </w:r>
      <w:r>
        <w:tab/>
      </w:r>
      <w:r>
        <w:fldChar w:fldCharType="begin"/>
      </w:r>
      <w:r>
        <w:instrText xml:space="preserve"> PAGEREF _Toc188451078 \h </w:instrText>
      </w:r>
      <w:r>
        <w:fldChar w:fldCharType="separate"/>
      </w:r>
      <w:r>
        <w:t>57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_Toc188451079 \h </w:instrText>
      </w:r>
      <w:r>
        <w:fldChar w:fldCharType="separate"/>
      </w:r>
      <w:r>
        <w:t>58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_Toc188451080 \h </w:instrText>
      </w:r>
      <w:r>
        <w:fldChar w:fldCharType="separate"/>
      </w:r>
      <w:r>
        <w:t>58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_Toc188451081 \h </w:instrText>
      </w:r>
      <w:r>
        <w:fldChar w:fldCharType="separate"/>
      </w:r>
      <w:r>
        <w:t>59</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_Toc188451082 \h </w:instrText>
      </w:r>
      <w:r>
        <w:fldChar w:fldCharType="separate"/>
      </w:r>
      <w:r>
        <w:t>61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_Toc188451083 \h </w:instrText>
      </w:r>
      <w:r>
        <w:fldChar w:fldCharType="separate"/>
      </w:r>
      <w:r>
        <w:t>62</w:t>
      </w:r>
      <w:r>
        <w:fldChar w:fldCharType="end"/>
      </w:r>
    </w:p>
    <w:p>
      <w:pPr>
        <w:pStyle w:val="TOC8"/>
        <w:rPr>
          <w:rFonts w:asciiTheme="minorHAnsi" w:eastAsiaTheme="minorEastAsia" w:hAnsiTheme="minorHAnsi" w:cstheme="minorBidi"/>
          <w:szCs w:val="22"/>
        </w:rPr>
      </w:pPr>
      <w:r>
        <w:t>33A.</w:t>
      </w:r>
      <w:r>
        <w:tab/>
        <w:t>Misconduct before Commission</w:t>
      </w:r>
      <w:r>
        <w:tab/>
      </w:r>
      <w:r>
        <w:fldChar w:fldCharType="begin"/>
      </w:r>
      <w:r>
        <w:instrText xml:space="preserve"> PAGEREF _Toc188451084 \h </w:instrText>
      </w:r>
      <w:r>
        <w:fldChar w:fldCharType="separate"/>
      </w:r>
      <w:r>
        <w:t>64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_Toc188451085 \h </w:instrText>
      </w:r>
      <w:r>
        <w:fldChar w:fldCharType="separate"/>
      </w:r>
      <w:r>
        <w:t>65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_Toc188451086 \h </w:instrText>
      </w:r>
      <w:r>
        <w:fldChar w:fldCharType="separate"/>
      </w:r>
      <w:r>
        <w:t>66</w:t>
      </w:r>
      <w:r>
        <w:fldChar w:fldCharType="end"/>
      </w:r>
    </w:p>
    <w:p>
      <w:pPr>
        <w:pStyle w:val="TOC8"/>
        <w:rPr>
          <w:rFonts w:asciiTheme="minorHAnsi" w:eastAsiaTheme="minorEastAsia" w:hAnsiTheme="minorHAnsi" w:cstheme="minorBidi"/>
          <w:szCs w:val="22"/>
        </w:rPr>
      </w:pPr>
      <w:r>
        <w:lastRenderedPageBreak/>
        <w:t>36.</w:t>
      </w:r>
      <w:r>
        <w:tab/>
        <w:t>Copy of decision must be given to parties and be available for inspection</w:t>
      </w:r>
      <w:r>
        <w:tab/>
      </w:r>
      <w:r>
        <w:fldChar w:fldCharType="begin"/>
      </w:r>
      <w:r>
        <w:instrText xml:space="preserve"> PAGEREF _Toc188451087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2AA — Certain industrial matters relating to public sector employment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36AA.</w:t>
      </w:r>
      <w:r>
        <w:tab/>
        <w:t>Industrial matters relating to public sector employment</w:t>
      </w:r>
      <w:r>
        <w:tab/>
      </w:r>
      <w:r>
        <w:fldChar w:fldCharType="begin"/>
      </w:r>
      <w:r>
        <w:instrText xml:space="preserve"> PAGEREF _Toc188451090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Certain industrial matters relating to government officers</w:t>
      </w:r>
    </w:p>
    <w:p>
      <w:pPr>
        <w:pStyle w:val="TOC8"/>
        <w:rPr>
          <w:rFonts w:asciiTheme="minorHAnsi" w:eastAsiaTheme="minorEastAsia" w:hAnsiTheme="minorHAnsi" w:cstheme="minorBidi"/>
          <w:szCs w:val="22"/>
        </w:rPr>
      </w:pPr>
      <w:r>
        <w:t>36AB.</w:t>
      </w:r>
      <w:r>
        <w:tab/>
        <w:t>Meaning of government officer</w:t>
      </w:r>
      <w:r>
        <w:tab/>
      </w:r>
      <w:r>
        <w:fldChar w:fldCharType="begin"/>
      </w:r>
      <w:r>
        <w:instrText xml:space="preserve"> PAGEREF _Toc188451092 \h </w:instrText>
      </w:r>
      <w:r>
        <w:fldChar w:fldCharType="separate"/>
      </w:r>
      <w:r>
        <w:t>68</w:t>
      </w:r>
      <w:r>
        <w:fldChar w:fldCharType="end"/>
      </w:r>
    </w:p>
    <w:p>
      <w:pPr>
        <w:pStyle w:val="TOC8"/>
        <w:rPr>
          <w:rFonts w:asciiTheme="minorHAnsi" w:eastAsiaTheme="minorEastAsia" w:hAnsiTheme="minorHAnsi" w:cstheme="minorBidi"/>
          <w:szCs w:val="22"/>
        </w:rPr>
      </w:pPr>
      <w:r>
        <w:t>36AC.</w:t>
      </w:r>
      <w:r>
        <w:tab/>
        <w:t>Commission’s additional power of review for industrial matters relating to government officers</w:t>
      </w:r>
      <w:r>
        <w:tab/>
      </w:r>
      <w:r>
        <w:fldChar w:fldCharType="begin"/>
      </w:r>
      <w:r>
        <w:instrText xml:space="preserve"> PAGEREF _Toc188451093 \h </w:instrText>
      </w:r>
      <w:r>
        <w:fldChar w:fldCharType="separate"/>
      </w:r>
      <w:r>
        <w:t>70</w:t>
      </w:r>
      <w:r>
        <w:fldChar w:fldCharType="end"/>
      </w:r>
    </w:p>
    <w:p>
      <w:pPr>
        <w:pStyle w:val="TOC8"/>
        <w:rPr>
          <w:rFonts w:asciiTheme="minorHAnsi" w:eastAsiaTheme="minorEastAsia" w:hAnsiTheme="minorHAnsi" w:cstheme="minorBidi"/>
          <w:szCs w:val="22"/>
        </w:rPr>
      </w:pPr>
      <w:r>
        <w:t>36AD.</w:t>
      </w:r>
      <w:r>
        <w:tab/>
        <w:t>Effective date of reclassification decision</w:t>
      </w:r>
      <w:r>
        <w:tab/>
      </w:r>
      <w:r>
        <w:fldChar w:fldCharType="begin"/>
      </w:r>
      <w:r>
        <w:instrText xml:space="preserve"> PAGEREF _Toc188451094 \h </w:instrText>
      </w:r>
      <w:r>
        <w:fldChar w:fldCharType="separate"/>
      </w:r>
      <w:r>
        <w:t>71</w:t>
      </w:r>
      <w:r>
        <w:fldChar w:fldCharType="end"/>
      </w:r>
    </w:p>
    <w:p>
      <w:pPr>
        <w:pStyle w:val="TOC8"/>
        <w:rPr>
          <w:rFonts w:asciiTheme="minorHAnsi" w:eastAsiaTheme="minorEastAsia" w:hAnsiTheme="minorHAnsi" w:cstheme="minorBidi"/>
          <w:szCs w:val="22"/>
        </w:rPr>
      </w:pPr>
      <w:r>
        <w:t>36AE.</w:t>
      </w:r>
      <w:r>
        <w:tab/>
        <w:t>No appeal from certain decisions relating to government officers</w:t>
      </w:r>
      <w:r>
        <w:tab/>
      </w:r>
      <w:r>
        <w:fldChar w:fldCharType="begin"/>
      </w:r>
      <w:r>
        <w:instrText xml:space="preserve"> PAGEREF _Toc188451095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Provisions related to certain substandard performance or disciplinary decisions or findings</w:t>
      </w:r>
    </w:p>
    <w:p>
      <w:pPr>
        <w:pStyle w:val="TOC8"/>
        <w:rPr>
          <w:rFonts w:asciiTheme="minorHAnsi" w:eastAsiaTheme="minorEastAsia" w:hAnsiTheme="minorHAnsi" w:cstheme="minorBidi"/>
          <w:szCs w:val="22"/>
        </w:rPr>
      </w:pPr>
      <w:r>
        <w:t>36AF.</w:t>
      </w:r>
      <w:r>
        <w:tab/>
        <w:t>Application of Subdivision</w:t>
      </w:r>
      <w:r>
        <w:tab/>
      </w:r>
      <w:r>
        <w:fldChar w:fldCharType="begin"/>
      </w:r>
      <w:r>
        <w:instrText xml:space="preserve"> PAGEREF _Toc188451097 \h </w:instrText>
      </w:r>
      <w:r>
        <w:fldChar w:fldCharType="separate"/>
      </w:r>
      <w:r>
        <w:t>72</w:t>
      </w:r>
      <w:r>
        <w:fldChar w:fldCharType="end"/>
      </w:r>
    </w:p>
    <w:p>
      <w:pPr>
        <w:pStyle w:val="TOC8"/>
        <w:rPr>
          <w:rFonts w:asciiTheme="minorHAnsi" w:eastAsiaTheme="minorEastAsia" w:hAnsiTheme="minorHAnsi" w:cstheme="minorBidi"/>
          <w:szCs w:val="22"/>
        </w:rPr>
      </w:pPr>
      <w:r>
        <w:t>36AG.</w:t>
      </w:r>
      <w:r>
        <w:tab/>
        <w:t>Commission’s powers on exercising jurisdiction in relation to certain decisions or findings</w:t>
      </w:r>
      <w:r>
        <w:tab/>
      </w:r>
      <w:r>
        <w:fldChar w:fldCharType="begin"/>
      </w:r>
      <w:r>
        <w:instrText xml:space="preserve"> PAGEREF _Toc188451098 \h </w:instrText>
      </w:r>
      <w:r>
        <w:fldChar w:fldCharType="separate"/>
      </w:r>
      <w:r>
        <w:t>72</w:t>
      </w:r>
      <w:r>
        <w:fldChar w:fldCharType="end"/>
      </w:r>
    </w:p>
    <w:p>
      <w:pPr>
        <w:pStyle w:val="TOC8"/>
        <w:rPr>
          <w:rFonts w:asciiTheme="minorHAnsi" w:eastAsiaTheme="minorEastAsia" w:hAnsiTheme="minorHAnsi" w:cstheme="minorBidi"/>
          <w:szCs w:val="22"/>
        </w:rPr>
      </w:pPr>
      <w:r>
        <w:t>36AH.</w:t>
      </w:r>
      <w:r>
        <w:tab/>
        <w:t>Limit on Commission’s powers in relation to lawful redeployment direction matters</w:t>
      </w:r>
      <w:r>
        <w:tab/>
      </w:r>
      <w:r>
        <w:fldChar w:fldCharType="begin"/>
      </w:r>
      <w:r>
        <w:instrText xml:space="preserve"> PAGEREF _Toc188451099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_Toc188451101 \h </w:instrText>
      </w:r>
      <w:r>
        <w:fldChar w:fldCharType="separate"/>
      </w:r>
      <w:r>
        <w:t>73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r>
      <w:r>
        <w:t>Effect, area of operation and duration of award</w:t>
      </w:r>
      <w:r>
        <w:tab/>
      </w:r>
      <w:r>
        <w:fldChar w:fldCharType="begin"/>
      </w:r>
      <w:r>
        <w:instrText xml:space="preserve"> PAGEREF _Toc188451102 \h </w:instrText>
      </w:r>
      <w:r>
        <w:fldChar w:fldCharType="separate"/>
      </w:r>
      <w:r>
        <w:t>74</w:t>
      </w:r>
      <w:r>
        <w:fldChar w:fldCharType="end"/>
      </w:r>
    </w:p>
    <w:p>
      <w:pPr>
        <w:pStyle w:val="TOC8"/>
        <w:rPr>
          <w:rFonts w:asciiTheme="minorHAnsi" w:eastAsiaTheme="minorEastAsia" w:hAnsiTheme="minorHAnsi" w:cstheme="minorBidi"/>
          <w:szCs w:val="22"/>
        </w:rPr>
      </w:pPr>
      <w:r>
        <w:t>37A.</w:t>
      </w:r>
      <w:r>
        <w:tab/>
        <w:t>Public sector awards and enterprise awards</w:t>
      </w:r>
      <w:r>
        <w:tab/>
      </w:r>
      <w:r>
        <w:fldChar w:fldCharType="begin"/>
      </w:r>
      <w:r>
        <w:instrText xml:space="preserve"> PAGEREF _Toc188451103 \h </w:instrText>
      </w:r>
      <w:r>
        <w:fldChar w:fldCharType="separate"/>
      </w:r>
      <w:r>
        <w:t>75</w:t>
      </w:r>
      <w:r>
        <w:fldChar w:fldCharType="end"/>
      </w:r>
    </w:p>
    <w:p>
      <w:pPr>
        <w:pStyle w:val="TOC8"/>
        <w:rPr>
          <w:rFonts w:asciiTheme="minorHAnsi" w:eastAsiaTheme="minorEastAsia" w:hAnsiTheme="minorHAnsi" w:cstheme="minorBidi"/>
          <w:szCs w:val="22"/>
        </w:rPr>
      </w:pPr>
      <w:r>
        <w:t>37B.</w:t>
      </w:r>
      <w:r>
        <w:tab/>
        <w:t>Private sector awards: general</w:t>
      </w:r>
      <w:r>
        <w:tab/>
      </w:r>
      <w:r>
        <w:fldChar w:fldCharType="begin"/>
      </w:r>
      <w:r>
        <w:instrText xml:space="preserve"> PAGEREF _Toc188451104 \h </w:instrText>
      </w:r>
      <w:r>
        <w:fldChar w:fldCharType="separate"/>
      </w:r>
      <w:r>
        <w:t>75</w:t>
      </w:r>
      <w:r>
        <w:fldChar w:fldCharType="end"/>
      </w:r>
    </w:p>
    <w:p>
      <w:pPr>
        <w:pStyle w:val="TOC8"/>
        <w:rPr>
          <w:rFonts w:asciiTheme="minorHAnsi" w:eastAsiaTheme="minorEastAsia" w:hAnsiTheme="minorHAnsi" w:cstheme="minorBidi"/>
          <w:szCs w:val="22"/>
        </w:rPr>
      </w:pPr>
      <w:r>
        <w:t>37C.</w:t>
      </w:r>
      <w:r>
        <w:tab/>
        <w:t>Private sector awards: limitations on making and varying</w:t>
      </w:r>
      <w:r>
        <w:tab/>
      </w:r>
      <w:r>
        <w:fldChar w:fldCharType="begin"/>
      </w:r>
      <w:r>
        <w:instrText xml:space="preserve"> PAGEREF _Toc188451105 \h </w:instrText>
      </w:r>
      <w:r>
        <w:fldChar w:fldCharType="separate"/>
      </w:r>
      <w:r>
        <w:t>76</w:t>
      </w:r>
      <w:r>
        <w:fldChar w:fldCharType="end"/>
      </w:r>
    </w:p>
    <w:p>
      <w:pPr>
        <w:pStyle w:val="TOC8"/>
        <w:rPr>
          <w:rFonts w:asciiTheme="minorHAnsi" w:eastAsiaTheme="minorEastAsia" w:hAnsiTheme="minorHAnsi" w:cstheme="minorBidi"/>
          <w:szCs w:val="22"/>
        </w:rPr>
      </w:pPr>
      <w:r>
        <w:t>37D.</w:t>
      </w:r>
      <w:r>
        <w:tab/>
        <w:t>Private sector awards: variations of the Commission’s own motion</w:t>
      </w:r>
      <w:r>
        <w:tab/>
      </w:r>
      <w:r>
        <w:fldChar w:fldCharType="begin"/>
      </w:r>
      <w:r>
        <w:instrText xml:space="preserve"> PAGEREF _Toc188451106 \h </w:instrText>
      </w:r>
      <w:r>
        <w:fldChar w:fldCharType="separate"/>
      </w:r>
      <w:r>
        <w:t>76</w:t>
      </w:r>
      <w:r>
        <w:fldChar w:fldCharType="end"/>
      </w:r>
    </w:p>
    <w:p>
      <w:pPr>
        <w:pStyle w:val="TOC8"/>
        <w:rPr>
          <w:rFonts w:asciiTheme="minorHAnsi" w:eastAsiaTheme="minorEastAsia" w:hAnsiTheme="minorHAnsi" w:cstheme="minorBidi"/>
          <w:szCs w:val="22"/>
        </w:rPr>
      </w:pPr>
      <w:r>
        <w:t>38.</w:t>
      </w:r>
      <w:r>
        <w:tab/>
        <w:t>Named parties to awards</w:t>
      </w:r>
      <w:r>
        <w:tab/>
      </w:r>
      <w:r>
        <w:fldChar w:fldCharType="begin"/>
      </w:r>
      <w:r>
        <w:instrText xml:space="preserve"> PAGEREF _Toc188451107 \h </w:instrText>
      </w:r>
      <w:r>
        <w:fldChar w:fldCharType="separate"/>
      </w:r>
      <w:r>
        <w:t>78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_Toc188451108 \h </w:instrText>
      </w:r>
      <w:r>
        <w:fldChar w:fldCharType="separate"/>
      </w:r>
      <w:r>
        <w:t>80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r>
      <w:r>
        <w:t>Varying and cancelling awards generally</w:t>
      </w:r>
      <w:r>
        <w:tab/>
      </w:r>
      <w:r>
        <w:fldChar w:fldCharType="begin"/>
      </w:r>
      <w:r>
        <w:instrText xml:space="preserve"> PAGEREF _Toc188451109 \h </w:instrText>
      </w:r>
      <w:r>
        <w:fldChar w:fldCharType="separate"/>
      </w:r>
      <w:r>
        <w:t>80</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_Toc188451110 \h </w:instrText>
      </w:r>
      <w:r>
        <w:fldChar w:fldCharType="separate"/>
      </w:r>
      <w:r>
        <w:t>82</w:t>
      </w:r>
      <w:r>
        <w:fldChar w:fldCharType="end"/>
      </w:r>
    </w:p>
    <w:p>
      <w:pPr>
        <w:pStyle w:val="TOC8"/>
        <w:rPr>
          <w:rFonts w:asciiTheme="minorHAnsi" w:eastAsiaTheme="minorEastAsia" w:hAnsiTheme="minorHAnsi" w:cstheme="minorBidi"/>
          <w:szCs w:val="22"/>
        </w:rPr>
      </w:pPr>
      <w:r>
        <w:lastRenderedPageBreak/>
        <w:t>40B.</w:t>
      </w:r>
      <w:r>
        <w:tab/>
        <w:t>Power to vary awards to reflect statutory etc. requirements, to promote efficiency and to facilitate implementation</w:t>
      </w:r>
      <w:r>
        <w:tab/>
      </w:r>
      <w:r>
        <w:fldChar w:fldCharType="begin"/>
      </w:r>
      <w:r>
        <w:instrText xml:space="preserve"> PAGEREF _Toc188451111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_Toc188451113 \h </w:instrText>
      </w:r>
      <w:r>
        <w:fldChar w:fldCharType="separate"/>
      </w:r>
      <w:r>
        <w:t>84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_Toc188451114 \h </w:instrText>
      </w:r>
      <w:r>
        <w:fldChar w:fldCharType="separate"/>
      </w:r>
      <w:r>
        <w:t>84</w:t>
      </w:r>
      <w:r>
        <w:fldChar w:fldCharType="end"/>
      </w:r>
    </w:p>
    <w:p>
      <w:pPr>
        <w:pStyle w:val="TOC8"/>
        <w:rPr>
          <w:rFonts w:asciiTheme="minorHAnsi" w:eastAsiaTheme="minorEastAsia" w:hAnsiTheme="minorHAnsi" w:cstheme="minorBidi"/>
          <w:szCs w:val="22"/>
        </w:rPr>
      </w:pPr>
      <w:r>
        <w:t>41A.</w:t>
      </w:r>
      <w:r>
        <w:tab/>
        <w:t>Which industrial agreements must not be registered under s. 41</w:t>
      </w:r>
      <w:r>
        <w:tab/>
      </w:r>
      <w:r>
        <w:fldChar w:fldCharType="begin"/>
      </w:r>
      <w:r>
        <w:instrText xml:space="preserve"> PAGEREF _Toc188451115 \h </w:instrText>
      </w:r>
      <w:r>
        <w:fldChar w:fldCharType="separate"/>
      </w:r>
      <w:r>
        <w:t>87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_Toc188451116 \h </w:instrText>
      </w:r>
      <w:r>
        <w:fldChar w:fldCharType="separate"/>
      </w:r>
      <w:r>
        <w:t>87</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_Toc188451117 \h </w:instrText>
      </w:r>
      <w:r>
        <w:fldChar w:fldCharType="separate"/>
      </w:r>
      <w:r>
        <w:t>88</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_Toc188451118 \h </w:instrText>
      </w:r>
      <w:r>
        <w:fldChar w:fldCharType="separate"/>
      </w:r>
      <w:r>
        <w:t>89</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_Toc188451119 \h </w:instrText>
      </w:r>
      <w:r>
        <w:fldChar w:fldCharType="separate"/>
      </w:r>
      <w:r>
        <w:t>91</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_Toc188451120 \h </w:instrText>
      </w:r>
      <w:r>
        <w:fldChar w:fldCharType="separate"/>
      </w:r>
      <w:r>
        <w:t>92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_Toc188451121 \h </w:instrText>
      </w:r>
      <w:r>
        <w:fldChar w:fldCharType="separate"/>
      </w:r>
      <w:r>
        <w:t>92</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_Toc188451122 \h </w:instrText>
      </w:r>
      <w:r>
        <w:fldChar w:fldCharType="separate"/>
      </w:r>
      <w:r>
        <w:t>92</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_Toc188451123 \h </w:instrText>
      </w:r>
      <w:r>
        <w:fldChar w:fldCharType="separate"/>
      </w:r>
      <w:r>
        <w:t>93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_Toc188451124 \h </w:instrText>
      </w:r>
      <w:r>
        <w:fldChar w:fldCharType="separate"/>
      </w:r>
      <w:r>
        <w:t>94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_Toc188451125 \h </w:instrText>
      </w:r>
      <w:r>
        <w:fldChar w:fldCharType="separate"/>
      </w:r>
      <w:r>
        <w:t>94</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_Toc188451126 \h </w:instrText>
      </w:r>
      <w:r>
        <w:fldChar w:fldCharType="separate"/>
      </w:r>
      <w:r>
        <w:t>96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_Toc188451127 \h </w:instrText>
      </w:r>
      <w:r>
        <w:fldChar w:fldCharType="separate"/>
      </w:r>
      <w:r>
        <w:t>97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_Toc188451128 \h </w:instrText>
      </w:r>
      <w:r>
        <w:fldChar w:fldCharType="separate"/>
      </w:r>
      <w:r>
        <w:t>98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_Toc188451129 \h </w:instrText>
      </w:r>
      <w:r>
        <w:fldChar w:fldCharType="separate"/>
      </w:r>
      <w:r>
        <w:t>98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_Toc188451130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_Toc188451132 \h </w:instrText>
      </w:r>
      <w:r>
        <w:fldChar w:fldCharType="separate"/>
      </w:r>
      <w:r>
        <w:t>99</w:t>
      </w:r>
      <w:r>
        <w:fldChar w:fldCharType="end"/>
      </w:r>
    </w:p>
    <w:p>
      <w:pPr>
        <w:pStyle w:val="TOC8"/>
        <w:rPr>
          <w:rFonts w:asciiTheme="minorHAnsi" w:eastAsiaTheme="minorEastAsia" w:hAnsiTheme="minorHAnsi" w:cstheme="minorBidi"/>
          <w:szCs w:val="22"/>
        </w:rPr>
      </w:pPr>
      <w:r>
        <w:t>45.</w:t>
      </w:r>
      <w:r>
        <w:tab/>
        <w:t>Conference etc. not to be held in relation to certain disputes about long service leave entitlement</w:t>
      </w:r>
      <w:r>
        <w:tab/>
      </w:r>
      <w:r>
        <w:fldChar w:fldCharType="begin"/>
      </w:r>
      <w:r>
        <w:instrText xml:space="preserve"> PAGEREF _Toc188451133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_Toc188451135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47</w:t>
      </w:r>
      <w:r>
        <w:rPr>
          <w:snapToGrid w:val="0"/>
        </w:rPr>
        <w:t>.</w:t>
      </w:r>
      <w:r>
        <w:rPr>
          <w:snapToGrid w:val="0"/>
        </w:rPr>
        <w:tab/>
        <w:t>Defunct awards etc., cancelling; employers not in business etc., deleting from awards etc.</w:t>
      </w:r>
      <w:r>
        <w:tab/>
      </w:r>
      <w:r>
        <w:fldChar w:fldCharType="begin"/>
      </w:r>
      <w:r>
        <w:instrText xml:space="preserve"> PAGEREF _Toc188451136 \h </w:instrText>
      </w:r>
      <w:r>
        <w:fldChar w:fldCharType="separate"/>
      </w:r>
      <w:r>
        <w:t>106</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_Toc188451137 \h </w:instrText>
      </w:r>
      <w:r>
        <w:fldChar w:fldCharType="separate"/>
      </w:r>
      <w:r>
        <w:t>107</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_Toc188451138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_Toc188451140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 and pay slips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_Toc188451142 \h </w:instrText>
      </w:r>
      <w:r>
        <w:fldChar w:fldCharType="separate"/>
      </w:r>
      <w:r>
        <w:t>113</w:t>
      </w:r>
      <w:r>
        <w:fldChar w:fldCharType="end"/>
      </w:r>
    </w:p>
    <w:p>
      <w:pPr>
        <w:pStyle w:val="TOC8"/>
        <w:rPr>
          <w:rFonts w:asciiTheme="minorHAnsi" w:eastAsiaTheme="minorEastAsia" w:hAnsiTheme="minorHAnsi" w:cstheme="minorBidi"/>
          <w:szCs w:val="22"/>
        </w:rPr>
      </w:pPr>
      <w:r>
        <w:t>49DA.</w:t>
      </w:r>
      <w:r>
        <w:tab/>
        <w:t>Employer obligations in relation to pay slips</w:t>
      </w:r>
      <w:r>
        <w:tab/>
      </w:r>
      <w:r>
        <w:fldChar w:fldCharType="begin"/>
      </w:r>
      <w:r>
        <w:instrText xml:space="preserve"> PAGEREF _Toc188451143 \h </w:instrText>
      </w:r>
      <w:r>
        <w:fldChar w:fldCharType="separate"/>
      </w:r>
      <w:r>
        <w:t>116</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_Toc188451144 \h </w:instrText>
      </w:r>
      <w:r>
        <w:fldChar w:fldCharType="separate"/>
      </w:r>
      <w:r>
        <w:t>118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_Toc188451145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_Toc188451148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Right of entry and inspection</w:t>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_Toc188451150 \h </w:instrText>
      </w:r>
      <w:r>
        <w:fldChar w:fldCharType="separate"/>
      </w:r>
      <w:r>
        <w:t>122</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_Toc188451151 \h </w:instrText>
      </w:r>
      <w:r>
        <w:fldChar w:fldCharType="separate"/>
      </w:r>
      <w:r>
        <w:t>122</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_Toc188451152 \h </w:instrText>
      </w:r>
      <w:r>
        <w:fldChar w:fldCharType="separate"/>
      </w:r>
      <w:r>
        <w:t>125</w:t>
      </w:r>
      <w:r>
        <w:fldChar w:fldCharType="end"/>
      </w:r>
    </w:p>
    <w:p>
      <w:pPr>
        <w:pStyle w:val="TOC8"/>
        <w:rPr>
          <w:rFonts w:asciiTheme="minorHAnsi" w:eastAsiaTheme="minorEastAsia" w:hAnsiTheme="minorHAnsi" w:cstheme="minorBidi"/>
          <w:szCs w:val="22"/>
        </w:rPr>
      </w:pPr>
      <w:r>
        <w:t>49L.</w:t>
      </w:r>
      <w:r>
        <w:tab/>
        <w:t>Right of entry permit must be shown to occupier on request</w:t>
      </w:r>
      <w:r>
        <w:tab/>
      </w:r>
      <w:r>
        <w:fldChar w:fldCharType="begin"/>
      </w:r>
      <w:r>
        <w:instrText xml:space="preserve"> PAGEREF _Toc188451153 \h </w:instrText>
      </w:r>
      <w:r>
        <w:fldChar w:fldCharType="separate"/>
      </w:r>
      <w:r>
        <w:t>125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_Toc188451154 \h </w:instrText>
      </w:r>
      <w:r>
        <w:fldChar w:fldCharType="separate"/>
      </w:r>
      <w:r>
        <w:t>126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Right of entry permits</w:t>
      </w:r>
    </w:p>
    <w:p>
      <w:pPr>
        <w:pStyle w:val="TOC8"/>
        <w:rPr>
          <w:rFonts w:asciiTheme="minorHAnsi" w:eastAsiaTheme="minorEastAsia" w:hAnsiTheme="minorHAnsi" w:cstheme="minorBidi"/>
          <w:szCs w:val="22"/>
        </w:rPr>
      </w:pPr>
      <w:r>
        <w:t>49N.</w:t>
      </w:r>
      <w:r>
        <w:tab/>
        <w:t>Application for right of entry permit</w:t>
      </w:r>
      <w:r>
        <w:tab/>
      </w:r>
      <w:r>
        <w:fldChar w:fldCharType="begin"/>
      </w:r>
      <w:r>
        <w:instrText xml:space="preserve"> PAGEREF _Toc188451156 \h </w:instrText>
      </w:r>
      <w:r>
        <w:fldChar w:fldCharType="separate"/>
      </w:r>
      <w:r>
        <w:t>126</w:t>
      </w:r>
      <w:r>
        <w:fldChar w:fldCharType="end"/>
      </w:r>
    </w:p>
    <w:p>
      <w:pPr>
        <w:pStyle w:val="TOC8"/>
        <w:rPr>
          <w:rFonts w:asciiTheme="minorHAnsi" w:eastAsiaTheme="minorEastAsia" w:hAnsiTheme="minorHAnsi" w:cstheme="minorBidi"/>
          <w:szCs w:val="22"/>
        </w:rPr>
      </w:pPr>
      <w:r>
        <w:t>49O.</w:t>
      </w:r>
      <w:r>
        <w:tab/>
        <w:t>Commission may issue right of entry permit</w:t>
      </w:r>
      <w:r>
        <w:tab/>
      </w:r>
      <w:r>
        <w:fldChar w:fldCharType="begin"/>
      </w:r>
      <w:r>
        <w:instrText xml:space="preserve"> PAGEREF _Toc188451157 \h </w:instrText>
      </w:r>
      <w:r>
        <w:fldChar w:fldCharType="separate"/>
      </w:r>
      <w:r>
        <w:t>127</w:t>
      </w:r>
      <w:r>
        <w:fldChar w:fldCharType="end"/>
      </w:r>
    </w:p>
    <w:p>
      <w:pPr>
        <w:pStyle w:val="TOC8"/>
        <w:rPr>
          <w:rFonts w:asciiTheme="minorHAnsi" w:eastAsiaTheme="minorEastAsia" w:hAnsiTheme="minorHAnsi" w:cstheme="minorBidi"/>
          <w:szCs w:val="22"/>
        </w:rPr>
      </w:pPr>
      <w:r>
        <w:t>49P.</w:t>
      </w:r>
      <w:r>
        <w:tab/>
        <w:t>Deciding whether nominated representative is fit and proper person</w:t>
      </w:r>
      <w:r>
        <w:tab/>
      </w:r>
      <w:r>
        <w:fldChar w:fldCharType="begin"/>
      </w:r>
      <w:r>
        <w:instrText xml:space="preserve"> PAGEREF _Toc188451158 \h </w:instrText>
      </w:r>
      <w:r>
        <w:fldChar w:fldCharType="separate"/>
      </w:r>
      <w:r>
        <w:t>127</w:t>
      </w:r>
      <w:r>
        <w:fldChar w:fldCharType="end"/>
      </w:r>
    </w:p>
    <w:p>
      <w:pPr>
        <w:pStyle w:val="TOC8"/>
        <w:rPr>
          <w:rFonts w:asciiTheme="minorHAnsi" w:eastAsiaTheme="minorEastAsia" w:hAnsiTheme="minorHAnsi" w:cstheme="minorBidi"/>
          <w:szCs w:val="22"/>
        </w:rPr>
      </w:pPr>
      <w:r>
        <w:t>49Q.</w:t>
      </w:r>
      <w:r>
        <w:tab/>
        <w:t>Form of right of entry permit</w:t>
      </w:r>
      <w:r>
        <w:tab/>
      </w:r>
      <w:r>
        <w:fldChar w:fldCharType="begin"/>
      </w:r>
      <w:r>
        <w:instrText xml:space="preserve"> PAGEREF _Toc188451159 \h </w:instrText>
      </w:r>
      <w:r>
        <w:fldChar w:fldCharType="separate"/>
      </w:r>
      <w:r>
        <w:t>128</w:t>
      </w:r>
      <w:r>
        <w:fldChar w:fldCharType="end"/>
      </w:r>
    </w:p>
    <w:p>
      <w:pPr>
        <w:pStyle w:val="TOC8"/>
        <w:rPr>
          <w:rFonts w:asciiTheme="minorHAnsi" w:eastAsiaTheme="minorEastAsia" w:hAnsiTheme="minorHAnsi" w:cstheme="minorBidi"/>
          <w:szCs w:val="22"/>
        </w:rPr>
      </w:pPr>
      <w:r>
        <w:t>49R.</w:t>
      </w:r>
      <w:r>
        <w:tab/>
        <w:t>Expiry of right of entry permit</w:t>
      </w:r>
      <w:r>
        <w:tab/>
      </w:r>
      <w:r>
        <w:fldChar w:fldCharType="begin"/>
      </w:r>
      <w:r>
        <w:instrText xml:space="preserve"> PAGEREF _Toc188451160 \h </w:instrText>
      </w:r>
      <w:r>
        <w:fldChar w:fldCharType="separate"/>
      </w:r>
      <w:r>
        <w:t>129</w:t>
      </w:r>
      <w:r>
        <w:fldChar w:fldCharType="end"/>
      </w:r>
    </w:p>
    <w:p>
      <w:pPr>
        <w:pStyle w:val="TOC8"/>
        <w:rPr>
          <w:rFonts w:asciiTheme="minorHAnsi" w:eastAsiaTheme="minorEastAsia" w:hAnsiTheme="minorHAnsi" w:cstheme="minorBidi"/>
          <w:szCs w:val="22"/>
        </w:rPr>
      </w:pPr>
      <w:r>
        <w:t>49S.</w:t>
      </w:r>
      <w:r>
        <w:tab/>
        <w:t>Commission may decide on later expiry day</w:t>
      </w:r>
      <w:r>
        <w:tab/>
      </w:r>
      <w:r>
        <w:fldChar w:fldCharType="begin"/>
      </w:r>
      <w:r>
        <w:instrText xml:space="preserve"> PAGEREF _Toc188451161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Imposing or changing conditions, suspending or revoking right of entry permit</w:t>
      </w:r>
    </w:p>
    <w:p>
      <w:pPr>
        <w:pStyle w:val="TOC8"/>
        <w:rPr>
          <w:rFonts w:asciiTheme="minorHAnsi" w:eastAsiaTheme="minorEastAsia" w:hAnsiTheme="minorHAnsi" w:cstheme="minorBidi"/>
          <w:szCs w:val="22"/>
        </w:rPr>
      </w:pPr>
      <w:r>
        <w:t>49T.</w:t>
      </w:r>
      <w:r>
        <w:tab/>
        <w:t>When Commission may impose or change conditions, suspend or revoke right of entry permit</w:t>
      </w:r>
      <w:r>
        <w:tab/>
      </w:r>
      <w:r>
        <w:fldChar w:fldCharType="begin"/>
      </w:r>
      <w:r>
        <w:instrText xml:space="preserve"> PAGEREF _Toc188451163 \h </w:instrText>
      </w:r>
      <w:r>
        <w:fldChar w:fldCharType="separate"/>
      </w:r>
      <w:r>
        <w:t>131</w:t>
      </w:r>
      <w:r>
        <w:fldChar w:fldCharType="end"/>
      </w:r>
    </w:p>
    <w:p>
      <w:pPr>
        <w:pStyle w:val="TOC8"/>
        <w:rPr>
          <w:rFonts w:asciiTheme="minorHAnsi" w:eastAsiaTheme="minorEastAsia" w:hAnsiTheme="minorHAnsi" w:cstheme="minorBidi"/>
          <w:szCs w:val="22"/>
        </w:rPr>
      </w:pPr>
      <w:r>
        <w:t>49U.</w:t>
      </w:r>
      <w:r>
        <w:tab/>
        <w:t>When right of entry permit is suspended</w:t>
      </w:r>
      <w:r>
        <w:tab/>
      </w:r>
      <w:r>
        <w:fldChar w:fldCharType="begin"/>
      </w:r>
      <w:r>
        <w:instrText xml:space="preserve"> PAGEREF _Toc188451164 \h </w:instrText>
      </w:r>
      <w:r>
        <w:fldChar w:fldCharType="separate"/>
      </w:r>
      <w:r>
        <w:t>132</w:t>
      </w:r>
      <w:r>
        <w:fldChar w:fldCharType="end"/>
      </w:r>
    </w:p>
    <w:p>
      <w:pPr>
        <w:pStyle w:val="TOC8"/>
        <w:rPr>
          <w:rFonts w:asciiTheme="minorHAnsi" w:eastAsiaTheme="minorEastAsia" w:hAnsiTheme="minorHAnsi" w:cstheme="minorBidi"/>
          <w:szCs w:val="22"/>
        </w:rPr>
      </w:pPr>
      <w:r>
        <w:t>49V.</w:t>
      </w:r>
      <w:r>
        <w:tab/>
        <w:t>Revocation of right of entry permit on application of secretary of organisation</w:t>
      </w:r>
      <w:r>
        <w:tab/>
      </w:r>
      <w:r>
        <w:fldChar w:fldCharType="begin"/>
      </w:r>
      <w:r>
        <w:instrText xml:space="preserve"> PAGEREF _Toc188451165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Miscellaneous</w:t>
      </w:r>
    </w:p>
    <w:p>
      <w:pPr>
        <w:pStyle w:val="TOC8"/>
        <w:rPr>
          <w:rFonts w:asciiTheme="minorHAnsi" w:eastAsiaTheme="minorEastAsia" w:hAnsiTheme="minorHAnsi" w:cstheme="minorBidi"/>
          <w:szCs w:val="22"/>
        </w:rPr>
      </w:pPr>
      <w:r>
        <w:t>49W.</w:t>
      </w:r>
      <w:r>
        <w:tab/>
        <w:t>Return of right of entry permit</w:t>
      </w:r>
      <w:r>
        <w:tab/>
      </w:r>
      <w:r>
        <w:fldChar w:fldCharType="begin"/>
      </w:r>
      <w:r>
        <w:instrText xml:space="preserve"> PAGEREF _Toc188451167 \h </w:instrText>
      </w:r>
      <w:r>
        <w:fldChar w:fldCharType="separate"/>
      </w:r>
      <w:r>
        <w:t>133</w:t>
      </w:r>
      <w:r>
        <w:fldChar w:fldCharType="end"/>
      </w:r>
    </w:p>
    <w:p>
      <w:pPr>
        <w:pStyle w:val="TOC8"/>
        <w:rPr>
          <w:rFonts w:asciiTheme="minorHAnsi" w:eastAsiaTheme="minorEastAsia" w:hAnsiTheme="minorHAnsi" w:cstheme="minorBidi"/>
          <w:szCs w:val="22"/>
        </w:rPr>
      </w:pPr>
      <w:r>
        <w:t>49X.</w:t>
      </w:r>
      <w:r>
        <w:tab/>
        <w:t>Commission’s powers on dispute about right of entry or investigation</w:t>
      </w:r>
      <w:r>
        <w:tab/>
      </w:r>
      <w:r>
        <w:fldChar w:fldCharType="begin"/>
      </w:r>
      <w:r>
        <w:instrText xml:space="preserve"> PAGEREF _Toc188451168 \h </w:instrText>
      </w:r>
      <w:r>
        <w:fldChar w:fldCharType="separate"/>
      </w:r>
      <w:r>
        <w:t>134</w:t>
      </w:r>
      <w:r>
        <w:fldChar w:fldCharType="end"/>
      </w:r>
    </w:p>
    <w:p>
      <w:pPr>
        <w:pStyle w:val="TOC8"/>
        <w:rPr>
          <w:rFonts w:asciiTheme="minorHAnsi" w:eastAsiaTheme="minorEastAsia" w:hAnsiTheme="minorHAnsi" w:cstheme="minorBidi"/>
          <w:szCs w:val="22"/>
        </w:rPr>
      </w:pPr>
      <w:r>
        <w:t>49Y.</w:t>
      </w:r>
      <w:r>
        <w:tab/>
        <w:t>Limit on Commission’s jurisdiction in relation to awards, orders and agreements</w:t>
      </w:r>
      <w:r>
        <w:tab/>
      </w:r>
      <w:r>
        <w:fldChar w:fldCharType="begin"/>
      </w:r>
      <w:r>
        <w:instrText xml:space="preserve"> PAGEREF _Toc188451169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_Toc188451171 \h </w:instrText>
      </w:r>
      <w:r>
        <w:fldChar w:fldCharType="separate"/>
      </w:r>
      <w:r>
        <w:t>135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_Toc188451172 \h </w:instrText>
      </w:r>
      <w:r>
        <w:fldChar w:fldCharType="separate"/>
      </w:r>
      <w:r>
        <w:t>137</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_Toc188451173 \h </w:instrText>
      </w:r>
      <w:r>
        <w:fldChar w:fldCharType="separate"/>
      </w:r>
      <w:r>
        <w:t>141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_Toc188451174 \h </w:instrText>
      </w:r>
      <w:r>
        <w:fldChar w:fldCharType="separate"/>
      </w:r>
      <w:r>
        <w:t>142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_Toc188451175 \h </w:instrText>
      </w:r>
      <w:r>
        <w:fldChar w:fldCharType="separate"/>
      </w:r>
      <w:r>
        <w:t>144</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_Toc188451176 \h </w:instrText>
      </w:r>
      <w:r>
        <w:fldChar w:fldCharType="separate"/>
      </w:r>
      <w:r>
        <w:t>144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_Toc188451177 \h </w:instrText>
      </w:r>
      <w:r>
        <w:fldChar w:fldCharType="separate"/>
      </w:r>
      <w:r>
        <w:t>145</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_Toc188451178 \h </w:instrText>
      </w:r>
      <w:r>
        <w:fldChar w:fldCharType="separate"/>
      </w:r>
      <w:r>
        <w:t>145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_Toc188451179 \h </w:instrText>
      </w:r>
      <w:r>
        <w:fldChar w:fldCharType="separate"/>
      </w:r>
      <w:r>
        <w:t>145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_Toc188451180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3AA — Bullying at work and sexual harassment in connection with work</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51BF.</w:t>
      </w:r>
      <w:r>
        <w:tab/>
        <w:t>Terms used</w:t>
      </w:r>
      <w:r>
        <w:tab/>
      </w:r>
      <w:r>
        <w:fldChar w:fldCharType="begin"/>
      </w:r>
      <w:r>
        <w:instrText xml:space="preserve"> PAGEREF _Toc188451183 \h </w:instrText>
      </w:r>
      <w:r>
        <w:fldChar w:fldCharType="separate"/>
      </w:r>
      <w:r>
        <w:t>146</w:t>
      </w:r>
      <w:r>
        <w:fldChar w:fldCharType="end"/>
      </w:r>
    </w:p>
    <w:p>
      <w:pPr>
        <w:pStyle w:val="TOC8"/>
        <w:rPr>
          <w:rFonts w:asciiTheme="minorHAnsi" w:eastAsiaTheme="minorEastAsia" w:hAnsiTheme="minorHAnsi" w:cstheme="minorBidi"/>
          <w:szCs w:val="22"/>
        </w:rPr>
      </w:pPr>
      <w:r>
        <w:t>51BG.</w:t>
      </w:r>
      <w:r>
        <w:tab/>
        <w:t>Person conducting a business or undertaking</w:t>
      </w:r>
      <w:r>
        <w:tab/>
      </w:r>
      <w:r>
        <w:fldChar w:fldCharType="begin"/>
      </w:r>
      <w:r>
        <w:instrText xml:space="preserve"> PAGEREF _Toc188451184 \h </w:instrText>
      </w:r>
      <w:r>
        <w:fldChar w:fldCharType="separate"/>
      </w:r>
      <w:r>
        <w:t>147</w:t>
      </w:r>
      <w:r>
        <w:fldChar w:fldCharType="end"/>
      </w:r>
    </w:p>
    <w:p>
      <w:pPr>
        <w:pStyle w:val="TOC8"/>
        <w:rPr>
          <w:rFonts w:asciiTheme="minorHAnsi" w:eastAsiaTheme="minorEastAsia" w:hAnsiTheme="minorHAnsi" w:cstheme="minorBidi"/>
          <w:szCs w:val="22"/>
        </w:rPr>
      </w:pPr>
      <w:r>
        <w:t>51BH.</w:t>
      </w:r>
      <w:r>
        <w:tab/>
        <w:t>Worker</w:t>
      </w:r>
      <w:r>
        <w:tab/>
      </w:r>
      <w:r>
        <w:fldChar w:fldCharType="begin"/>
      </w:r>
      <w:r>
        <w:instrText xml:space="preserve"> PAGEREF _Toc188451185 \h </w:instrText>
      </w:r>
      <w:r>
        <w:fldChar w:fldCharType="separate"/>
      </w:r>
      <w:r>
        <w:t>148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Bullying at work</w:t>
      </w:r>
    </w:p>
    <w:p>
      <w:pPr>
        <w:pStyle w:val="TOC8"/>
        <w:rPr>
          <w:rFonts w:asciiTheme="minorHAnsi" w:eastAsiaTheme="minorEastAsia" w:hAnsiTheme="minorHAnsi" w:cstheme="minorBidi"/>
          <w:szCs w:val="22"/>
        </w:rPr>
      </w:pPr>
      <w:r>
        <w:t>51BI.</w:t>
      </w:r>
      <w:r>
        <w:tab/>
        <w:t>Worker bullied at work</w:t>
      </w:r>
      <w:r>
        <w:tab/>
      </w:r>
      <w:r>
        <w:fldChar w:fldCharType="begin"/>
      </w:r>
      <w:r>
        <w:instrText xml:space="preserve"> PAGEREF _Toc188451187 \h </w:instrText>
      </w:r>
      <w:r>
        <w:fldChar w:fldCharType="separate"/>
      </w:r>
      <w:r>
        <w:t>149</w:t>
      </w:r>
      <w:r>
        <w:fldChar w:fldCharType="end"/>
      </w:r>
    </w:p>
    <w:p>
      <w:pPr>
        <w:pStyle w:val="TOC8"/>
        <w:rPr>
          <w:rFonts w:asciiTheme="minorHAnsi" w:eastAsiaTheme="minorEastAsia" w:hAnsiTheme="minorHAnsi" w:cstheme="minorBidi"/>
          <w:szCs w:val="22"/>
        </w:rPr>
      </w:pPr>
      <w:r>
        <w:t>51BJ.</w:t>
      </w:r>
      <w:r>
        <w:tab/>
        <w:t>Worker may make stop bullying application</w:t>
      </w:r>
      <w:r>
        <w:tab/>
      </w:r>
      <w:r>
        <w:fldChar w:fldCharType="begin"/>
      </w:r>
      <w:r>
        <w:instrText xml:space="preserve"> PAGEREF _Toc188451188 \h </w:instrText>
      </w:r>
      <w:r>
        <w:fldChar w:fldCharType="separate"/>
      </w:r>
      <w:r>
        <w:t>149</w:t>
      </w:r>
      <w:r>
        <w:fldChar w:fldCharType="end"/>
      </w:r>
    </w:p>
    <w:p>
      <w:pPr>
        <w:pStyle w:val="TOC8"/>
        <w:rPr>
          <w:rFonts w:asciiTheme="minorHAnsi" w:eastAsiaTheme="minorEastAsia" w:hAnsiTheme="minorHAnsi" w:cstheme="minorBidi"/>
          <w:szCs w:val="22"/>
        </w:rPr>
      </w:pPr>
      <w:r>
        <w:t>51BK.</w:t>
      </w:r>
      <w:r>
        <w:tab/>
        <w:t>Dealing with stop bullying application</w:t>
      </w:r>
      <w:r>
        <w:tab/>
      </w:r>
      <w:r>
        <w:fldChar w:fldCharType="begin"/>
      </w:r>
      <w:r>
        <w:instrText xml:space="preserve"> PAGEREF _Toc188451189 \h </w:instrText>
      </w:r>
      <w:r>
        <w:fldChar w:fldCharType="separate"/>
      </w:r>
      <w:r>
        <w:t>150</w:t>
      </w:r>
      <w:r>
        <w:fldChar w:fldCharType="end"/>
      </w:r>
    </w:p>
    <w:p>
      <w:pPr>
        <w:pStyle w:val="TOC8"/>
        <w:rPr>
          <w:rFonts w:asciiTheme="minorHAnsi" w:eastAsiaTheme="minorEastAsia" w:hAnsiTheme="minorHAnsi" w:cstheme="minorBidi"/>
          <w:szCs w:val="22"/>
        </w:rPr>
      </w:pPr>
      <w:r>
        <w:t>51BL.</w:t>
      </w:r>
      <w:r>
        <w:tab/>
        <w:t>Power to dismiss stop bullying applications involving covert operations</w:t>
      </w:r>
      <w:r>
        <w:tab/>
      </w:r>
      <w:r>
        <w:fldChar w:fldCharType="begin"/>
      </w:r>
      <w:r>
        <w:instrText xml:space="preserve"> PAGEREF _Toc188451190 \h </w:instrText>
      </w:r>
      <w:r>
        <w:fldChar w:fldCharType="separate"/>
      </w:r>
      <w:r>
        <w:t>150</w:t>
      </w:r>
      <w:r>
        <w:fldChar w:fldCharType="end"/>
      </w:r>
    </w:p>
    <w:p>
      <w:pPr>
        <w:pStyle w:val="TOC8"/>
        <w:rPr>
          <w:rFonts w:asciiTheme="minorHAnsi" w:eastAsiaTheme="minorEastAsia" w:hAnsiTheme="minorHAnsi" w:cstheme="minorBidi"/>
          <w:szCs w:val="22"/>
        </w:rPr>
      </w:pPr>
      <w:r>
        <w:t>51BM.</w:t>
      </w:r>
      <w:r>
        <w:tab/>
        <w:t>Commission may make stop bullying order</w:t>
      </w:r>
      <w:r>
        <w:tab/>
      </w:r>
      <w:r>
        <w:fldChar w:fldCharType="begin"/>
      </w:r>
      <w:r>
        <w:instrText xml:space="preserve"> PAGEREF _Toc188451191 \h </w:instrText>
      </w:r>
      <w:r>
        <w:fldChar w:fldCharType="separate"/>
      </w:r>
      <w:r>
        <w:t>151</w:t>
      </w:r>
      <w:r>
        <w:fldChar w:fldCharType="end"/>
      </w:r>
    </w:p>
    <w:p>
      <w:pPr>
        <w:pStyle w:val="TOC8"/>
        <w:rPr>
          <w:rFonts w:asciiTheme="minorHAnsi" w:eastAsiaTheme="minorEastAsia" w:hAnsiTheme="minorHAnsi" w:cstheme="minorBidi"/>
          <w:szCs w:val="22"/>
        </w:rPr>
      </w:pPr>
      <w:r>
        <w:t>51BN.</w:t>
      </w:r>
      <w:r>
        <w:tab/>
        <w:t>Matters to be taken into account in considering terms of stop bullying order</w:t>
      </w:r>
      <w:r>
        <w:tab/>
      </w:r>
      <w:r>
        <w:fldChar w:fldCharType="begin"/>
      </w:r>
      <w:r>
        <w:instrText xml:space="preserve"> PAGEREF _Toc188451192 \h </w:instrText>
      </w:r>
      <w:r>
        <w:fldChar w:fldCharType="separate"/>
      </w:r>
      <w:r>
        <w:t>151</w:t>
      </w:r>
      <w:r>
        <w:fldChar w:fldCharType="end"/>
      </w:r>
    </w:p>
    <w:p>
      <w:pPr>
        <w:pStyle w:val="TOC8"/>
        <w:rPr>
          <w:rFonts w:asciiTheme="minorHAnsi" w:eastAsiaTheme="minorEastAsia" w:hAnsiTheme="minorHAnsi" w:cstheme="minorBidi"/>
          <w:szCs w:val="22"/>
        </w:rPr>
      </w:pPr>
      <w:r>
        <w:t>51BO.</w:t>
      </w:r>
      <w:r>
        <w:tab/>
        <w:t>Person must comply with stop bullying order</w:t>
      </w:r>
      <w:r>
        <w:tab/>
      </w:r>
      <w:r>
        <w:fldChar w:fldCharType="begin"/>
      </w:r>
      <w:r>
        <w:instrText xml:space="preserve"> PAGEREF _Toc188451193 \h </w:instrText>
      </w:r>
      <w:r>
        <w:fldChar w:fldCharType="separate"/>
      </w:r>
      <w:r>
        <w:t>152</w:t>
      </w:r>
      <w:r>
        <w:fldChar w:fldCharType="end"/>
      </w:r>
    </w:p>
    <w:p>
      <w:pPr>
        <w:pStyle w:val="TOC8"/>
        <w:rPr>
          <w:rFonts w:asciiTheme="minorHAnsi" w:eastAsiaTheme="minorEastAsia" w:hAnsiTheme="minorHAnsi" w:cstheme="minorBidi"/>
          <w:szCs w:val="22"/>
        </w:rPr>
      </w:pPr>
      <w:r>
        <w:t>51BP.</w:t>
      </w:r>
      <w:r>
        <w:tab/>
        <w:t>Enforcement of contravention of stop bullying order</w:t>
      </w:r>
      <w:r>
        <w:tab/>
      </w:r>
      <w:r>
        <w:fldChar w:fldCharType="begin"/>
      </w:r>
      <w:r>
        <w:instrText xml:space="preserve"> PAGEREF _Toc188451194 \h </w:instrText>
      </w:r>
      <w:r>
        <w:fldChar w:fldCharType="separate"/>
      </w:r>
      <w:r>
        <w:t>152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Sexual harassment in connection with work</w:t>
      </w:r>
    </w:p>
    <w:p>
      <w:pPr>
        <w:pStyle w:val="TOC8"/>
        <w:rPr>
          <w:rFonts w:asciiTheme="minorHAnsi" w:eastAsiaTheme="minorEastAsia" w:hAnsiTheme="minorHAnsi" w:cstheme="minorBidi"/>
          <w:szCs w:val="22"/>
        </w:rPr>
      </w:pPr>
      <w:r>
        <w:t>51BQ.</w:t>
      </w:r>
      <w:r>
        <w:tab/>
        <w:t>Meaning of sexually harasses</w:t>
      </w:r>
      <w:r>
        <w:tab/>
      </w:r>
      <w:r>
        <w:fldChar w:fldCharType="begin"/>
      </w:r>
      <w:r>
        <w:instrText xml:space="preserve"> PAGEREF _Toc188451196 \h </w:instrText>
      </w:r>
      <w:r>
        <w:fldChar w:fldCharType="separate"/>
      </w:r>
      <w:r>
        <w:t>153</w:t>
      </w:r>
      <w:r>
        <w:fldChar w:fldCharType="end"/>
      </w:r>
    </w:p>
    <w:p>
      <w:pPr>
        <w:pStyle w:val="TOC8"/>
        <w:rPr>
          <w:rFonts w:asciiTheme="minorHAnsi" w:eastAsiaTheme="minorEastAsia" w:hAnsiTheme="minorHAnsi" w:cstheme="minorBidi"/>
          <w:szCs w:val="22"/>
        </w:rPr>
      </w:pPr>
      <w:r>
        <w:t>51BR.</w:t>
      </w:r>
      <w:r>
        <w:tab/>
        <w:t>Sexual harassment in connection with work prohibited</w:t>
      </w:r>
      <w:r>
        <w:tab/>
      </w:r>
      <w:r>
        <w:fldChar w:fldCharType="begin"/>
      </w:r>
      <w:r>
        <w:instrText xml:space="preserve"> PAGEREF _Toc188451197 \h </w:instrText>
      </w:r>
      <w:r>
        <w:fldChar w:fldCharType="separate"/>
      </w:r>
      <w:r>
        <w:t>154</w:t>
      </w:r>
      <w:r>
        <w:fldChar w:fldCharType="end"/>
      </w:r>
    </w:p>
    <w:p>
      <w:pPr>
        <w:pStyle w:val="TOC8"/>
        <w:rPr>
          <w:rFonts w:asciiTheme="minorHAnsi" w:eastAsiaTheme="minorEastAsia" w:hAnsiTheme="minorHAnsi" w:cstheme="minorBidi"/>
          <w:szCs w:val="22"/>
        </w:rPr>
      </w:pPr>
      <w:r>
        <w:t>51BS.</w:t>
      </w:r>
      <w:r>
        <w:tab/>
        <w:t>Vicarious liability for sexual harassment in connection with work</w:t>
      </w:r>
      <w:r>
        <w:tab/>
      </w:r>
      <w:r>
        <w:fldChar w:fldCharType="begin"/>
      </w:r>
      <w:r>
        <w:instrText xml:space="preserve"> PAGEREF _Toc188451198 \h </w:instrText>
      </w:r>
      <w:r>
        <w:fldChar w:fldCharType="separate"/>
      </w:r>
      <w:r>
        <w:t>154</w:t>
      </w:r>
      <w:r>
        <w:fldChar w:fldCharType="end"/>
      </w:r>
    </w:p>
    <w:p>
      <w:pPr>
        <w:pStyle w:val="TOC8"/>
        <w:rPr>
          <w:rFonts w:asciiTheme="minorHAnsi" w:eastAsiaTheme="minorEastAsia" w:hAnsiTheme="minorHAnsi" w:cstheme="minorBidi"/>
          <w:szCs w:val="22"/>
        </w:rPr>
      </w:pPr>
      <w:r>
        <w:t>51BT.</w:t>
      </w:r>
      <w:r>
        <w:tab/>
        <w:t>Aggrieved person may commence sexual harassment proceeding</w:t>
      </w:r>
      <w:r>
        <w:tab/>
      </w:r>
      <w:r>
        <w:fldChar w:fldCharType="begin"/>
      </w:r>
      <w:r>
        <w:instrText xml:space="preserve"> PAGEREF _Toc188451199 \h </w:instrText>
      </w:r>
      <w:r>
        <w:fldChar w:fldCharType="separate"/>
      </w:r>
      <w:r>
        <w:t>155</w:t>
      </w:r>
      <w:r>
        <w:fldChar w:fldCharType="end"/>
      </w:r>
    </w:p>
    <w:p>
      <w:pPr>
        <w:pStyle w:val="TOC8"/>
        <w:rPr>
          <w:rFonts w:asciiTheme="minorHAnsi" w:eastAsiaTheme="minorEastAsia" w:hAnsiTheme="minorHAnsi" w:cstheme="minorBidi"/>
          <w:szCs w:val="22"/>
        </w:rPr>
      </w:pPr>
      <w:r>
        <w:t>51BU.</w:t>
      </w:r>
      <w:r>
        <w:tab/>
        <w:t>Time for commencing sexual harassment proceeding</w:t>
      </w:r>
      <w:r>
        <w:tab/>
      </w:r>
      <w:r>
        <w:fldChar w:fldCharType="begin"/>
      </w:r>
      <w:r>
        <w:instrText xml:space="preserve"> PAGEREF _Toc188451200 \h </w:instrText>
      </w:r>
      <w:r>
        <w:fldChar w:fldCharType="separate"/>
      </w:r>
      <w:r>
        <w:t>155</w:t>
      </w:r>
      <w:r>
        <w:fldChar w:fldCharType="end"/>
      </w:r>
    </w:p>
    <w:p>
      <w:pPr>
        <w:pStyle w:val="TOC8"/>
        <w:rPr>
          <w:rFonts w:asciiTheme="minorHAnsi" w:eastAsiaTheme="minorEastAsia" w:hAnsiTheme="minorHAnsi" w:cstheme="minorBidi"/>
          <w:szCs w:val="22"/>
        </w:rPr>
      </w:pPr>
      <w:r>
        <w:t>51BV.</w:t>
      </w:r>
      <w:r>
        <w:tab/>
        <w:t>Dealing with sexual harassment proceeding</w:t>
      </w:r>
      <w:r>
        <w:tab/>
      </w:r>
      <w:r>
        <w:fldChar w:fldCharType="begin"/>
      </w:r>
      <w:r>
        <w:instrText xml:space="preserve"> PAGEREF _Toc188451201 \h </w:instrText>
      </w:r>
      <w:r>
        <w:fldChar w:fldCharType="separate"/>
      </w:r>
      <w:r>
        <w:t>156</w:t>
      </w:r>
      <w:r>
        <w:fldChar w:fldCharType="end"/>
      </w:r>
    </w:p>
    <w:p>
      <w:pPr>
        <w:pStyle w:val="TOC8"/>
        <w:rPr>
          <w:rFonts w:asciiTheme="minorHAnsi" w:eastAsiaTheme="minorEastAsia" w:hAnsiTheme="minorHAnsi" w:cstheme="minorBidi"/>
          <w:szCs w:val="22"/>
        </w:rPr>
      </w:pPr>
      <w:r>
        <w:t>51BW.</w:t>
      </w:r>
      <w:r>
        <w:tab/>
        <w:t>Power to dismiss stop sexual harassment application involving covert operations</w:t>
      </w:r>
      <w:r>
        <w:tab/>
      </w:r>
      <w:r>
        <w:fldChar w:fldCharType="begin"/>
      </w:r>
      <w:r>
        <w:instrText xml:space="preserve"> PAGEREF _Toc188451202 \h </w:instrText>
      </w:r>
      <w:r>
        <w:fldChar w:fldCharType="separate"/>
      </w:r>
      <w:r>
        <w:t>156</w:t>
      </w:r>
      <w:r>
        <w:fldChar w:fldCharType="end"/>
      </w:r>
    </w:p>
    <w:p>
      <w:pPr>
        <w:pStyle w:val="TOC8"/>
        <w:rPr>
          <w:rFonts w:asciiTheme="minorHAnsi" w:eastAsiaTheme="minorEastAsia" w:hAnsiTheme="minorHAnsi" w:cstheme="minorBidi"/>
          <w:szCs w:val="22"/>
        </w:rPr>
      </w:pPr>
      <w:r>
        <w:t>51BX.</w:t>
      </w:r>
      <w:r>
        <w:tab/>
        <w:t>Commission may make stop sexual harassment order</w:t>
      </w:r>
      <w:r>
        <w:tab/>
      </w:r>
      <w:r>
        <w:fldChar w:fldCharType="begin"/>
      </w:r>
      <w:r>
        <w:instrText xml:space="preserve"> PAGEREF _Toc188451203 \h </w:instrText>
      </w:r>
      <w:r>
        <w:fldChar w:fldCharType="separate"/>
      </w:r>
      <w:r>
        <w:t>157</w:t>
      </w:r>
      <w:r>
        <w:fldChar w:fldCharType="end"/>
      </w:r>
    </w:p>
    <w:p>
      <w:pPr>
        <w:pStyle w:val="TOC8"/>
        <w:rPr>
          <w:rFonts w:asciiTheme="minorHAnsi" w:eastAsiaTheme="minorEastAsia" w:hAnsiTheme="minorHAnsi" w:cstheme="minorBidi"/>
          <w:szCs w:val="22"/>
        </w:rPr>
      </w:pPr>
      <w:r>
        <w:t>51BY.</w:t>
      </w:r>
      <w:r>
        <w:tab/>
        <w:t>Matters to be taken into account in considering terms of stop sexual harassment order</w:t>
      </w:r>
      <w:r>
        <w:tab/>
      </w:r>
      <w:r>
        <w:fldChar w:fldCharType="begin"/>
      </w:r>
      <w:r>
        <w:instrText xml:space="preserve"> PAGEREF _Toc188451204 \h </w:instrText>
      </w:r>
      <w:r>
        <w:fldChar w:fldCharType="separate"/>
      </w:r>
      <w:r>
        <w:t>157</w:t>
      </w:r>
      <w:r>
        <w:fldChar w:fldCharType="end"/>
      </w:r>
    </w:p>
    <w:p>
      <w:pPr>
        <w:pStyle w:val="TOC8"/>
        <w:rPr>
          <w:rFonts w:asciiTheme="minorHAnsi" w:eastAsiaTheme="minorEastAsia" w:hAnsiTheme="minorHAnsi" w:cstheme="minorBidi"/>
          <w:szCs w:val="22"/>
        </w:rPr>
      </w:pPr>
      <w:r>
        <w:t>51BZ.</w:t>
      </w:r>
      <w:r>
        <w:tab/>
        <w:t>Commission may make declarations and orders for referrals</w:t>
      </w:r>
      <w:r>
        <w:tab/>
      </w:r>
      <w:r>
        <w:fldChar w:fldCharType="begin"/>
      </w:r>
      <w:r>
        <w:instrText xml:space="preserve"> PAGEREF _Toc188451205 \h </w:instrText>
      </w:r>
      <w:r>
        <w:fldChar w:fldCharType="separate"/>
      </w:r>
      <w:r>
        <w:t>158</w:t>
      </w:r>
      <w:r>
        <w:fldChar w:fldCharType="end"/>
      </w:r>
    </w:p>
    <w:p>
      <w:pPr>
        <w:pStyle w:val="TOC8"/>
        <w:rPr>
          <w:rFonts w:asciiTheme="minorHAnsi" w:eastAsiaTheme="minorEastAsia" w:hAnsiTheme="minorHAnsi" w:cstheme="minorBidi"/>
          <w:szCs w:val="22"/>
        </w:rPr>
      </w:pPr>
      <w:r>
        <w:t>51BZA.</w:t>
      </w:r>
      <w:r>
        <w:tab/>
        <w:t>Person must comply with order made by Commission</w:t>
      </w:r>
      <w:r>
        <w:tab/>
      </w:r>
      <w:r>
        <w:fldChar w:fldCharType="begin"/>
      </w:r>
      <w:r>
        <w:instrText xml:space="preserve"> PAGEREF _Toc188451206 \h </w:instrText>
      </w:r>
      <w:r>
        <w:fldChar w:fldCharType="separate"/>
      </w:r>
      <w:r>
        <w:t>159</w:t>
      </w:r>
      <w:r>
        <w:fldChar w:fldCharType="end"/>
      </w:r>
    </w:p>
    <w:p>
      <w:pPr>
        <w:pStyle w:val="TOC8"/>
        <w:rPr>
          <w:rFonts w:asciiTheme="minorHAnsi" w:eastAsiaTheme="minorEastAsia" w:hAnsiTheme="minorHAnsi" w:cstheme="minorBidi"/>
          <w:szCs w:val="22"/>
        </w:rPr>
      </w:pPr>
      <w:r>
        <w:t>51BZB.</w:t>
      </w:r>
      <w:r>
        <w:tab/>
        <w:t>Enforcement of contravention of order</w:t>
      </w:r>
      <w:r>
        <w:tab/>
      </w:r>
      <w:r>
        <w:fldChar w:fldCharType="begin"/>
      </w:r>
      <w:r>
        <w:instrText xml:space="preserve"> PAGEREF _Toc188451207 \h </w:instrText>
      </w:r>
      <w:r>
        <w:fldChar w:fldCharType="separate"/>
      </w:r>
      <w:r>
        <w:t>159</w:t>
      </w:r>
      <w:r>
        <w:fldChar w:fldCharType="end"/>
      </w:r>
    </w:p>
    <w:p>
      <w:pPr>
        <w:pStyle w:val="TOC8"/>
        <w:rPr>
          <w:rFonts w:asciiTheme="minorHAnsi" w:eastAsiaTheme="minorEastAsia" w:hAnsiTheme="minorHAnsi" w:cstheme="minorBidi"/>
          <w:szCs w:val="22"/>
        </w:rPr>
      </w:pPr>
      <w:r>
        <w:t>51BZC.</w:t>
      </w:r>
      <w:r>
        <w:tab/>
        <w:t>Enforcement of contravention of prohibition on sexual harassment</w:t>
      </w:r>
      <w:r>
        <w:tab/>
      </w:r>
      <w:r>
        <w:fldChar w:fldCharType="begin"/>
      </w:r>
      <w:r>
        <w:instrText xml:space="preserve"> PAGEREF _Toc188451208 \h </w:instrText>
      </w:r>
      <w:r>
        <w:fldChar w:fldCharType="separate"/>
      </w:r>
      <w:r>
        <w:t>160</w:t>
      </w:r>
      <w:r>
        <w:fldChar w:fldCharType="end"/>
      </w:r>
    </w:p>
    <w:p>
      <w:pPr>
        <w:pStyle w:val="TOC8"/>
        <w:rPr>
          <w:rFonts w:asciiTheme="minorHAnsi" w:eastAsiaTheme="minorEastAsia" w:hAnsiTheme="minorHAnsi" w:cstheme="minorBidi"/>
          <w:szCs w:val="22"/>
        </w:rPr>
      </w:pPr>
      <w:r>
        <w:t>51BZD.</w:t>
      </w:r>
      <w:r>
        <w:tab/>
        <w:t>Restrictions on multiple actions</w:t>
      </w:r>
      <w:r>
        <w:tab/>
      </w:r>
      <w:r>
        <w:fldChar w:fldCharType="begin"/>
      </w:r>
      <w:r>
        <w:instrText xml:space="preserve"> PAGEREF _Toc188451209 \h </w:instrText>
      </w:r>
      <w:r>
        <w:fldChar w:fldCharType="separate"/>
      </w:r>
      <w:r>
        <w:t>161</w:t>
      </w:r>
      <w:r>
        <w:fldChar w:fldCharType="end"/>
      </w:r>
    </w:p>
    <w:p>
      <w:pPr>
        <w:pStyle w:val="TOC8"/>
        <w:rPr>
          <w:rFonts w:asciiTheme="minorHAnsi" w:eastAsiaTheme="minorEastAsia" w:hAnsiTheme="minorHAnsi" w:cstheme="minorBidi"/>
          <w:szCs w:val="22"/>
        </w:rPr>
      </w:pPr>
      <w:r>
        <w:t>51BZE.</w:t>
      </w:r>
      <w:r>
        <w:tab/>
        <w:t>Other laws not excluded or limited</w:t>
      </w:r>
      <w:r>
        <w:tab/>
      </w:r>
      <w:r>
        <w:fldChar w:fldCharType="begin"/>
      </w:r>
      <w:r>
        <w:instrText xml:space="preserve"> PAGEREF _Toc188451210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3A — MCE Act matters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Terms used</w:t>
      </w:r>
      <w:r>
        <w:tab/>
      </w:r>
      <w:r>
        <w:fldChar w:fldCharType="begin"/>
      </w:r>
      <w:r>
        <w:instrText xml:space="preserve"> PAGEREF _Toc188451213 \h </w:instrText>
      </w:r>
      <w:r>
        <w:fldChar w:fldCharType="separate"/>
      </w:r>
      <w:r>
        <w:t>164</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Disputes relating to flexible working arrangement requests</w:t>
      </w:r>
    </w:p>
    <w:p>
      <w:pPr>
        <w:pStyle w:val="TOC8"/>
        <w:rPr>
          <w:rFonts w:asciiTheme="minorHAnsi" w:eastAsiaTheme="minorEastAsia" w:hAnsiTheme="minorHAnsi" w:cstheme="minorBidi"/>
          <w:szCs w:val="22"/>
        </w:rPr>
      </w:pPr>
      <w:r>
        <w:t>51D.</w:t>
      </w:r>
      <w:r>
        <w:tab/>
        <w:t>Flexible working arrangement dispute</w:t>
      </w:r>
      <w:r>
        <w:tab/>
      </w:r>
      <w:r>
        <w:fldChar w:fldCharType="begin"/>
      </w:r>
      <w:r>
        <w:instrText xml:space="preserve"> PAGEREF _Toc188451215 \h </w:instrText>
      </w:r>
      <w:r>
        <w:fldChar w:fldCharType="separate"/>
      </w:r>
      <w:r>
        <w:t>164</w:t>
      </w:r>
      <w:r>
        <w:fldChar w:fldCharType="end"/>
      </w:r>
    </w:p>
    <w:p>
      <w:pPr>
        <w:pStyle w:val="TOC8"/>
        <w:rPr>
          <w:rFonts w:asciiTheme="minorHAnsi" w:eastAsiaTheme="minorEastAsia" w:hAnsiTheme="minorHAnsi" w:cstheme="minorBidi"/>
          <w:szCs w:val="22"/>
        </w:rPr>
      </w:pPr>
      <w:r>
        <w:t>51E.</w:t>
      </w:r>
      <w:r>
        <w:tab/>
        <w:t>Restriction on application for compulsory conference</w:t>
      </w:r>
      <w:r>
        <w:tab/>
      </w:r>
      <w:r>
        <w:fldChar w:fldCharType="begin"/>
      </w:r>
      <w:r>
        <w:instrText xml:space="preserve"> PAGEREF _Toc188451216 \h </w:instrText>
      </w:r>
      <w:r>
        <w:fldChar w:fldCharType="separate"/>
      </w:r>
      <w:r>
        <w:t>165</w:t>
      </w:r>
      <w:r>
        <w:fldChar w:fldCharType="end"/>
      </w:r>
    </w:p>
    <w:p>
      <w:pPr>
        <w:pStyle w:val="TOC8"/>
        <w:rPr>
          <w:rFonts w:asciiTheme="minorHAnsi" w:eastAsiaTheme="minorEastAsia" w:hAnsiTheme="minorHAnsi" w:cstheme="minorBidi"/>
          <w:szCs w:val="22"/>
        </w:rPr>
      </w:pPr>
      <w:r>
        <w:t>51F.</w:t>
      </w:r>
      <w:r>
        <w:tab/>
        <w:t>Commission may make certain declarations on deciding dispute by arbitration</w:t>
      </w:r>
      <w:r>
        <w:tab/>
      </w:r>
      <w:r>
        <w:fldChar w:fldCharType="begin"/>
      </w:r>
      <w:r>
        <w:instrText xml:space="preserve"> PAGEREF _Toc188451217 \h </w:instrText>
      </w:r>
      <w:r>
        <w:fldChar w:fldCharType="separate"/>
      </w:r>
      <w:r>
        <w:t>165</w:t>
      </w:r>
      <w:r>
        <w:fldChar w:fldCharType="end"/>
      </w:r>
    </w:p>
    <w:p>
      <w:pPr>
        <w:pStyle w:val="TOC8"/>
        <w:rPr>
          <w:rFonts w:asciiTheme="minorHAnsi" w:eastAsiaTheme="minorEastAsia" w:hAnsiTheme="minorHAnsi" w:cstheme="minorBidi"/>
          <w:szCs w:val="22"/>
        </w:rPr>
      </w:pPr>
      <w:r>
        <w:t>51G.</w:t>
      </w:r>
      <w:r>
        <w:tab/>
        <w:t>Commission may make flexible working arrangement order</w:t>
      </w:r>
      <w:r>
        <w:tab/>
      </w:r>
      <w:r>
        <w:fldChar w:fldCharType="begin"/>
      </w:r>
      <w:r>
        <w:instrText xml:space="preserve"> PAGEREF _Toc188451218 \h </w:instrText>
      </w:r>
      <w:r>
        <w:fldChar w:fldCharType="separate"/>
      </w:r>
      <w:r>
        <w:t>166</w:t>
      </w:r>
      <w:r>
        <w:fldChar w:fldCharType="end"/>
      </w:r>
    </w:p>
    <w:p>
      <w:pPr>
        <w:pStyle w:val="TOC8"/>
        <w:rPr>
          <w:rFonts w:asciiTheme="minorHAnsi" w:eastAsiaTheme="minorEastAsia" w:hAnsiTheme="minorHAnsi" w:cstheme="minorBidi"/>
          <w:szCs w:val="22"/>
        </w:rPr>
      </w:pPr>
      <w:r>
        <w:lastRenderedPageBreak/>
        <w:t>51H.</w:t>
      </w:r>
      <w:r>
        <w:tab/>
        <w:t>Employer must comply with flexible working arrangement order</w:t>
      </w:r>
      <w:r>
        <w:tab/>
      </w:r>
      <w:r>
        <w:fldChar w:fldCharType="begin"/>
      </w:r>
      <w:r>
        <w:instrText xml:space="preserve"> PAGEREF _Toc188451219 \h </w:instrText>
      </w:r>
      <w:r>
        <w:fldChar w:fldCharType="separate"/>
      </w:r>
      <w:r>
        <w:t>167</w:t>
      </w:r>
      <w:r>
        <w:fldChar w:fldCharType="end"/>
      </w:r>
    </w:p>
    <w:p>
      <w:pPr>
        <w:pStyle w:val="TOC8"/>
        <w:rPr>
          <w:rFonts w:asciiTheme="minorHAnsi" w:eastAsiaTheme="minorEastAsia" w:hAnsiTheme="minorHAnsi" w:cstheme="minorBidi"/>
          <w:szCs w:val="22"/>
        </w:rPr>
      </w:pPr>
      <w:r>
        <w:t>51HA.</w:t>
      </w:r>
      <w:r>
        <w:tab/>
        <w:t>Enforcement of contravention of order</w:t>
      </w:r>
      <w:r>
        <w:tab/>
      </w:r>
      <w:r>
        <w:fldChar w:fldCharType="begin"/>
      </w:r>
      <w:r>
        <w:instrText xml:space="preserve"> PAGEREF _Toc188451220 \h </w:instrText>
      </w:r>
      <w:r>
        <w:fldChar w:fldCharType="separate"/>
      </w:r>
      <w:r>
        <w:t>167</w:t>
      </w:r>
      <w:r>
        <w:fldChar w:fldCharType="end"/>
      </w:r>
    </w:p>
    <w:p>
      <w:pPr>
        <w:pStyle w:val="TOC8"/>
        <w:rPr>
          <w:rFonts w:asciiTheme="minorHAnsi" w:eastAsiaTheme="minorEastAsia" w:hAnsiTheme="minorHAnsi" w:cstheme="minorBidi"/>
          <w:szCs w:val="22"/>
        </w:rPr>
      </w:pPr>
      <w:r>
        <w:t>51HB.</w:t>
      </w:r>
      <w:r>
        <w:tab/>
        <w:t>Enforcement of minimum condition of employment relating to flexible working arrangement request</w:t>
      </w:r>
      <w:r>
        <w:tab/>
      </w:r>
      <w:r>
        <w:fldChar w:fldCharType="begin"/>
      </w:r>
      <w:r>
        <w:instrText xml:space="preserve"> PAGEREF _Toc188451221 \h </w:instrText>
      </w:r>
      <w:r>
        <w:fldChar w:fldCharType="separate"/>
      </w:r>
      <w:r>
        <w:t>167</w:t>
      </w:r>
      <w:r>
        <w:fldChar w:fldCharType="end"/>
      </w:r>
    </w:p>
    <w:p>
      <w:pPr>
        <w:pStyle w:val="TOC8"/>
        <w:rPr>
          <w:rFonts w:asciiTheme="minorHAnsi" w:eastAsiaTheme="minorEastAsia" w:hAnsiTheme="minorHAnsi" w:cstheme="minorBidi"/>
          <w:szCs w:val="22"/>
        </w:rPr>
      </w:pPr>
      <w:r>
        <w:t>51HC.</w:t>
      </w:r>
      <w:r>
        <w:tab/>
        <w:t>Restriction on multiple actions</w:t>
      </w:r>
      <w:r>
        <w:tab/>
      </w:r>
      <w:r>
        <w:fldChar w:fldCharType="begin"/>
      </w:r>
      <w:r>
        <w:instrText xml:space="preserve"> PAGEREF _Toc188451222 \h </w:instrText>
      </w:r>
      <w:r>
        <w:fldChar w:fldCharType="separate"/>
      </w:r>
      <w:r>
        <w:t>168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_Toc188451224 \h </w:instrText>
      </w:r>
      <w:r>
        <w:fldChar w:fldCharType="separate"/>
      </w:r>
      <w:r>
        <w:t>169</w:t>
      </w:r>
      <w:r>
        <w:fldChar w:fldCharType="end"/>
      </w:r>
    </w:p>
    <w:p>
      <w:pPr>
        <w:pStyle w:val="TOC8"/>
        <w:rPr>
          <w:rFonts w:asciiTheme="minorHAnsi" w:eastAsiaTheme="minorEastAsia" w:hAnsiTheme="minorHAnsi" w:cstheme="minorBidi"/>
          <w:szCs w:val="22"/>
        </w:rPr>
      </w:pPr>
      <w:r>
        <w:t>51J.</w:t>
      </w:r>
      <w:r>
        <w:tab/>
        <w:t>Notice of hearings</w:t>
      </w:r>
      <w:r>
        <w:tab/>
      </w:r>
      <w:r>
        <w:fldChar w:fldCharType="begin"/>
      </w:r>
      <w:r>
        <w:instrText xml:space="preserve"> PAGEREF _Toc188451225 \h </w:instrText>
      </w:r>
      <w:r>
        <w:fldChar w:fldCharType="separate"/>
      </w:r>
      <w:r>
        <w:t>169</w:t>
      </w:r>
      <w:r>
        <w:fldChar w:fldCharType="end"/>
      </w:r>
    </w:p>
    <w:p>
      <w:pPr>
        <w:pStyle w:val="TOC8"/>
        <w:rPr>
          <w:rFonts w:asciiTheme="minorHAnsi" w:eastAsiaTheme="minorEastAsia" w:hAnsiTheme="minorHAnsi" w:cstheme="minorBidi"/>
          <w:szCs w:val="22"/>
        </w:rPr>
      </w:pPr>
      <w:r>
        <w:t>51K.</w:t>
      </w:r>
      <w:r>
        <w:tab/>
        <w:t>Right to be heard before order made</w:t>
      </w:r>
      <w:r>
        <w:tab/>
      </w:r>
      <w:r>
        <w:fldChar w:fldCharType="begin"/>
      </w:r>
      <w:r>
        <w:instrText xml:space="preserve"> PAGEREF _Toc188451226 \h </w:instrText>
      </w:r>
      <w:r>
        <w:fldChar w:fldCharType="separate"/>
      </w:r>
      <w:r>
        <w:t>169</w:t>
      </w:r>
      <w:r>
        <w:fldChar w:fldCharType="end"/>
      </w:r>
    </w:p>
    <w:p>
      <w:pPr>
        <w:pStyle w:val="TOC8"/>
        <w:rPr>
          <w:rFonts w:asciiTheme="minorHAnsi" w:eastAsiaTheme="minorEastAsia" w:hAnsiTheme="minorHAnsi" w:cstheme="minorBidi"/>
          <w:szCs w:val="22"/>
        </w:rPr>
      </w:pPr>
      <w:r>
        <w:t>51L.</w:t>
      </w:r>
      <w:r>
        <w:tab/>
        <w:t>Limits on orders made under section 51I</w:t>
      </w:r>
      <w:r>
        <w:tab/>
      </w:r>
      <w:r>
        <w:fldChar w:fldCharType="begin"/>
      </w:r>
      <w:r>
        <w:instrText xml:space="preserve"> PAGEREF _Toc188451227 \h </w:instrText>
      </w:r>
      <w:r>
        <w:fldChar w:fldCharType="separate"/>
      </w:r>
      <w:r>
        <w:t>170</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_Toc188451228 \h </w:instrText>
      </w:r>
      <w:r>
        <w:fldChar w:fldCharType="separate"/>
      </w:r>
      <w:r>
        <w:t>170</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_Toc188451229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3B — Equal remuneration</w:t>
      </w:r>
    </w:p>
    <w:p>
      <w:pPr>
        <w:pStyle w:val="TOC8"/>
        <w:rPr>
          <w:rFonts w:asciiTheme="minorHAnsi" w:eastAsiaTheme="minorEastAsia" w:hAnsiTheme="minorHAnsi" w:cstheme="minorBidi"/>
          <w:szCs w:val="22"/>
        </w:rPr>
      </w:pPr>
      <w:r>
        <w:t>51O.</w:t>
      </w:r>
      <w:r>
        <w:tab/>
        <w:t>Equal remuneration orders</w:t>
      </w:r>
      <w:r>
        <w:tab/>
      </w:r>
      <w:r>
        <w:fldChar w:fldCharType="begin"/>
      </w:r>
      <w:r>
        <w:instrText xml:space="preserve"> PAGEREF _Toc188451231 \h </w:instrText>
      </w:r>
      <w:r>
        <w:fldChar w:fldCharType="separate"/>
      </w:r>
      <w:r>
        <w:t>171</w:t>
      </w:r>
      <w:r>
        <w:fldChar w:fldCharType="end"/>
      </w:r>
    </w:p>
    <w:p>
      <w:pPr>
        <w:pStyle w:val="TOC8"/>
        <w:rPr>
          <w:rFonts w:asciiTheme="minorHAnsi" w:eastAsiaTheme="minorEastAsia" w:hAnsiTheme="minorHAnsi" w:cstheme="minorBidi"/>
          <w:szCs w:val="22"/>
        </w:rPr>
      </w:pPr>
      <w:r>
        <w:t>51P.</w:t>
      </w:r>
      <w:r>
        <w:tab/>
        <w:t>Employer not to reduce remuneration</w:t>
      </w:r>
      <w:r>
        <w:tab/>
      </w:r>
      <w:r>
        <w:fldChar w:fldCharType="begin"/>
      </w:r>
      <w:r>
        <w:instrText xml:space="preserve"> PAGEREF _Toc188451232 \h </w:instrText>
      </w:r>
      <w:r>
        <w:fldChar w:fldCharType="separate"/>
      </w:r>
      <w:r>
        <w:t>172</w:t>
      </w:r>
      <w:r>
        <w:fldChar w:fldCharType="end"/>
      </w:r>
    </w:p>
    <w:p>
      <w:pPr>
        <w:pStyle w:val="TOC8"/>
        <w:rPr>
          <w:rFonts w:asciiTheme="minorHAnsi" w:eastAsiaTheme="minorEastAsia" w:hAnsiTheme="minorHAnsi" w:cstheme="minorBidi"/>
          <w:szCs w:val="22"/>
        </w:rPr>
      </w:pPr>
      <w:r>
        <w:t>51Q.</w:t>
      </w:r>
      <w:r>
        <w:tab/>
        <w:t>Alternative remedies</w:t>
      </w:r>
      <w:r>
        <w:tab/>
      </w:r>
      <w:r>
        <w:fldChar w:fldCharType="begin"/>
      </w:r>
      <w:r>
        <w:instrText xml:space="preserve"> PAGEREF _Toc188451233 \h </w:instrText>
      </w:r>
      <w:r>
        <w:fldChar w:fldCharType="separate"/>
      </w:r>
      <w:r>
        <w:t>172</w:t>
      </w:r>
      <w:r>
        <w:fldChar w:fldCharType="end"/>
      </w:r>
    </w:p>
    <w:p>
      <w:pPr>
        <w:pStyle w:val="TOC8"/>
        <w:rPr>
          <w:rFonts w:asciiTheme="minorHAnsi" w:eastAsiaTheme="minorEastAsia" w:hAnsiTheme="minorHAnsi" w:cstheme="minorBidi"/>
          <w:szCs w:val="22"/>
        </w:rPr>
      </w:pPr>
      <w:r>
        <w:t>51R.</w:t>
      </w:r>
      <w:r>
        <w:tab/>
        <w:t>Remuneration</w:t>
      </w:r>
      <w:r>
        <w:noBreakHyphen/>
        <w:t>related action</w:t>
      </w:r>
      <w:r>
        <w:tab/>
      </w:r>
      <w:r>
        <w:fldChar w:fldCharType="begin"/>
      </w:r>
      <w:r>
        <w:instrText xml:space="preserve"> PAGEREF _Toc188451234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Registered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_Toc188451236 \h </w:instrText>
      </w:r>
      <w:r>
        <w:fldChar w:fldCharType="separate"/>
      </w:r>
      <w:r>
        <w:t>174</w:t>
      </w:r>
      <w:r>
        <w:fldChar w:fldCharType="end"/>
      </w:r>
    </w:p>
    <w:p>
      <w:pPr>
        <w:pStyle w:val="TOC8"/>
        <w:rPr>
          <w:rFonts w:asciiTheme="minorHAnsi" w:eastAsiaTheme="minorEastAsia" w:hAnsiTheme="minorHAnsi" w:cstheme="minorBidi"/>
          <w:szCs w:val="22"/>
        </w:rPr>
      </w:pPr>
      <w:r>
        <w:t>52A.</w:t>
      </w:r>
      <w:r>
        <w:tab/>
        <w:t>Counterpart federal body</w:t>
      </w:r>
      <w:r>
        <w:tab/>
      </w:r>
      <w:r>
        <w:fldChar w:fldCharType="begin"/>
      </w:r>
      <w:r>
        <w:instrText xml:space="preserve"> PAGEREF _Toc188451237 \h </w:instrText>
      </w:r>
      <w:r>
        <w:fldChar w:fldCharType="separate"/>
      </w:r>
      <w:r>
        <w:t>175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r>
      <w:r>
        <w:t>Organisations of employees that may be registered</w:t>
      </w:r>
      <w:r>
        <w:tab/>
      </w:r>
      <w:r>
        <w:fldChar w:fldCharType="begin"/>
      </w:r>
      <w:r>
        <w:instrText xml:space="preserve"> PAGEREF _Toc188451238 \h </w:instrText>
      </w:r>
      <w:r>
        <w:fldChar w:fldCharType="separate"/>
      </w:r>
      <w:r>
        <w:t>176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r>
      <w:r>
        <w:t>Organisations of employers that may be registered</w:t>
      </w:r>
      <w:r>
        <w:tab/>
      </w:r>
      <w:r>
        <w:fldChar w:fldCharType="begin"/>
      </w:r>
      <w:r>
        <w:instrText xml:space="preserve"> PAGEREF _Toc188451239 \h </w:instrText>
      </w:r>
      <w:r>
        <w:fldChar w:fldCharType="separate"/>
      </w:r>
      <w:r>
        <w:t>177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_Toc188451240 \h </w:instrText>
      </w:r>
      <w:r>
        <w:fldChar w:fldCharType="separate"/>
      </w:r>
      <w:r>
        <w:t>177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_Toc188451241 \h </w:instrText>
      </w:r>
      <w:r>
        <w:fldChar w:fldCharType="separate"/>
      </w:r>
      <w:r>
        <w:t>180</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_Toc188451242 \h </w:instrText>
      </w:r>
      <w:r>
        <w:fldChar w:fldCharType="separate"/>
      </w:r>
      <w:r>
        <w:t>182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_Toc188451243 \h </w:instrText>
      </w:r>
      <w:r>
        <w:fldChar w:fldCharType="separate"/>
      </w:r>
      <w:r>
        <w:t>183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_Toc188451244 \h </w:instrText>
      </w:r>
      <w:r>
        <w:fldChar w:fldCharType="separate"/>
      </w:r>
      <w:r>
        <w:t>184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_Toc188451245 \h </w:instrText>
      </w:r>
      <w:r>
        <w:fldChar w:fldCharType="separate"/>
      </w:r>
      <w:r>
        <w:t>185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_Toc188451246 \h </w:instrText>
      </w:r>
      <w:r>
        <w:fldChar w:fldCharType="separate"/>
      </w:r>
      <w:r>
        <w:t>185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_Toc188451247 \h </w:instrText>
      </w:r>
      <w:r>
        <w:fldChar w:fldCharType="separate"/>
      </w:r>
      <w:r>
        <w:t>186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_Toc188451248 \h </w:instrText>
      </w:r>
      <w:r>
        <w:fldChar w:fldCharType="separate"/>
      </w:r>
      <w:r>
        <w:t>186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_Toc188451249 \h </w:instrText>
      </w:r>
      <w:r>
        <w:fldChar w:fldCharType="separate"/>
      </w:r>
      <w:r>
        <w:t>187</w:t>
      </w:r>
      <w:r>
        <w:fldChar w:fldCharType="end"/>
      </w:r>
    </w:p>
    <w:p>
      <w:pPr>
        <w:pStyle w:val="TOC8"/>
        <w:rPr>
          <w:rFonts w:asciiTheme="minorHAnsi" w:eastAsiaTheme="minorEastAsia" w:hAnsiTheme="minorHAnsi" w:cstheme="minorBidi"/>
          <w:szCs w:val="22"/>
        </w:rPr>
      </w:pPr>
      <w:r>
        <w:lastRenderedPageBreak/>
        <w:t>64</w:t>
      </w:r>
      <w:r>
        <w:rPr>
          <w:snapToGrid w:val="0"/>
        </w:rPr>
        <w:t>.</w:t>
      </w:r>
      <w:r>
        <w:rPr>
          <w:snapToGrid w:val="0"/>
        </w:rPr>
        <w:tab/>
        <w:t>Membership register, Registrar may direct rectification of etc.</w:t>
      </w:r>
      <w:r>
        <w:tab/>
      </w:r>
      <w:r>
        <w:fldChar w:fldCharType="begin"/>
      </w:r>
      <w:r>
        <w:instrText xml:space="preserve"> PAGEREF _Toc188451250 \h </w:instrText>
      </w:r>
      <w:r>
        <w:fldChar w:fldCharType="separate"/>
      </w:r>
      <w:r>
        <w:t>188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_Toc188451251 \h </w:instrText>
      </w:r>
      <w:r>
        <w:fldChar w:fldCharType="separate"/>
      </w:r>
      <w:r>
        <w:t>189</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_Toc188451252 \h </w:instrText>
      </w:r>
      <w:r>
        <w:fldChar w:fldCharType="separate"/>
      </w:r>
      <w:r>
        <w:t>190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_Toc188451253 \h </w:instrText>
      </w:r>
      <w:r>
        <w:fldChar w:fldCharType="separate"/>
      </w:r>
      <w:r>
        <w:t>190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r>
      <w:r>
        <w:t>Registering associations</w:t>
      </w:r>
      <w:r>
        <w:tab/>
      </w:r>
      <w:r>
        <w:fldChar w:fldCharType="begin"/>
      </w:r>
      <w:r>
        <w:instrText xml:space="preserve"> PAGEREF _Toc188451254 \h </w:instrText>
      </w:r>
      <w:r>
        <w:fldChar w:fldCharType="separate"/>
      </w:r>
      <w:r>
        <w:t>193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_Toc188451255 \h </w:instrText>
      </w:r>
      <w:r>
        <w:fldChar w:fldCharType="separate"/>
      </w:r>
      <w:r>
        <w:t>193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_Toc188451256 \h </w:instrText>
      </w:r>
      <w:r>
        <w:fldChar w:fldCharType="separate"/>
      </w:r>
      <w:r>
        <w:t>194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_Toc188451257 \h </w:instrText>
      </w:r>
      <w:r>
        <w:fldChar w:fldCharType="separate"/>
      </w:r>
      <w:r>
        <w:t>196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r>
      <w:r>
        <w:t>Rules of State and federal organisations as to membership and offices</w:t>
      </w:r>
      <w:r>
        <w:tab/>
      </w:r>
      <w:r>
        <w:fldChar w:fldCharType="begin"/>
      </w:r>
      <w:r>
        <w:instrText xml:space="preserve"> PAGEREF _Toc188451258 \h </w:instrText>
      </w:r>
      <w:r>
        <w:fldChar w:fldCharType="separate"/>
      </w:r>
      <w:r>
        <w:t>198</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r>
      <w:r>
        <w:t>State organisation may adopt rules of federal organisation</w:t>
      </w:r>
      <w:r>
        <w:tab/>
      </w:r>
      <w:r>
        <w:fldChar w:fldCharType="begin"/>
      </w:r>
      <w:r>
        <w:instrText xml:space="preserve"> PAGEREF _Toc188451259 \h </w:instrText>
      </w:r>
      <w:r>
        <w:fldChar w:fldCharType="separate"/>
      </w:r>
      <w:r>
        <w:t>202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_Toc188451260 \h </w:instrText>
      </w:r>
      <w:r>
        <w:fldChar w:fldCharType="separate"/>
      </w:r>
      <w:r>
        <w:t>203</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r>
      <w:r>
        <w:t>Orders as to the employees represented by employee organisation</w:t>
      </w:r>
      <w:r>
        <w:tab/>
      </w:r>
      <w:r>
        <w:fldChar w:fldCharType="begin"/>
      </w:r>
      <w:r>
        <w:instrText xml:space="preserve"> PAGEREF _Toc188451261 \h </w:instrText>
      </w:r>
      <w:r>
        <w:fldChar w:fldCharType="separate"/>
      </w:r>
      <w:r>
        <w:t>204</w:t>
      </w:r>
      <w:r>
        <w:fldChar w:fldCharType="end"/>
      </w:r>
    </w:p>
    <w:p>
      <w:pPr>
        <w:pStyle w:val="TOC8"/>
        <w:rPr>
          <w:rFonts w:asciiTheme="minorHAnsi" w:eastAsiaTheme="minorEastAsia" w:hAnsiTheme="minorHAnsi" w:cstheme="minorBidi"/>
          <w:szCs w:val="22"/>
        </w:rPr>
      </w:pPr>
      <w:r>
        <w:t>72B</w:t>
      </w:r>
      <w:r>
        <w:rPr>
          <w:snapToGrid w:val="0"/>
        </w:rPr>
        <w:t>.</w:t>
      </w:r>
      <w:r>
        <w:rPr>
          <w:snapToGrid w:val="0"/>
        </w:rPr>
        <w:tab/>
        <w:t>AMA may represent interests of medical practitioners</w:t>
      </w:r>
      <w:r>
        <w:tab/>
      </w:r>
      <w:r>
        <w:fldChar w:fldCharType="begin"/>
      </w:r>
      <w:r>
        <w:instrText xml:space="preserve"> PAGEREF _Toc188451262 \h </w:instrText>
      </w:r>
      <w:r>
        <w:fldChar w:fldCharType="separate"/>
      </w:r>
      <w:r>
        <w:t>206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_Toc188451263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_Toc188451265 \h </w:instrText>
      </w:r>
      <w:r>
        <w:fldChar w:fldCharType="separate"/>
      </w:r>
      <w:r>
        <w:t>212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_Toc188451266 \h </w:instrText>
      </w:r>
      <w:r>
        <w:fldChar w:fldCharType="separate"/>
      </w:r>
      <w:r>
        <w:t>214</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_Toc188451267 \h </w:instrText>
      </w:r>
      <w:r>
        <w:fldChar w:fldCharType="separate"/>
      </w:r>
      <w:r>
        <w:t>214</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_Toc188451268 \h </w:instrText>
      </w:r>
      <w:r>
        <w:fldChar w:fldCharType="separate"/>
      </w:r>
      <w:r>
        <w:t>216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_Toc188451269 \h </w:instrText>
      </w:r>
      <w:r>
        <w:fldChar w:fldCharType="separate"/>
      </w:r>
      <w:r>
        <w:t>216</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_Toc188451270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2AA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Declarations</w:t>
      </w:r>
    </w:p>
    <w:p>
      <w:pPr>
        <w:pStyle w:val="TOC8"/>
        <w:rPr>
          <w:rFonts w:asciiTheme="minorHAnsi" w:eastAsiaTheme="minorEastAsia" w:hAnsiTheme="minorHAnsi" w:cstheme="minorBidi"/>
          <w:szCs w:val="22"/>
        </w:rPr>
      </w:pPr>
      <w:r>
        <w:t>80A.</w:t>
      </w:r>
      <w:r>
        <w:tab/>
        <w:t>Employers declared not to be national system employers</w:t>
      </w:r>
      <w:r>
        <w:tab/>
      </w:r>
      <w:r>
        <w:fldChar w:fldCharType="begin"/>
      </w:r>
      <w:r>
        <w:instrText xml:space="preserve"> PAGEREF _Toc188451273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Change from federal to State system</w:t>
      </w:r>
    </w:p>
    <w:p>
      <w:pPr>
        <w:pStyle w:val="TOC8"/>
        <w:rPr>
          <w:rFonts w:asciiTheme="minorHAnsi" w:eastAsiaTheme="minorEastAsia" w:hAnsiTheme="minorHAnsi" w:cstheme="minorBidi"/>
          <w:szCs w:val="22"/>
        </w:rPr>
      </w:pPr>
      <w:r>
        <w:t>80B.</w:t>
      </w:r>
      <w:r>
        <w:tab/>
        <w:t>Terms used</w:t>
      </w:r>
      <w:r>
        <w:tab/>
      </w:r>
      <w:r>
        <w:fldChar w:fldCharType="begin"/>
      </w:r>
      <w:r>
        <w:instrText xml:space="preserve"> PAGEREF _Toc188451275 \h </w:instrText>
      </w:r>
      <w:r>
        <w:fldChar w:fldCharType="separate"/>
      </w:r>
      <w:r>
        <w:t>219</w:t>
      </w:r>
      <w:r>
        <w:fldChar w:fldCharType="end"/>
      </w:r>
    </w:p>
    <w:p>
      <w:pPr>
        <w:pStyle w:val="TOC8"/>
        <w:rPr>
          <w:rFonts w:asciiTheme="minorHAnsi" w:eastAsiaTheme="minorEastAsia" w:hAnsiTheme="minorHAnsi" w:cstheme="minorBidi"/>
          <w:szCs w:val="22"/>
        </w:rPr>
      </w:pPr>
      <w:r>
        <w:t>80BA.</w:t>
      </w:r>
      <w:r>
        <w:tab/>
        <w:t>Operation of awards, industrial agreements or orders</w:t>
      </w:r>
      <w:r>
        <w:tab/>
      </w:r>
      <w:r>
        <w:fldChar w:fldCharType="begin"/>
      </w:r>
      <w:r>
        <w:instrText xml:space="preserve"> PAGEREF _Toc188451276 \h </w:instrText>
      </w:r>
      <w:r>
        <w:fldChar w:fldCharType="separate"/>
      </w:r>
      <w:r>
        <w:t>220</w:t>
      </w:r>
      <w:r>
        <w:fldChar w:fldCharType="end"/>
      </w:r>
    </w:p>
    <w:p>
      <w:pPr>
        <w:pStyle w:val="TOC8"/>
        <w:rPr>
          <w:rFonts w:asciiTheme="minorHAnsi" w:eastAsiaTheme="minorEastAsia" w:hAnsiTheme="minorHAnsi" w:cstheme="minorBidi"/>
          <w:szCs w:val="22"/>
        </w:rPr>
      </w:pPr>
      <w:r>
        <w:t>80BB.</w:t>
      </w:r>
      <w:r>
        <w:tab/>
        <w:t>New State instruments</w:t>
      </w:r>
      <w:r>
        <w:tab/>
      </w:r>
      <w:r>
        <w:fldChar w:fldCharType="begin"/>
      </w:r>
      <w:r>
        <w:instrText xml:space="preserve"> PAGEREF _Toc188451277 \h </w:instrText>
      </w:r>
      <w:r>
        <w:fldChar w:fldCharType="separate"/>
      </w:r>
      <w:r>
        <w:t>221</w:t>
      </w:r>
      <w:r>
        <w:fldChar w:fldCharType="end"/>
      </w:r>
    </w:p>
    <w:p>
      <w:pPr>
        <w:pStyle w:val="TOC8"/>
        <w:rPr>
          <w:rFonts w:asciiTheme="minorHAnsi" w:eastAsiaTheme="minorEastAsia" w:hAnsiTheme="minorHAnsi" w:cstheme="minorBidi"/>
          <w:szCs w:val="22"/>
        </w:rPr>
      </w:pPr>
      <w:r>
        <w:t>80BC.</w:t>
      </w:r>
      <w:r>
        <w:tab/>
        <w:t>Amendment of new State instruments</w:t>
      </w:r>
      <w:r>
        <w:tab/>
      </w:r>
      <w:r>
        <w:fldChar w:fldCharType="begin"/>
      </w:r>
      <w:r>
        <w:instrText xml:space="preserve"> PAGEREF _Toc188451278 \h </w:instrText>
      </w:r>
      <w:r>
        <w:fldChar w:fldCharType="separate"/>
      </w:r>
      <w:r>
        <w:t>222</w:t>
      </w:r>
      <w:r>
        <w:fldChar w:fldCharType="end"/>
      </w:r>
    </w:p>
    <w:p>
      <w:pPr>
        <w:pStyle w:val="TOC8"/>
        <w:rPr>
          <w:rFonts w:asciiTheme="minorHAnsi" w:eastAsiaTheme="minorEastAsia" w:hAnsiTheme="minorHAnsi" w:cstheme="minorBidi"/>
          <w:szCs w:val="22"/>
        </w:rPr>
      </w:pPr>
      <w:r>
        <w:t>80BD.</w:t>
      </w:r>
      <w:r>
        <w:tab/>
        <w:t>Ability to carry over matters</w:t>
      </w:r>
      <w:r>
        <w:tab/>
      </w:r>
      <w:r>
        <w:fldChar w:fldCharType="begin"/>
      </w:r>
      <w:r>
        <w:instrText xml:space="preserve"> PAGEREF _Toc188451279 \h </w:instrText>
      </w:r>
      <w:r>
        <w:fldChar w:fldCharType="separate"/>
      </w:r>
      <w:r>
        <w:t>222</w:t>
      </w:r>
      <w:r>
        <w:fldChar w:fldCharType="end"/>
      </w:r>
    </w:p>
    <w:p>
      <w:pPr>
        <w:pStyle w:val="TOC8"/>
        <w:rPr>
          <w:rFonts w:asciiTheme="minorHAnsi" w:eastAsiaTheme="minorEastAsia" w:hAnsiTheme="minorHAnsi" w:cstheme="minorBidi"/>
          <w:szCs w:val="22"/>
        </w:rPr>
      </w:pPr>
      <w:r>
        <w:t>80BE.</w:t>
      </w:r>
      <w:r>
        <w:tab/>
        <w:t>References in new State instruments to federal industrial authority and General Manager</w:t>
      </w:r>
      <w:r>
        <w:tab/>
      </w:r>
      <w:r>
        <w:fldChar w:fldCharType="begin"/>
      </w:r>
      <w:r>
        <w:instrText xml:space="preserve"> PAGEREF _Toc188451280 \h </w:instrText>
      </w:r>
      <w:r>
        <w:fldChar w:fldCharType="separate"/>
      </w:r>
      <w:r>
        <w:t>223</w:t>
      </w:r>
      <w:r>
        <w:fldChar w:fldCharType="end"/>
      </w:r>
    </w:p>
    <w:p>
      <w:pPr>
        <w:pStyle w:val="TOC8"/>
        <w:rPr>
          <w:rFonts w:asciiTheme="minorHAnsi" w:eastAsiaTheme="minorEastAsia" w:hAnsiTheme="minorHAnsi" w:cstheme="minorBidi"/>
          <w:szCs w:val="22"/>
        </w:rPr>
      </w:pPr>
      <w:r>
        <w:t>80BF.</w:t>
      </w:r>
      <w:r>
        <w:tab/>
        <w:t>References in new State instruments to provisions of Commonwealth laws</w:t>
      </w:r>
      <w:r>
        <w:tab/>
      </w:r>
      <w:r>
        <w:fldChar w:fldCharType="begin"/>
      </w:r>
      <w:r>
        <w:instrText xml:space="preserve"> PAGEREF _Toc188451281 \h </w:instrText>
      </w:r>
      <w:r>
        <w:fldChar w:fldCharType="separate"/>
      </w:r>
      <w:r>
        <w:t>223</w:t>
      </w:r>
      <w:r>
        <w:fldChar w:fldCharType="end"/>
      </w:r>
    </w:p>
    <w:p>
      <w:pPr>
        <w:pStyle w:val="TOC8"/>
        <w:rPr>
          <w:rFonts w:asciiTheme="minorHAnsi" w:eastAsiaTheme="minorEastAsia" w:hAnsiTheme="minorHAnsi" w:cstheme="minorBidi"/>
          <w:szCs w:val="22"/>
        </w:rPr>
      </w:pPr>
      <w:r>
        <w:t>80BG.</w:t>
      </w:r>
      <w:r>
        <w:tab/>
        <w:t>References in new State instruments to federal organisations</w:t>
      </w:r>
      <w:r>
        <w:tab/>
      </w:r>
      <w:r>
        <w:fldChar w:fldCharType="begin"/>
      </w:r>
      <w:r>
        <w:instrText xml:space="preserve"> PAGEREF _Toc188451282 \h </w:instrText>
      </w:r>
      <w:r>
        <w:fldChar w:fldCharType="separate"/>
      </w:r>
      <w:r>
        <w:t>224</w:t>
      </w:r>
      <w:r>
        <w:fldChar w:fldCharType="end"/>
      </w:r>
    </w:p>
    <w:p>
      <w:pPr>
        <w:pStyle w:val="TOC8"/>
        <w:rPr>
          <w:rFonts w:asciiTheme="minorHAnsi" w:eastAsiaTheme="minorEastAsia" w:hAnsiTheme="minorHAnsi" w:cstheme="minorBidi"/>
          <w:szCs w:val="22"/>
        </w:rPr>
      </w:pPr>
      <w:r>
        <w:t>80BH.</w:t>
      </w:r>
      <w:r>
        <w:tab/>
        <w:t>Named parties to new State instruments</w:t>
      </w:r>
      <w:r>
        <w:tab/>
      </w:r>
      <w:r>
        <w:fldChar w:fldCharType="begin"/>
      </w:r>
      <w:r>
        <w:instrText xml:space="preserve"> PAGEREF _Toc188451283 \h </w:instrText>
      </w:r>
      <w:r>
        <w:fldChar w:fldCharType="separate"/>
      </w:r>
      <w:r>
        <w:t>224</w:t>
      </w:r>
      <w:r>
        <w:fldChar w:fldCharType="end"/>
      </w:r>
    </w:p>
    <w:p>
      <w:pPr>
        <w:pStyle w:val="TOC8"/>
        <w:rPr>
          <w:rFonts w:asciiTheme="minorHAnsi" w:eastAsiaTheme="minorEastAsia" w:hAnsiTheme="minorHAnsi" w:cstheme="minorBidi"/>
          <w:szCs w:val="22"/>
        </w:rPr>
      </w:pPr>
      <w:r>
        <w:t>80BI.</w:t>
      </w:r>
      <w:r>
        <w:tab/>
        <w:t>Employment under old federal instrument</w:t>
      </w:r>
      <w:r>
        <w:tab/>
      </w:r>
      <w:r>
        <w:fldChar w:fldCharType="begin"/>
      </w:r>
      <w:r>
        <w:instrText xml:space="preserve"> PAGEREF _Toc188451284 \h </w:instrText>
      </w:r>
      <w:r>
        <w:fldChar w:fldCharType="separate"/>
      </w:r>
      <w:r>
        <w:t>225</w:t>
      </w:r>
      <w:r>
        <w:fldChar w:fldCharType="end"/>
      </w:r>
    </w:p>
    <w:p>
      <w:pPr>
        <w:pStyle w:val="TOC8"/>
        <w:rPr>
          <w:rFonts w:asciiTheme="minorHAnsi" w:eastAsiaTheme="minorEastAsia" w:hAnsiTheme="minorHAnsi" w:cstheme="minorBidi"/>
          <w:szCs w:val="22"/>
        </w:rPr>
      </w:pPr>
      <w:r>
        <w:t>80BJ.</w:t>
      </w:r>
      <w:r>
        <w:tab/>
        <w:t>Leave accrued immediately before relevant day</w:t>
      </w:r>
      <w:r>
        <w:tab/>
      </w:r>
      <w:r>
        <w:fldChar w:fldCharType="begin"/>
      </w:r>
      <w:r>
        <w:instrText xml:space="preserve"> PAGEREF _Toc188451285 \h </w:instrText>
      </w:r>
      <w:r>
        <w:fldChar w:fldCharType="separate"/>
      </w:r>
      <w:r>
        <w:t>225</w:t>
      </w:r>
      <w:r>
        <w:fldChar w:fldCharType="end"/>
      </w:r>
    </w:p>
    <w:p>
      <w:pPr>
        <w:pStyle w:val="TOC8"/>
        <w:rPr>
          <w:rFonts w:asciiTheme="minorHAnsi" w:eastAsiaTheme="minorEastAsia" w:hAnsiTheme="minorHAnsi" w:cstheme="minorBidi"/>
          <w:szCs w:val="22"/>
        </w:rPr>
      </w:pPr>
      <w:r>
        <w:t>80BK.</w:t>
      </w:r>
      <w:r>
        <w:tab/>
        <w:t>Leave taken under old federal instrument</w:t>
      </w:r>
      <w:r>
        <w:tab/>
      </w:r>
      <w:r>
        <w:fldChar w:fldCharType="begin"/>
      </w:r>
      <w:r>
        <w:instrText xml:space="preserve"> PAGEREF _Toc188451286 \h </w:instrText>
      </w:r>
      <w:r>
        <w:fldChar w:fldCharType="separate"/>
      </w:r>
      <w:r>
        <w:t>225</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_Toc188451288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r>
      <w:r>
        <w:rPr>
          <w:bCs/>
        </w:rPr>
        <w:t>Term used: FW Commission</w:t>
      </w:r>
      <w:r>
        <w:tab/>
      </w:r>
      <w:r>
        <w:fldChar w:fldCharType="begin"/>
      </w:r>
      <w:r>
        <w:instrText xml:space="preserve"> PAGEREF _Toc188451290 \h </w:instrText>
      </w:r>
      <w:r>
        <w:fldChar w:fldCharType="separate"/>
      </w:r>
      <w:r>
        <w:t>228</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r>
      <w:r>
        <w:rPr>
          <w:bCs/>
        </w:rPr>
        <w:t>Joint proceedings of Commission and FW Commission</w:t>
      </w:r>
      <w:r>
        <w:tab/>
      </w:r>
      <w:r>
        <w:fldChar w:fldCharType="begin"/>
      </w:r>
      <w:r>
        <w:instrText xml:space="preserve"> PAGEREF _Toc188451291 \h </w:instrText>
      </w:r>
      <w:r>
        <w:fldChar w:fldCharType="separate"/>
      </w:r>
      <w:r>
        <w:t>228</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rPr>
          <w:bCs/>
        </w:rPr>
        <w:t>Referring matters to FW Commission for determination under this Act</w:t>
      </w:r>
      <w:r>
        <w:tab/>
      </w:r>
      <w:r>
        <w:fldChar w:fldCharType="begin"/>
      </w:r>
      <w:r>
        <w:instrText xml:space="preserve"> PAGEREF _Toc188451292 \h </w:instrText>
      </w:r>
      <w:r>
        <w:fldChar w:fldCharType="separate"/>
      </w:r>
      <w:r>
        <w:t>229</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_Toc188451293 \h </w:instrText>
      </w:r>
      <w:r>
        <w:fldChar w:fldCharType="separate"/>
      </w:r>
      <w:r>
        <w:t>230</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rPr>
          <w:bCs/>
        </w:rPr>
        <w:t>Commission may exercise powers conferred by FW Act or prescribed enactments</w:t>
      </w:r>
      <w:r>
        <w:tab/>
      </w:r>
      <w:r>
        <w:fldChar w:fldCharType="begin"/>
      </w:r>
      <w:r>
        <w:instrText xml:space="preserve"> PAGEREF _Toc188451294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4"/>
        <w:tabs>
          <w:tab w:val="right" w:leader="dot" w:pos="7077"/>
        </w:tabs>
        <w:rPr>
          <w:rFonts w:asciiTheme="minorHAnsi" w:eastAsiaTheme="minorEastAsia" w:hAnsiTheme="minorHAnsi" w:cstheme="minorBidi"/>
          <w:b w:val="0"/>
          <w:szCs w:val="22"/>
        </w:rPr>
      </w:pPr>
      <w:r>
        <w:t>Division 1 — Industrial magistrate’s court</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_Toc188451297 \h </w:instrText>
      </w:r>
      <w:r>
        <w:fldChar w:fldCharType="separate"/>
      </w:r>
      <w:r>
        <w:t>232</w:t>
      </w:r>
      <w:r>
        <w:fldChar w:fldCharType="end"/>
      </w:r>
    </w:p>
    <w:p>
      <w:pPr>
        <w:pStyle w:val="TOC8"/>
        <w:rPr>
          <w:rFonts w:asciiTheme="minorHAnsi" w:eastAsiaTheme="minorEastAsia" w:hAnsiTheme="minorHAnsi" w:cstheme="minorBidi"/>
          <w:szCs w:val="22"/>
        </w:rPr>
      </w:pPr>
      <w:r>
        <w:lastRenderedPageBreak/>
        <w:t>81A.</w:t>
      </w:r>
      <w:r>
        <w:tab/>
        <w:t>Jurisdiction of industrial magistrate’s court</w:t>
      </w:r>
      <w:r>
        <w:tab/>
      </w:r>
      <w:r>
        <w:fldChar w:fldCharType="begin"/>
      </w:r>
      <w:r>
        <w:instrText xml:space="preserve"> PAGEREF _Toc188451298 \h </w:instrText>
      </w:r>
      <w:r>
        <w:fldChar w:fldCharType="separate"/>
      </w:r>
      <w:r>
        <w:t>232</w:t>
      </w:r>
      <w:r>
        <w:fldChar w:fldCharType="end"/>
      </w:r>
    </w:p>
    <w:p>
      <w:pPr>
        <w:pStyle w:val="TOC8"/>
        <w:rPr>
          <w:rFonts w:asciiTheme="minorHAnsi" w:eastAsiaTheme="minorEastAsia" w:hAnsiTheme="minorHAnsi" w:cstheme="minorBidi"/>
          <w:szCs w:val="22"/>
        </w:rPr>
      </w:pPr>
      <w:r>
        <w:t>81AA.</w:t>
      </w:r>
      <w:r>
        <w:tab/>
        <w:t>Terms used</w:t>
      </w:r>
      <w:r>
        <w:tab/>
      </w:r>
      <w:r>
        <w:fldChar w:fldCharType="begin"/>
      </w:r>
      <w:r>
        <w:instrText xml:space="preserve"> PAGEREF _Toc188451299 \h </w:instrText>
      </w:r>
      <w:r>
        <w:fldChar w:fldCharType="separate"/>
      </w:r>
      <w:r>
        <w:t>233</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_Toc188451300 \h </w:instrText>
      </w:r>
      <w:r>
        <w:fldChar w:fldCharType="separate"/>
      </w:r>
      <w:r>
        <w:t>233</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_Toc188451301 \h </w:instrText>
      </w:r>
      <w:r>
        <w:fldChar w:fldCharType="separate"/>
      </w:r>
      <w:r>
        <w:t>234</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_Toc188451302 \h </w:instrText>
      </w:r>
      <w:r>
        <w:fldChar w:fldCharType="separate"/>
      </w:r>
      <w:r>
        <w:t>235</w:t>
      </w:r>
      <w:r>
        <w:fldChar w:fldCharType="end"/>
      </w:r>
    </w:p>
    <w:p>
      <w:pPr>
        <w:pStyle w:val="TOC8"/>
        <w:rPr>
          <w:rFonts w:asciiTheme="minorHAnsi" w:eastAsiaTheme="minorEastAsia" w:hAnsiTheme="minorHAnsi" w:cstheme="minorBidi"/>
          <w:szCs w:val="22"/>
        </w:rPr>
      </w:pPr>
      <w:r>
        <w:t>81CAA.</w:t>
      </w:r>
      <w:r>
        <w:tab/>
        <w:t>Onus of proving individual is or was not employee</w:t>
      </w:r>
      <w:r>
        <w:tab/>
      </w:r>
      <w:r>
        <w:fldChar w:fldCharType="begin"/>
      </w:r>
      <w:r>
        <w:instrText xml:space="preserve"> PAGEREF _Toc188451303 \h </w:instrText>
      </w:r>
      <w:r>
        <w:fldChar w:fldCharType="separate"/>
      </w:r>
      <w:r>
        <w:t>235</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_Toc188451304 \h </w:instrText>
      </w:r>
      <w:r>
        <w:fldChar w:fldCharType="separate"/>
      </w:r>
      <w:r>
        <w:t>236</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_Toc188451305 \h </w:instrText>
      </w:r>
      <w:r>
        <w:fldChar w:fldCharType="separate"/>
      </w:r>
      <w:r>
        <w:t>236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_Toc188451306 \h </w:instrText>
      </w:r>
      <w:r>
        <w:fldChar w:fldCharType="separate"/>
      </w:r>
      <w:r>
        <w:t>237</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_Toc188451307 \h </w:instrText>
      </w:r>
      <w:r>
        <w:fldChar w:fldCharType="separate"/>
      </w:r>
      <w:r>
        <w:t>237</w:t>
      </w:r>
      <w:r>
        <w:fldChar w:fldCharType="end"/>
      </w:r>
    </w:p>
    <w:p>
      <w:pPr>
        <w:pStyle w:val="TOC8"/>
        <w:rPr>
          <w:rFonts w:asciiTheme="minorHAnsi" w:eastAsiaTheme="minorEastAsia" w:hAnsiTheme="minorHAnsi" w:cstheme="minorBidi"/>
          <w:szCs w:val="22"/>
        </w:rPr>
      </w:pPr>
      <w:r>
        <w:t>81G.</w:t>
      </w:r>
      <w:r>
        <w:tab/>
        <w:t>Industrial inspectors may assist industrial magistrate’s court</w:t>
      </w:r>
      <w:r>
        <w:tab/>
      </w:r>
      <w:r>
        <w:fldChar w:fldCharType="begin"/>
      </w:r>
      <w:r>
        <w:instrText xml:space="preserve"> PAGEREF _Toc188451308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2 — Enforcement generally</w:t>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_Toc188451310 \h </w:instrText>
      </w:r>
      <w:r>
        <w:fldChar w:fldCharType="separate"/>
      </w:r>
      <w:r>
        <w:t>239</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_Toc188451311 \h </w:instrText>
      </w:r>
      <w:r>
        <w:fldChar w:fldCharType="separate"/>
      </w:r>
      <w:r>
        <w:t>239</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_Toc188451312 \h </w:instrText>
      </w:r>
      <w:r>
        <w:fldChar w:fldCharType="separate"/>
      </w:r>
      <w:r>
        <w:t>240</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_Toc188451313 \h </w:instrText>
      </w:r>
      <w:r>
        <w:fldChar w:fldCharType="separate"/>
      </w:r>
      <w:r>
        <w:t>242</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_Toc188451314 \h </w:instrText>
      </w:r>
      <w:r>
        <w:fldChar w:fldCharType="separate"/>
      </w:r>
      <w:r>
        <w:t>243</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_Toc188451315 \h </w:instrText>
      </w:r>
      <w:r>
        <w:fldChar w:fldCharType="separate"/>
      </w:r>
      <w:r>
        <w:t>246</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_Toc188451316 \h </w:instrText>
      </w:r>
      <w:r>
        <w:fldChar w:fldCharType="separate"/>
      </w:r>
      <w:r>
        <w:t>247</w:t>
      </w:r>
      <w:r>
        <w:fldChar w:fldCharType="end"/>
      </w:r>
    </w:p>
    <w:p>
      <w:pPr>
        <w:pStyle w:val="TOC8"/>
        <w:rPr>
          <w:rFonts w:asciiTheme="minorHAnsi" w:eastAsiaTheme="minorEastAsia" w:hAnsiTheme="minorHAnsi" w:cstheme="minorBidi"/>
          <w:szCs w:val="22"/>
        </w:rPr>
      </w:pPr>
      <w:r>
        <w:t>83E.</w:t>
      </w:r>
      <w:r>
        <w:tab/>
        <w:t>Proceedings for contravening civil penalty provisions</w:t>
      </w:r>
      <w:r>
        <w:tab/>
      </w:r>
      <w:r>
        <w:fldChar w:fldCharType="begin"/>
      </w:r>
      <w:r>
        <w:instrText xml:space="preserve"> PAGEREF _Toc188451317 \h </w:instrText>
      </w:r>
      <w:r>
        <w:fldChar w:fldCharType="separate"/>
      </w:r>
      <w:r>
        <w:t>247</w:t>
      </w:r>
      <w:r>
        <w:fldChar w:fldCharType="end"/>
      </w:r>
    </w:p>
    <w:p>
      <w:pPr>
        <w:pStyle w:val="TOC8"/>
        <w:rPr>
          <w:rFonts w:asciiTheme="minorHAnsi" w:eastAsiaTheme="minorEastAsia" w:hAnsiTheme="minorHAnsi" w:cstheme="minorBidi"/>
          <w:szCs w:val="22"/>
        </w:rPr>
      </w:pPr>
      <w:r>
        <w:t>83EA.</w:t>
      </w:r>
      <w:r>
        <w:tab/>
        <w:t>Serious contravention of entitlement provision or civil penalty provision</w:t>
      </w:r>
      <w:r>
        <w:tab/>
      </w:r>
      <w:r>
        <w:fldChar w:fldCharType="begin"/>
      </w:r>
      <w:r>
        <w:instrText xml:space="preserve"> PAGEREF _Toc188451318 \h </w:instrText>
      </w:r>
      <w:r>
        <w:fldChar w:fldCharType="separate"/>
      </w:r>
      <w:r>
        <w:t>250</w:t>
      </w:r>
      <w:r>
        <w:fldChar w:fldCharType="end"/>
      </w:r>
    </w:p>
    <w:p>
      <w:pPr>
        <w:pStyle w:val="TOC8"/>
        <w:rPr>
          <w:rFonts w:asciiTheme="minorHAnsi" w:eastAsiaTheme="minorEastAsia" w:hAnsiTheme="minorHAnsi" w:cstheme="minorBidi"/>
          <w:szCs w:val="22"/>
        </w:rPr>
      </w:pPr>
      <w:r>
        <w:t>83EB.</w:t>
      </w:r>
      <w:r>
        <w:tab/>
        <w:t>Employer to have burden of disproving certain allegations by applicant under s. 83</w:t>
      </w:r>
      <w:r>
        <w:tab/>
      </w:r>
      <w:r>
        <w:fldChar w:fldCharType="begin"/>
      </w:r>
      <w:r>
        <w:instrText xml:space="preserve"> PAGEREF _Toc188451319 \h </w:instrText>
      </w:r>
      <w:r>
        <w:fldChar w:fldCharType="separate"/>
      </w:r>
      <w:r>
        <w:t>252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_Toc188451320 \h </w:instrText>
      </w:r>
      <w:r>
        <w:fldChar w:fldCharType="separate"/>
      </w:r>
      <w:r>
        <w:t>252</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_Toc188451321 \h </w:instrText>
      </w:r>
      <w:r>
        <w:fldChar w:fldCharType="separate"/>
      </w:r>
      <w:r>
        <w:t>253</w:t>
      </w:r>
      <w:r>
        <w:fldChar w:fldCharType="end"/>
      </w:r>
    </w:p>
    <w:p>
      <w:pPr>
        <w:pStyle w:val="TOC8"/>
        <w:rPr>
          <w:rFonts w:asciiTheme="minorHAnsi" w:eastAsiaTheme="minorEastAsia" w:hAnsiTheme="minorHAnsi" w:cstheme="minorBidi"/>
          <w:szCs w:val="22"/>
        </w:rPr>
      </w:pPr>
      <w:r>
        <w:t>84AA.</w:t>
      </w:r>
      <w:r>
        <w:tab/>
        <w:t>Illegal contracts of employment may be treated as valid</w:t>
      </w:r>
      <w:r>
        <w:tab/>
      </w:r>
      <w:r>
        <w:fldChar w:fldCharType="begin"/>
      </w:r>
      <w:r>
        <w:instrText xml:space="preserve"> PAGEREF _Toc188451322 \h </w:instrText>
      </w:r>
      <w:r>
        <w:fldChar w:fldCharType="separate"/>
      </w:r>
      <w:r>
        <w:t>255</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_Toc188451323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Division 3 — Civil infringement notices</w:t>
      </w:r>
    </w:p>
    <w:p>
      <w:pPr>
        <w:pStyle w:val="TOC8"/>
        <w:rPr>
          <w:rFonts w:asciiTheme="minorHAnsi" w:eastAsiaTheme="minorEastAsia" w:hAnsiTheme="minorHAnsi" w:cstheme="minorBidi"/>
          <w:szCs w:val="22"/>
        </w:rPr>
      </w:pPr>
      <w:r>
        <w:t>84B.</w:t>
      </w:r>
      <w:r>
        <w:tab/>
        <w:t>Terms used</w:t>
      </w:r>
      <w:r>
        <w:tab/>
      </w:r>
      <w:r>
        <w:fldChar w:fldCharType="begin"/>
      </w:r>
      <w:r>
        <w:instrText xml:space="preserve"> PAGEREF _Toc188451325 \h </w:instrText>
      </w:r>
      <w:r>
        <w:fldChar w:fldCharType="separate"/>
      </w:r>
      <w:r>
        <w:t>257</w:t>
      </w:r>
      <w:r>
        <w:fldChar w:fldCharType="end"/>
      </w:r>
    </w:p>
    <w:p>
      <w:pPr>
        <w:pStyle w:val="TOC8"/>
        <w:rPr>
          <w:rFonts w:asciiTheme="minorHAnsi" w:eastAsiaTheme="minorEastAsia" w:hAnsiTheme="minorHAnsi" w:cstheme="minorBidi"/>
          <w:szCs w:val="22"/>
        </w:rPr>
      </w:pPr>
      <w:r>
        <w:t>84C.</w:t>
      </w:r>
      <w:r>
        <w:tab/>
        <w:t>Giving civil infringement notice</w:t>
      </w:r>
      <w:r>
        <w:tab/>
      </w:r>
      <w:r>
        <w:fldChar w:fldCharType="begin"/>
      </w:r>
      <w:r>
        <w:instrText xml:space="preserve"> PAGEREF _Toc188451326 \h </w:instrText>
      </w:r>
      <w:r>
        <w:fldChar w:fldCharType="separate"/>
      </w:r>
      <w:r>
        <w:t>258</w:t>
      </w:r>
      <w:r>
        <w:fldChar w:fldCharType="end"/>
      </w:r>
    </w:p>
    <w:p>
      <w:pPr>
        <w:pStyle w:val="TOC8"/>
        <w:rPr>
          <w:rFonts w:asciiTheme="minorHAnsi" w:eastAsiaTheme="minorEastAsia" w:hAnsiTheme="minorHAnsi" w:cstheme="minorBidi"/>
          <w:szCs w:val="22"/>
        </w:rPr>
      </w:pPr>
      <w:r>
        <w:lastRenderedPageBreak/>
        <w:t>84D.</w:t>
      </w:r>
      <w:r>
        <w:tab/>
        <w:t>Content of civil infringement notice</w:t>
      </w:r>
      <w:r>
        <w:tab/>
      </w:r>
      <w:r>
        <w:fldChar w:fldCharType="begin"/>
      </w:r>
      <w:r>
        <w:instrText xml:space="preserve"> PAGEREF _Toc188451327 \h </w:instrText>
      </w:r>
      <w:r>
        <w:fldChar w:fldCharType="separate"/>
      </w:r>
      <w:r>
        <w:t>259</w:t>
      </w:r>
      <w:r>
        <w:fldChar w:fldCharType="end"/>
      </w:r>
    </w:p>
    <w:p>
      <w:pPr>
        <w:pStyle w:val="TOC8"/>
        <w:rPr>
          <w:rFonts w:asciiTheme="minorHAnsi" w:eastAsiaTheme="minorEastAsia" w:hAnsiTheme="minorHAnsi" w:cstheme="minorBidi"/>
          <w:szCs w:val="22"/>
        </w:rPr>
      </w:pPr>
      <w:r>
        <w:t>84E.</w:t>
      </w:r>
      <w:r>
        <w:tab/>
        <w:t>Amount of civil infringement notice penalty</w:t>
      </w:r>
      <w:r>
        <w:tab/>
      </w:r>
      <w:r>
        <w:fldChar w:fldCharType="begin"/>
      </w:r>
      <w:r>
        <w:instrText xml:space="preserve"> PAGEREF _Toc188451328 \h </w:instrText>
      </w:r>
      <w:r>
        <w:fldChar w:fldCharType="separate"/>
      </w:r>
      <w:r>
        <w:t>260</w:t>
      </w:r>
      <w:r>
        <w:fldChar w:fldCharType="end"/>
      </w:r>
    </w:p>
    <w:p>
      <w:pPr>
        <w:pStyle w:val="TOC8"/>
        <w:rPr>
          <w:rFonts w:asciiTheme="minorHAnsi" w:eastAsiaTheme="minorEastAsia" w:hAnsiTheme="minorHAnsi" w:cstheme="minorBidi"/>
          <w:szCs w:val="22"/>
        </w:rPr>
      </w:pPr>
      <w:r>
        <w:t>84F.</w:t>
      </w:r>
      <w:r>
        <w:tab/>
        <w:t>Time for payment of civil infringement notice penalty</w:t>
      </w:r>
      <w:r>
        <w:tab/>
      </w:r>
      <w:r>
        <w:fldChar w:fldCharType="begin"/>
      </w:r>
      <w:r>
        <w:instrText xml:space="preserve"> PAGEREF _Toc188451329 \h </w:instrText>
      </w:r>
      <w:r>
        <w:fldChar w:fldCharType="separate"/>
      </w:r>
      <w:r>
        <w:t>260</w:t>
      </w:r>
      <w:r>
        <w:fldChar w:fldCharType="end"/>
      </w:r>
    </w:p>
    <w:p>
      <w:pPr>
        <w:pStyle w:val="TOC8"/>
        <w:rPr>
          <w:rFonts w:asciiTheme="minorHAnsi" w:eastAsiaTheme="minorEastAsia" w:hAnsiTheme="minorHAnsi" w:cstheme="minorBidi"/>
          <w:szCs w:val="22"/>
        </w:rPr>
      </w:pPr>
      <w:r>
        <w:t>84G.</w:t>
      </w:r>
      <w:r>
        <w:tab/>
        <w:t>Extension of time to pay civil infringement notice penalty</w:t>
      </w:r>
      <w:r>
        <w:tab/>
      </w:r>
      <w:r>
        <w:fldChar w:fldCharType="begin"/>
      </w:r>
      <w:r>
        <w:instrText xml:space="preserve"> PAGEREF _Toc188451330 \h </w:instrText>
      </w:r>
      <w:r>
        <w:fldChar w:fldCharType="separate"/>
      </w:r>
      <w:r>
        <w:t>260</w:t>
      </w:r>
      <w:r>
        <w:fldChar w:fldCharType="end"/>
      </w:r>
    </w:p>
    <w:p>
      <w:pPr>
        <w:pStyle w:val="TOC8"/>
        <w:rPr>
          <w:rFonts w:asciiTheme="minorHAnsi" w:eastAsiaTheme="minorEastAsia" w:hAnsiTheme="minorHAnsi" w:cstheme="minorBidi"/>
          <w:szCs w:val="22"/>
        </w:rPr>
      </w:pPr>
      <w:r>
        <w:t>84H.</w:t>
      </w:r>
      <w:r>
        <w:tab/>
        <w:t>Withdrawal of civil infringement notice</w:t>
      </w:r>
      <w:r>
        <w:tab/>
      </w:r>
      <w:r>
        <w:fldChar w:fldCharType="begin"/>
      </w:r>
      <w:r>
        <w:instrText xml:space="preserve"> PAGEREF _Toc188451331 \h </w:instrText>
      </w:r>
      <w:r>
        <w:fldChar w:fldCharType="separate"/>
      </w:r>
      <w:r>
        <w:t>261</w:t>
      </w:r>
      <w:r>
        <w:fldChar w:fldCharType="end"/>
      </w:r>
    </w:p>
    <w:p>
      <w:pPr>
        <w:pStyle w:val="TOC8"/>
        <w:rPr>
          <w:rFonts w:asciiTheme="minorHAnsi" w:eastAsiaTheme="minorEastAsia" w:hAnsiTheme="minorHAnsi" w:cstheme="minorBidi"/>
          <w:szCs w:val="22"/>
        </w:rPr>
      </w:pPr>
      <w:r>
        <w:t>84I.</w:t>
      </w:r>
      <w:r>
        <w:tab/>
        <w:t>Effect of payment of civil infringement notice penalty</w:t>
      </w:r>
      <w:r>
        <w:tab/>
      </w:r>
      <w:r>
        <w:fldChar w:fldCharType="begin"/>
      </w:r>
      <w:r>
        <w:instrText xml:space="preserve"> PAGEREF _Toc188451332 \h </w:instrText>
      </w:r>
      <w:r>
        <w:fldChar w:fldCharType="separate"/>
      </w:r>
      <w:r>
        <w:t>262</w:t>
      </w:r>
      <w:r>
        <w:fldChar w:fldCharType="end"/>
      </w:r>
    </w:p>
    <w:p>
      <w:pPr>
        <w:pStyle w:val="TOC8"/>
        <w:rPr>
          <w:rFonts w:asciiTheme="minorHAnsi" w:eastAsiaTheme="minorEastAsia" w:hAnsiTheme="minorHAnsi" w:cstheme="minorBidi"/>
          <w:szCs w:val="22"/>
        </w:rPr>
      </w:pPr>
      <w:r>
        <w:t>84J.</w:t>
      </w:r>
      <w:r>
        <w:tab/>
        <w:t>Refund of civil infringement notice penalty</w:t>
      </w:r>
      <w:r>
        <w:tab/>
      </w:r>
      <w:r>
        <w:fldChar w:fldCharType="begin"/>
      </w:r>
      <w:r>
        <w:instrText xml:space="preserve"> PAGEREF _Toc188451333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4 — Enforceable undertakings</w:t>
      </w:r>
    </w:p>
    <w:p>
      <w:pPr>
        <w:pStyle w:val="TOC8"/>
        <w:rPr>
          <w:rFonts w:asciiTheme="minorHAnsi" w:eastAsiaTheme="minorEastAsia" w:hAnsiTheme="minorHAnsi" w:cstheme="minorBidi"/>
          <w:szCs w:val="22"/>
        </w:rPr>
      </w:pPr>
      <w:r>
        <w:t>84K.</w:t>
      </w:r>
      <w:r>
        <w:tab/>
        <w:t>Terms used</w:t>
      </w:r>
      <w:r>
        <w:tab/>
      </w:r>
      <w:r>
        <w:fldChar w:fldCharType="begin"/>
      </w:r>
      <w:r>
        <w:instrText xml:space="preserve"> PAGEREF _Toc188451335 \h </w:instrText>
      </w:r>
      <w:r>
        <w:fldChar w:fldCharType="separate"/>
      </w:r>
      <w:r>
        <w:t>262</w:t>
      </w:r>
      <w:r>
        <w:fldChar w:fldCharType="end"/>
      </w:r>
    </w:p>
    <w:p>
      <w:pPr>
        <w:pStyle w:val="TOC8"/>
        <w:rPr>
          <w:rFonts w:asciiTheme="minorHAnsi" w:eastAsiaTheme="minorEastAsia" w:hAnsiTheme="minorHAnsi" w:cstheme="minorBidi"/>
          <w:szCs w:val="22"/>
        </w:rPr>
      </w:pPr>
      <w:r>
        <w:t>84L.</w:t>
      </w:r>
      <w:r>
        <w:tab/>
        <w:t>Application of Division</w:t>
      </w:r>
      <w:r>
        <w:tab/>
      </w:r>
      <w:r>
        <w:fldChar w:fldCharType="begin"/>
      </w:r>
      <w:r>
        <w:instrText xml:space="preserve"> PAGEREF _Toc188451336 \h </w:instrText>
      </w:r>
      <w:r>
        <w:fldChar w:fldCharType="separate"/>
      </w:r>
      <w:r>
        <w:t>263</w:t>
      </w:r>
      <w:r>
        <w:fldChar w:fldCharType="end"/>
      </w:r>
    </w:p>
    <w:p>
      <w:pPr>
        <w:pStyle w:val="TOC8"/>
        <w:rPr>
          <w:rFonts w:asciiTheme="minorHAnsi" w:eastAsiaTheme="minorEastAsia" w:hAnsiTheme="minorHAnsi" w:cstheme="minorBidi"/>
          <w:szCs w:val="22"/>
        </w:rPr>
      </w:pPr>
      <w:r>
        <w:t>84M.</w:t>
      </w:r>
      <w:r>
        <w:tab/>
        <w:t>Enforceable undertaking</w:t>
      </w:r>
      <w:r>
        <w:tab/>
      </w:r>
      <w:r>
        <w:fldChar w:fldCharType="begin"/>
      </w:r>
      <w:r>
        <w:instrText xml:space="preserve"> PAGEREF _Toc188451337 \h </w:instrText>
      </w:r>
      <w:r>
        <w:fldChar w:fldCharType="separate"/>
      </w:r>
      <w:r>
        <w:t>263</w:t>
      </w:r>
      <w:r>
        <w:fldChar w:fldCharType="end"/>
      </w:r>
    </w:p>
    <w:p>
      <w:pPr>
        <w:pStyle w:val="TOC8"/>
        <w:rPr>
          <w:rFonts w:asciiTheme="minorHAnsi" w:eastAsiaTheme="minorEastAsia" w:hAnsiTheme="minorHAnsi" w:cstheme="minorBidi"/>
          <w:szCs w:val="22"/>
        </w:rPr>
      </w:pPr>
      <w:r>
        <w:t>84N.</w:t>
      </w:r>
      <w:r>
        <w:tab/>
        <w:t>Enforcement of enforceable undertakings</w:t>
      </w:r>
      <w:r>
        <w:tab/>
      </w:r>
      <w:r>
        <w:fldChar w:fldCharType="begin"/>
      </w:r>
      <w:r>
        <w:instrText xml:space="preserve"> PAGEREF _Toc188451338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5 — Compliance notices</w:t>
      </w:r>
    </w:p>
    <w:p>
      <w:pPr>
        <w:pStyle w:val="TOC8"/>
        <w:rPr>
          <w:rFonts w:asciiTheme="minorHAnsi" w:eastAsiaTheme="minorEastAsia" w:hAnsiTheme="minorHAnsi" w:cstheme="minorBidi"/>
          <w:szCs w:val="22"/>
        </w:rPr>
      </w:pPr>
      <w:r>
        <w:t>84O.</w:t>
      </w:r>
      <w:r>
        <w:tab/>
        <w:t>Terms used</w:t>
      </w:r>
      <w:r>
        <w:tab/>
      </w:r>
      <w:r>
        <w:fldChar w:fldCharType="begin"/>
      </w:r>
      <w:r>
        <w:instrText xml:space="preserve"> PAGEREF _Toc188451340 \h </w:instrText>
      </w:r>
      <w:r>
        <w:fldChar w:fldCharType="separate"/>
      </w:r>
      <w:r>
        <w:t>264</w:t>
      </w:r>
      <w:r>
        <w:fldChar w:fldCharType="end"/>
      </w:r>
    </w:p>
    <w:p>
      <w:pPr>
        <w:pStyle w:val="TOC8"/>
        <w:rPr>
          <w:rFonts w:asciiTheme="minorHAnsi" w:eastAsiaTheme="minorEastAsia" w:hAnsiTheme="minorHAnsi" w:cstheme="minorBidi"/>
          <w:szCs w:val="22"/>
        </w:rPr>
      </w:pPr>
      <w:r>
        <w:t>84P.</w:t>
      </w:r>
      <w:r>
        <w:tab/>
        <w:t>Application of Division</w:t>
      </w:r>
      <w:r>
        <w:tab/>
      </w:r>
      <w:r>
        <w:fldChar w:fldCharType="begin"/>
      </w:r>
      <w:r>
        <w:instrText xml:space="preserve"> PAGEREF _Toc188451341 \h </w:instrText>
      </w:r>
      <w:r>
        <w:fldChar w:fldCharType="separate"/>
      </w:r>
      <w:r>
        <w:t>264</w:t>
      </w:r>
      <w:r>
        <w:fldChar w:fldCharType="end"/>
      </w:r>
    </w:p>
    <w:p>
      <w:pPr>
        <w:pStyle w:val="TOC8"/>
        <w:rPr>
          <w:rFonts w:asciiTheme="minorHAnsi" w:eastAsiaTheme="minorEastAsia" w:hAnsiTheme="minorHAnsi" w:cstheme="minorBidi"/>
          <w:szCs w:val="22"/>
        </w:rPr>
      </w:pPr>
      <w:r>
        <w:t>84Q.</w:t>
      </w:r>
      <w:r>
        <w:tab/>
        <w:t>Giving compliance notice</w:t>
      </w:r>
      <w:r>
        <w:tab/>
      </w:r>
      <w:r>
        <w:fldChar w:fldCharType="begin"/>
      </w:r>
      <w:r>
        <w:instrText xml:space="preserve"> PAGEREF _Toc188451342 \h </w:instrText>
      </w:r>
      <w:r>
        <w:fldChar w:fldCharType="separate"/>
      </w:r>
      <w:r>
        <w:t>265</w:t>
      </w:r>
      <w:r>
        <w:fldChar w:fldCharType="end"/>
      </w:r>
    </w:p>
    <w:p>
      <w:pPr>
        <w:pStyle w:val="TOC8"/>
        <w:rPr>
          <w:rFonts w:asciiTheme="minorHAnsi" w:eastAsiaTheme="minorEastAsia" w:hAnsiTheme="minorHAnsi" w:cstheme="minorBidi"/>
          <w:szCs w:val="22"/>
        </w:rPr>
      </w:pPr>
      <w:r>
        <w:t>84R.</w:t>
      </w:r>
      <w:r>
        <w:tab/>
        <w:t>Relationship with enforceable undertakings</w:t>
      </w:r>
      <w:r>
        <w:tab/>
      </w:r>
      <w:r>
        <w:fldChar w:fldCharType="begin"/>
      </w:r>
      <w:r>
        <w:instrText xml:space="preserve"> PAGEREF _Toc188451343 \h </w:instrText>
      </w:r>
      <w:r>
        <w:fldChar w:fldCharType="separate"/>
      </w:r>
      <w:r>
        <w:t>266</w:t>
      </w:r>
      <w:r>
        <w:fldChar w:fldCharType="end"/>
      </w:r>
    </w:p>
    <w:p>
      <w:pPr>
        <w:pStyle w:val="TOC8"/>
        <w:rPr>
          <w:rFonts w:asciiTheme="minorHAnsi" w:eastAsiaTheme="minorEastAsia" w:hAnsiTheme="minorHAnsi" w:cstheme="minorBidi"/>
          <w:szCs w:val="22"/>
        </w:rPr>
      </w:pPr>
      <w:r>
        <w:t>84S.</w:t>
      </w:r>
      <w:r>
        <w:tab/>
        <w:t>Relationship with proceedings under s. 83</w:t>
      </w:r>
      <w:r>
        <w:tab/>
      </w:r>
      <w:r>
        <w:fldChar w:fldCharType="begin"/>
      </w:r>
      <w:r>
        <w:instrText xml:space="preserve"> PAGEREF _Toc188451344 \h </w:instrText>
      </w:r>
      <w:r>
        <w:fldChar w:fldCharType="separate"/>
      </w:r>
      <w:r>
        <w:t>266</w:t>
      </w:r>
      <w:r>
        <w:fldChar w:fldCharType="end"/>
      </w:r>
    </w:p>
    <w:p>
      <w:pPr>
        <w:pStyle w:val="TOC8"/>
        <w:rPr>
          <w:rFonts w:asciiTheme="minorHAnsi" w:eastAsiaTheme="minorEastAsia" w:hAnsiTheme="minorHAnsi" w:cstheme="minorBidi"/>
          <w:szCs w:val="22"/>
        </w:rPr>
      </w:pPr>
      <w:r>
        <w:t>84T.</w:t>
      </w:r>
      <w:r>
        <w:tab/>
        <w:t>Person must comply with compliance notice</w:t>
      </w:r>
      <w:r>
        <w:tab/>
      </w:r>
      <w:r>
        <w:fldChar w:fldCharType="begin"/>
      </w:r>
      <w:r>
        <w:instrText xml:space="preserve"> PAGEREF _Toc188451345 \h </w:instrText>
      </w:r>
      <w:r>
        <w:fldChar w:fldCharType="separate"/>
      </w:r>
      <w:r>
        <w:t>267</w:t>
      </w:r>
      <w:r>
        <w:fldChar w:fldCharType="end"/>
      </w:r>
    </w:p>
    <w:p>
      <w:pPr>
        <w:pStyle w:val="TOC8"/>
        <w:rPr>
          <w:rFonts w:asciiTheme="minorHAnsi" w:eastAsiaTheme="minorEastAsia" w:hAnsiTheme="minorHAnsi" w:cstheme="minorBidi"/>
          <w:szCs w:val="22"/>
        </w:rPr>
      </w:pPr>
      <w:r>
        <w:t>84U.</w:t>
      </w:r>
      <w:r>
        <w:tab/>
        <w:t>Review of compliance notices</w:t>
      </w:r>
      <w:r>
        <w:tab/>
      </w:r>
      <w:r>
        <w:fldChar w:fldCharType="begin"/>
      </w:r>
      <w:r>
        <w:instrText xml:space="preserve"> PAGEREF _Toc188451346 \h </w:instrText>
      </w:r>
      <w:r>
        <w:fldChar w:fldCharType="separate"/>
      </w:r>
      <w:r>
        <w:t>268</w:t>
      </w:r>
      <w:r>
        <w:fldChar w:fldCharType="end"/>
      </w:r>
    </w:p>
    <w:p>
      <w:pPr>
        <w:pStyle w:val="TOC8"/>
        <w:rPr>
          <w:rFonts w:asciiTheme="minorHAnsi" w:eastAsiaTheme="minorEastAsia" w:hAnsiTheme="minorHAnsi" w:cstheme="minorBidi"/>
          <w:szCs w:val="22"/>
        </w:rPr>
      </w:pPr>
      <w:r>
        <w:t>84V.</w:t>
      </w:r>
      <w:r>
        <w:tab/>
        <w:t>Withdrawal of compliance notice</w:t>
      </w:r>
      <w:r>
        <w:tab/>
      </w:r>
      <w:r>
        <w:fldChar w:fldCharType="begin"/>
      </w:r>
      <w:r>
        <w:instrText xml:space="preserve"> PAGEREF _Toc188451347 \h </w:instrText>
      </w:r>
      <w:r>
        <w:fldChar w:fldCharType="separate"/>
      </w:r>
      <w:r>
        <w:t>268</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_Toc188451349 \h </w:instrText>
      </w:r>
      <w:r>
        <w:fldChar w:fldCharType="separate"/>
      </w:r>
      <w:r>
        <w:t>269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_Toc188451350 \h </w:instrText>
      </w:r>
      <w:r>
        <w:fldChar w:fldCharType="separate"/>
      </w:r>
      <w:r>
        <w:t>270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_Toc188451351 \h </w:instrText>
      </w:r>
      <w:r>
        <w:fldChar w:fldCharType="separate"/>
      </w:r>
      <w:r>
        <w:t>271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_Toc188451352 \h </w:instrText>
      </w:r>
      <w:r>
        <w:fldChar w:fldCharType="separate"/>
      </w:r>
      <w:r>
        <w:t>271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_Toc188451353 \h </w:instrText>
      </w:r>
      <w:r>
        <w:fldChar w:fldCharType="separate"/>
      </w:r>
      <w:r>
        <w:t>272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_Toc188451354 \h </w:instrText>
      </w:r>
      <w:r>
        <w:fldChar w:fldCharType="separate"/>
      </w:r>
      <w:r>
        <w:t>274</w:t>
      </w:r>
      <w:r>
        <w:fldChar w:fldCharType="end"/>
      </w:r>
    </w:p>
    <w:p>
      <w:pPr>
        <w:pStyle w:val="TOC8"/>
        <w:rPr>
          <w:rFonts w:asciiTheme="minorHAnsi" w:eastAsiaTheme="minorEastAsia" w:hAnsiTheme="minorHAnsi" w:cstheme="minorBidi"/>
          <w:szCs w:val="22"/>
        </w:rPr>
      </w:pPr>
      <w:r>
        <w:t>91A.</w:t>
      </w:r>
      <w:r>
        <w:tab/>
        <w:t>Court’s power to order costs and expenses</w:t>
      </w:r>
      <w:r>
        <w:tab/>
      </w:r>
      <w:r>
        <w:fldChar w:fldCharType="begin"/>
      </w:r>
      <w:r>
        <w:instrText xml:space="preserve"> PAGEREF _Toc188451355 \h </w:instrText>
      </w:r>
      <w:r>
        <w:fldChar w:fldCharType="separate"/>
      </w:r>
      <w:r>
        <w:t>274</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_Toc188451356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_Toc188451358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94</w:t>
      </w:r>
      <w:r>
        <w:rPr>
          <w:snapToGrid w:val="0"/>
        </w:rPr>
        <w:t>.</w:t>
      </w:r>
      <w:r>
        <w:rPr>
          <w:snapToGrid w:val="0"/>
        </w:rPr>
        <w:tab/>
        <w:t>Authority of officers to do acts as directed</w:t>
      </w:r>
      <w:r>
        <w:tab/>
      </w:r>
      <w:r>
        <w:fldChar w:fldCharType="begin"/>
      </w:r>
      <w:r>
        <w:instrText xml:space="preserve"> PAGEREF _Toc188451359 \h </w:instrText>
      </w:r>
      <w:r>
        <w:fldChar w:fldCharType="separate"/>
      </w:r>
      <w:r>
        <w:t>278</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_Toc188451360 \h </w:instrText>
      </w:r>
      <w:r>
        <w:fldChar w:fldCharType="separate"/>
      </w:r>
      <w:r>
        <w:t>278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_Toc188451361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_Toc188451363 \h </w:instrText>
      </w:r>
      <w:r>
        <w:fldChar w:fldCharType="separate"/>
      </w:r>
      <w:r>
        <w:t>282</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_Toc188451364 \h </w:instrText>
      </w:r>
      <w:r>
        <w:fldChar w:fldCharType="separate"/>
      </w:r>
      <w:r>
        <w:t>282</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_Toc188451365 \h </w:instrText>
      </w:r>
      <w:r>
        <w:fldChar w:fldCharType="separate"/>
      </w:r>
      <w:r>
        <w:t>283</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_Toc188451366 \h </w:instrText>
      </w:r>
      <w:r>
        <w:fldChar w:fldCharType="separate"/>
      </w:r>
      <w:r>
        <w:t>284</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_Toc188451367 \h </w:instrText>
      </w:r>
      <w:r>
        <w:fldChar w:fldCharType="separate"/>
      </w:r>
      <w:r>
        <w:t>286</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_Toc188451368 \h </w:instrText>
      </w:r>
      <w:r>
        <w:fldChar w:fldCharType="separate"/>
      </w:r>
      <w:r>
        <w:t>288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_Toc188451369 \h </w:instrText>
      </w:r>
      <w:r>
        <w:fldChar w:fldCharType="separate"/>
      </w:r>
      <w:r>
        <w:t>289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_Toc188451370 \h </w:instrText>
      </w:r>
      <w:r>
        <w:fldChar w:fldCharType="separate"/>
      </w:r>
      <w:r>
        <w:t>290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_Toc188451371 \h </w:instrText>
      </w:r>
      <w:r>
        <w:fldChar w:fldCharType="separate"/>
      </w:r>
      <w:r>
        <w:t>290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_Toc188451372 \h </w:instrText>
      </w:r>
      <w:r>
        <w:fldChar w:fldCharType="separate"/>
      </w:r>
      <w:r>
        <w:t>291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_Toc188451373 \h </w:instrText>
      </w:r>
      <w:r>
        <w:fldChar w:fldCharType="separate"/>
      </w:r>
      <w:r>
        <w:t>292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_Toc188451374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6B — Protection of employee rights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w:t>
      </w:r>
      <w:r>
        <w:tab/>
        <w:t>Terms used</w:t>
      </w:r>
      <w:r>
        <w:tab/>
      </w:r>
      <w:r>
        <w:fldChar w:fldCharType="begin"/>
      </w:r>
      <w:r>
        <w:instrText xml:space="preserve"> PAGEREF _Toc188451377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2 — Damaging action</w:t>
      </w:r>
    </w:p>
    <w:p>
      <w:pPr>
        <w:pStyle w:val="TOC8"/>
        <w:rPr>
          <w:rFonts w:asciiTheme="minorHAnsi" w:eastAsiaTheme="minorEastAsia" w:hAnsiTheme="minorHAnsi" w:cstheme="minorBidi"/>
          <w:szCs w:val="22"/>
        </w:rPr>
      </w:pPr>
      <w:r>
        <w:t>97A.</w:t>
      </w:r>
      <w:r>
        <w:tab/>
        <w:t>Damaging action because of inquiry or complaint</w:t>
      </w:r>
      <w:r>
        <w:tab/>
      </w:r>
      <w:r>
        <w:fldChar w:fldCharType="begin"/>
      </w:r>
      <w:r>
        <w:instrText xml:space="preserve"> PAGEREF _Toc188451379 \h </w:instrText>
      </w:r>
      <w:r>
        <w:fldChar w:fldCharType="separate"/>
      </w:r>
      <w:r>
        <w:t>295</w:t>
      </w:r>
      <w:r>
        <w:fldChar w:fldCharType="end"/>
      </w:r>
    </w:p>
    <w:p>
      <w:pPr>
        <w:pStyle w:val="TOC8"/>
        <w:rPr>
          <w:rFonts w:asciiTheme="minorHAnsi" w:eastAsiaTheme="minorEastAsia" w:hAnsiTheme="minorHAnsi" w:cstheme="minorBidi"/>
          <w:szCs w:val="22"/>
        </w:rPr>
      </w:pPr>
      <w:r>
        <w:t>97B.</w:t>
      </w:r>
      <w:r>
        <w:tab/>
        <w:t>Court orders to employers</w:t>
      </w:r>
      <w:r>
        <w:tab/>
      </w:r>
      <w:r>
        <w:fldChar w:fldCharType="begin"/>
      </w:r>
      <w:r>
        <w:instrText xml:space="preserve"> PAGEREF _Toc188451380 \h </w:instrText>
      </w:r>
      <w:r>
        <w:fldChar w:fldCharType="separate"/>
      </w:r>
      <w:r>
        <w:t>295</w:t>
      </w:r>
      <w:r>
        <w:fldChar w:fldCharType="end"/>
      </w:r>
    </w:p>
    <w:p>
      <w:pPr>
        <w:pStyle w:val="TOC8"/>
        <w:rPr>
          <w:rFonts w:asciiTheme="minorHAnsi" w:eastAsiaTheme="minorEastAsia" w:hAnsiTheme="minorHAnsi" w:cstheme="minorBidi"/>
          <w:szCs w:val="22"/>
        </w:rPr>
      </w:pPr>
      <w:r>
        <w:t>97C.</w:t>
      </w:r>
      <w:r>
        <w:tab/>
        <w:t>Court orders to third parties</w:t>
      </w:r>
      <w:r>
        <w:tab/>
      </w:r>
      <w:r>
        <w:fldChar w:fldCharType="begin"/>
      </w:r>
      <w:r>
        <w:instrText xml:space="preserve"> PAGEREF _Toc188451381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Sham contracts for services</w:t>
      </w:r>
    </w:p>
    <w:p>
      <w:pPr>
        <w:pStyle w:val="TOC8"/>
        <w:rPr>
          <w:rFonts w:asciiTheme="minorHAnsi" w:eastAsiaTheme="minorEastAsia" w:hAnsiTheme="minorHAnsi" w:cstheme="minorBidi"/>
          <w:szCs w:val="22"/>
        </w:rPr>
      </w:pPr>
      <w:r>
        <w:t>97D.</w:t>
      </w:r>
      <w:r>
        <w:tab/>
        <w:t>Misrepresenting contract of employment as contract for services</w:t>
      </w:r>
      <w:r>
        <w:tab/>
      </w:r>
      <w:r>
        <w:fldChar w:fldCharType="begin"/>
      </w:r>
      <w:r>
        <w:instrText xml:space="preserve"> PAGEREF _Toc188451383 \h </w:instrText>
      </w:r>
      <w:r>
        <w:fldChar w:fldCharType="separate"/>
      </w:r>
      <w:r>
        <w:t>297</w:t>
      </w:r>
      <w:r>
        <w:fldChar w:fldCharType="end"/>
      </w:r>
    </w:p>
    <w:p>
      <w:pPr>
        <w:pStyle w:val="TOC8"/>
        <w:rPr>
          <w:rFonts w:asciiTheme="minorHAnsi" w:eastAsiaTheme="minorEastAsia" w:hAnsiTheme="minorHAnsi" w:cstheme="minorBidi"/>
          <w:szCs w:val="22"/>
        </w:rPr>
      </w:pPr>
      <w:r>
        <w:t>97E.</w:t>
      </w:r>
      <w:r>
        <w:tab/>
        <w:t>Dismissing to engage under contract for services</w:t>
      </w:r>
      <w:r>
        <w:tab/>
      </w:r>
      <w:r>
        <w:fldChar w:fldCharType="begin"/>
      </w:r>
      <w:r>
        <w:instrText xml:space="preserve"> PAGEREF _Toc188451384 \h </w:instrText>
      </w:r>
      <w:r>
        <w:fldChar w:fldCharType="separate"/>
      </w:r>
      <w:r>
        <w:t>297</w:t>
      </w:r>
      <w:r>
        <w:fldChar w:fldCharType="end"/>
      </w:r>
    </w:p>
    <w:p>
      <w:pPr>
        <w:pStyle w:val="TOC8"/>
        <w:rPr>
          <w:rFonts w:asciiTheme="minorHAnsi" w:eastAsiaTheme="minorEastAsia" w:hAnsiTheme="minorHAnsi" w:cstheme="minorBidi"/>
          <w:szCs w:val="22"/>
        </w:rPr>
      </w:pPr>
      <w:r>
        <w:t>97F.</w:t>
      </w:r>
      <w:r>
        <w:tab/>
        <w:t>False statement to engage under contract for services</w:t>
      </w:r>
      <w:r>
        <w:tab/>
      </w:r>
      <w:r>
        <w:fldChar w:fldCharType="begin"/>
      </w:r>
      <w:r>
        <w:instrText xml:space="preserve"> PAGEREF _Toc188451385 \h </w:instrText>
      </w:r>
      <w:r>
        <w:fldChar w:fldCharType="separate"/>
      </w:r>
      <w:r>
        <w:t>298</w:t>
      </w:r>
      <w:r>
        <w:fldChar w:fldCharType="end"/>
      </w:r>
    </w:p>
    <w:p>
      <w:pPr>
        <w:pStyle w:val="TOC8"/>
        <w:rPr>
          <w:rFonts w:asciiTheme="minorHAnsi" w:eastAsiaTheme="minorEastAsia" w:hAnsiTheme="minorHAnsi" w:cstheme="minorBidi"/>
          <w:szCs w:val="22"/>
        </w:rPr>
      </w:pPr>
      <w:r>
        <w:t>97G.</w:t>
      </w:r>
      <w:r>
        <w:tab/>
        <w:t>Court orders to employers</w:t>
      </w:r>
      <w:r>
        <w:tab/>
      </w:r>
      <w:r>
        <w:fldChar w:fldCharType="begin"/>
      </w:r>
      <w:r>
        <w:instrText xml:space="preserve"> PAGEREF _Toc188451386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97H.</w:t>
      </w:r>
      <w:r>
        <w:tab/>
        <w:t>Certain advertising prohibited</w:t>
      </w:r>
      <w:r>
        <w:tab/>
      </w:r>
      <w:r>
        <w:fldChar w:fldCharType="begin"/>
      </w:r>
      <w:r>
        <w:instrText xml:space="preserve"> PAGEREF _Toc188451388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_Toc188451391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_Toc188451393 \h </w:instrText>
      </w:r>
      <w:r>
        <w:fldChar w:fldCharType="separate"/>
      </w:r>
      <w:r>
        <w:t>303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_Toc188451394 \h </w:instrText>
      </w:r>
      <w:r>
        <w:fldChar w:fldCharType="separate"/>
      </w:r>
      <w:r>
        <w:t>303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_Toc188451395 \h </w:instrText>
      </w:r>
      <w:r>
        <w:fldChar w:fldCharType="separate"/>
      </w:r>
      <w:r>
        <w:t>303</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_Toc188451396 \h </w:instrText>
      </w:r>
      <w:r>
        <w:fldChar w:fldCharType="separate"/>
      </w:r>
      <w:r>
        <w:t>304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_Toc188451397 \h </w:instrText>
      </w:r>
      <w:r>
        <w:fldChar w:fldCharType="separate"/>
      </w:r>
      <w:r>
        <w:t>304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_Toc188451398 \h </w:instrText>
      </w:r>
      <w:r>
        <w:fldChar w:fldCharType="separate"/>
      </w:r>
      <w:r>
        <w:t>304</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_Toc188451399 \h </w:instrText>
      </w:r>
      <w:r>
        <w:fldChar w:fldCharType="separate"/>
      </w:r>
      <w:r>
        <w:t>305</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_Toc188451400 \h </w:instrText>
      </w:r>
      <w:r>
        <w:fldChar w:fldCharType="separate"/>
      </w:r>
      <w:r>
        <w:t>306</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_Toc188451401 \h </w:instrText>
      </w:r>
      <w:r>
        <w:fldChar w:fldCharType="separate"/>
      </w:r>
      <w:r>
        <w:t>307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_Toc188451402 \h </w:instrText>
      </w:r>
      <w:r>
        <w:fldChar w:fldCharType="separate"/>
      </w:r>
      <w:r>
        <w:t>308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_Toc188451403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_Toc188451405 \h </w:instrText>
      </w:r>
      <w:r>
        <w:fldChar w:fldCharType="separate"/>
      </w:r>
      <w:r>
        <w:t>309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_Toc188451406 \h </w:instrText>
      </w:r>
      <w:r>
        <w:fldChar w:fldCharType="separate"/>
      </w:r>
      <w:r>
        <w:t>310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_Toc188451407 \h </w:instrText>
      </w:r>
      <w:r>
        <w:fldChar w:fldCharType="separate"/>
      </w:r>
      <w:r>
        <w:t>311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_Toc188451408 \h </w:instrText>
      </w:r>
      <w:r>
        <w:fldChar w:fldCharType="separate"/>
      </w:r>
      <w:r>
        <w:t>311</w:t>
      </w:r>
      <w:r>
        <w:fldChar w:fldCharType="end"/>
      </w:r>
    </w:p>
    <w:p>
      <w:pPr>
        <w:pStyle w:val="TOC8"/>
        <w:rPr>
          <w:rFonts w:asciiTheme="minorHAnsi" w:eastAsiaTheme="minorEastAsia" w:hAnsiTheme="minorHAnsi" w:cstheme="minorBidi"/>
          <w:szCs w:val="22"/>
        </w:rPr>
      </w:pPr>
      <w:r>
        <w:t>97UP.</w:t>
      </w:r>
      <w:r>
        <w:tab/>
      </w:r>
      <w:r>
        <w:rPr>
          <w:bCs/>
        </w:rPr>
        <w:t>Commission may be specified as arbitrator</w:t>
      </w:r>
      <w:r>
        <w:tab/>
      </w:r>
      <w:r>
        <w:fldChar w:fldCharType="begin"/>
      </w:r>
      <w:r>
        <w:instrText xml:space="preserve"> PAGEREF _Toc188451409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_Toc188451411 \h </w:instrText>
      </w:r>
      <w:r>
        <w:fldChar w:fldCharType="separate"/>
      </w:r>
      <w:r>
        <w:t>313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_Toc188451412 \h </w:instrText>
      </w:r>
      <w:r>
        <w:fldChar w:fldCharType="separate"/>
      </w:r>
      <w:r>
        <w:t>313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_Toc188451413 \h </w:instrText>
      </w:r>
      <w:r>
        <w:fldChar w:fldCharType="separate"/>
      </w:r>
      <w:r>
        <w:t>313</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_Toc188451414 \h </w:instrText>
      </w:r>
      <w:r>
        <w:fldChar w:fldCharType="separate"/>
      </w:r>
      <w:r>
        <w:t>314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_Toc188451415 \h </w:instrText>
      </w:r>
      <w:r>
        <w:fldChar w:fldCharType="separate"/>
      </w:r>
      <w:r>
        <w:t>314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_Toc188451416 \h </w:instrText>
      </w:r>
      <w:r>
        <w:fldChar w:fldCharType="separate"/>
      </w:r>
      <w:r>
        <w:t>315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_Toc188451417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_Toc188451420 \h </w:instrText>
      </w:r>
      <w:r>
        <w:fldChar w:fldCharType="separate"/>
      </w:r>
      <w:r>
        <w:t>315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_Toc188451422 \h </w:instrText>
      </w:r>
      <w:r>
        <w:fldChar w:fldCharType="separate"/>
      </w:r>
      <w:r>
        <w:t>316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_Toc188451423 \h </w:instrText>
      </w:r>
      <w:r>
        <w:fldChar w:fldCharType="separate"/>
      </w:r>
      <w:r>
        <w:t>317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_Toc188451424 \h </w:instrText>
      </w:r>
      <w:r>
        <w:fldChar w:fldCharType="separate"/>
      </w:r>
      <w:r>
        <w:t>317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_Toc188451425 \h </w:instrText>
      </w:r>
      <w:r>
        <w:fldChar w:fldCharType="separate"/>
      </w:r>
      <w:r>
        <w:t>318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_Toc188451426 \h </w:instrText>
      </w:r>
      <w:r>
        <w:fldChar w:fldCharType="separate"/>
      </w:r>
      <w:r>
        <w:t>319</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_Toc188451427 \h </w:instrText>
      </w:r>
      <w:r>
        <w:fldChar w:fldCharType="separate"/>
      </w:r>
      <w:r>
        <w:t>319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_Toc188451428 \h </w:instrText>
      </w:r>
      <w:r>
        <w:fldChar w:fldCharType="separate"/>
      </w:r>
      <w:r>
        <w:t>320</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_Toc188451429 \h </w:instrText>
      </w:r>
      <w:r>
        <w:fldChar w:fldCharType="separate"/>
      </w:r>
      <w:r>
        <w:t>320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_Toc188451430 \h </w:instrText>
      </w:r>
      <w:r>
        <w:fldChar w:fldCharType="separate"/>
      </w:r>
      <w:r>
        <w:t>321</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_Toc188451431 \h </w:instrText>
      </w:r>
      <w:r>
        <w:fldChar w:fldCharType="separate"/>
      </w:r>
      <w:r>
        <w:t>321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_Toc188451432 \h </w:instrText>
      </w:r>
      <w:r>
        <w:fldChar w:fldCharType="separate"/>
      </w:r>
      <w:r>
        <w:t>321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_Toc188451433 \h </w:instrText>
      </w:r>
      <w:r>
        <w:fldChar w:fldCharType="separate"/>
      </w:r>
      <w:r>
        <w:t>322</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_Toc188451434 \h </w:instrText>
      </w:r>
      <w:r>
        <w:fldChar w:fldCharType="separate"/>
      </w:r>
      <w:r>
        <w:t>322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_Toc188451435 \h </w:instrText>
      </w:r>
      <w:r>
        <w:fldChar w:fldCharType="separate"/>
      </w:r>
      <w:r>
        <w:t>323</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_Toc188451436 \h </w:instrText>
      </w:r>
      <w:r>
        <w:fldChar w:fldCharType="separate"/>
      </w:r>
      <w:r>
        <w:t>323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_Toc188451438 \h </w:instrText>
      </w:r>
      <w:r>
        <w:fldChar w:fldCharType="separate"/>
      </w:r>
      <w:r>
        <w:t>324</w:t>
      </w:r>
      <w:r>
        <w:fldChar w:fldCharType="end"/>
      </w:r>
    </w:p>
    <w:p>
      <w:pPr>
        <w:pStyle w:val="TOC8"/>
        <w:rPr>
          <w:rFonts w:asciiTheme="minorHAnsi" w:eastAsiaTheme="minorEastAsia" w:hAnsiTheme="minorHAnsi" w:cstheme="minorBidi"/>
          <w:szCs w:val="22"/>
        </w:rPr>
      </w:pPr>
      <w:r>
        <w:t>97VN.</w:t>
      </w:r>
      <w:r>
        <w:tab/>
      </w:r>
      <w:r>
        <w:rPr>
          <w:bCs/>
        </w:rPr>
        <w:t>Commission to notify parties of certain deficiencies in EEA</w:t>
      </w:r>
      <w:r>
        <w:tab/>
      </w:r>
      <w:r>
        <w:fldChar w:fldCharType="begin"/>
      </w:r>
      <w:r>
        <w:instrText xml:space="preserve"> PAGEREF _Toc188451439 \h </w:instrText>
      </w:r>
      <w:r>
        <w:fldChar w:fldCharType="separate"/>
      </w:r>
      <w:r>
        <w:t>324</w:t>
      </w:r>
      <w:r>
        <w:fldChar w:fldCharType="end"/>
      </w:r>
    </w:p>
    <w:p>
      <w:pPr>
        <w:pStyle w:val="TOC8"/>
        <w:rPr>
          <w:rFonts w:asciiTheme="minorHAnsi" w:eastAsiaTheme="minorEastAsia" w:hAnsiTheme="minorHAnsi" w:cstheme="minorBidi"/>
          <w:szCs w:val="22"/>
        </w:rPr>
      </w:pPr>
      <w:r>
        <w:lastRenderedPageBreak/>
        <w:t>97VO.</w:t>
      </w:r>
      <w:r>
        <w:tab/>
        <w:t>Parties may correct deficiencies in EEA</w:t>
      </w:r>
      <w:r>
        <w:tab/>
      </w:r>
      <w:r>
        <w:fldChar w:fldCharType="begin"/>
      </w:r>
      <w:r>
        <w:instrText xml:space="preserve"> PAGEREF _Toc188451440 \h </w:instrText>
      </w:r>
      <w:r>
        <w:fldChar w:fldCharType="separate"/>
      </w:r>
      <w:r>
        <w:t>325</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_Toc188451441 \h </w:instrText>
      </w:r>
      <w:r>
        <w:fldChar w:fldCharType="separate"/>
      </w:r>
      <w:r>
        <w:t>326</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_Toc188451442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_Toc188451445 \h </w:instrText>
      </w:r>
      <w:r>
        <w:fldChar w:fldCharType="separate"/>
      </w:r>
      <w:r>
        <w:t>327</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_Toc188451446 \h </w:instrText>
      </w:r>
      <w:r>
        <w:fldChar w:fldCharType="separate"/>
      </w:r>
      <w:r>
        <w:t>327</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_Toc188451447 \h </w:instrText>
      </w:r>
      <w:r>
        <w:fldChar w:fldCharType="separate"/>
      </w:r>
      <w:r>
        <w:t>329</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_Toc188451448 \h </w:instrText>
      </w:r>
      <w:r>
        <w:fldChar w:fldCharType="separate"/>
      </w:r>
      <w:r>
        <w:t>330</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_Toc188451449 \h </w:instrText>
      </w:r>
      <w:r>
        <w:fldChar w:fldCharType="separate"/>
      </w:r>
      <w:r>
        <w:t>330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_Toc188451451 \h </w:instrText>
      </w:r>
      <w:r>
        <w:fldChar w:fldCharType="separate"/>
      </w:r>
      <w:r>
        <w:t>330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_Toc188451452 \h </w:instrText>
      </w:r>
      <w:r>
        <w:fldChar w:fldCharType="separate"/>
      </w:r>
      <w:r>
        <w:t>331</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_Toc188451453 \h </w:instrText>
      </w:r>
      <w:r>
        <w:fldChar w:fldCharType="separate"/>
      </w:r>
      <w:r>
        <w:t>331</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_Toc188451454 \h </w:instrText>
      </w:r>
      <w:r>
        <w:fldChar w:fldCharType="separate"/>
      </w:r>
      <w:r>
        <w:t>332</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_Toc188451455 \h </w:instrText>
      </w:r>
      <w:r>
        <w:fldChar w:fldCharType="separate"/>
      </w:r>
      <w:r>
        <w:t>332</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_Toc188451456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_Toc188451458 \h </w:instrText>
      </w:r>
      <w:r>
        <w:fldChar w:fldCharType="separate"/>
      </w:r>
      <w:r>
        <w:t>333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_Toc188451459 \h </w:instrText>
      </w:r>
      <w:r>
        <w:fldChar w:fldCharType="separate"/>
      </w:r>
      <w:r>
        <w:t>334</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_Toc188451460 \h </w:instrText>
      </w:r>
      <w:r>
        <w:fldChar w:fldCharType="separate"/>
      </w:r>
      <w:r>
        <w:t>334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_Toc188451461 \h </w:instrText>
      </w:r>
      <w:r>
        <w:fldChar w:fldCharType="separate"/>
      </w:r>
      <w:r>
        <w:t>334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_Toc188451462 \h </w:instrText>
      </w:r>
      <w:r>
        <w:fldChar w:fldCharType="separate"/>
      </w:r>
      <w:r>
        <w:t>335</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_Toc188451463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_Toc188451465 \h </w:instrText>
      </w:r>
      <w:r>
        <w:fldChar w:fldCharType="separate"/>
      </w:r>
      <w:r>
        <w:t>336</w:t>
      </w:r>
      <w:r>
        <w:fldChar w:fldCharType="end"/>
      </w:r>
    </w:p>
    <w:p>
      <w:pPr>
        <w:pStyle w:val="TOC8"/>
        <w:rPr>
          <w:rFonts w:asciiTheme="minorHAnsi" w:eastAsiaTheme="minorEastAsia" w:hAnsiTheme="minorHAnsi" w:cstheme="minorBidi"/>
          <w:szCs w:val="22"/>
        </w:rPr>
      </w:pPr>
      <w:r>
        <w:t>97WI.</w:t>
      </w:r>
      <w:r>
        <w:tab/>
      </w:r>
      <w:r>
        <w:rPr>
          <w:bCs/>
        </w:rPr>
        <w:t>Arbitration jurisdiction of Commission</w:t>
      </w:r>
      <w:r>
        <w:tab/>
      </w:r>
      <w:r>
        <w:fldChar w:fldCharType="begin"/>
      </w:r>
      <w:r>
        <w:instrText xml:space="preserve"> PAGEREF _Toc188451466 \h </w:instrText>
      </w:r>
      <w:r>
        <w:fldChar w:fldCharType="separate"/>
      </w:r>
      <w:r>
        <w:t>336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_Toc188451467 \h </w:instrText>
      </w:r>
      <w:r>
        <w:fldChar w:fldCharType="separate"/>
      </w:r>
      <w:r>
        <w:t>337</w:t>
      </w:r>
      <w:r>
        <w:fldChar w:fldCharType="end"/>
      </w:r>
    </w:p>
    <w:p>
      <w:pPr>
        <w:pStyle w:val="TOC8"/>
        <w:rPr>
          <w:rFonts w:asciiTheme="minorHAnsi" w:eastAsiaTheme="minorEastAsia" w:hAnsiTheme="minorHAnsi" w:cstheme="minorBidi"/>
          <w:szCs w:val="22"/>
        </w:rPr>
      </w:pPr>
      <w:r>
        <w:t>97WK.</w:t>
      </w:r>
      <w:r>
        <w:tab/>
      </w:r>
      <w:r>
        <w:rPr>
          <w:bCs/>
        </w:rPr>
        <w:t>Referral of alleged delay in dispute resolution to Commission</w:t>
      </w:r>
      <w:r>
        <w:tab/>
      </w:r>
      <w:r>
        <w:fldChar w:fldCharType="begin"/>
      </w:r>
      <w:r>
        <w:instrText xml:space="preserve"> PAGEREF _Toc188451468 \h </w:instrText>
      </w:r>
      <w:r>
        <w:fldChar w:fldCharType="separate"/>
      </w:r>
      <w:r>
        <w:t>337</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_Toc188451469 \h </w:instrText>
      </w:r>
      <w:r>
        <w:fldChar w:fldCharType="separate"/>
      </w:r>
      <w:r>
        <w:t>338</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_Toc188451470 \h </w:instrText>
      </w:r>
      <w:r>
        <w:fldChar w:fldCharType="separate"/>
      </w:r>
      <w:r>
        <w:t>339</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_Toc188451471 \h </w:instrText>
      </w:r>
      <w:r>
        <w:fldChar w:fldCharType="separate"/>
      </w:r>
      <w:r>
        <w:t>339</w:t>
      </w:r>
      <w:r>
        <w:fldChar w:fldCharType="end"/>
      </w:r>
    </w:p>
    <w:p>
      <w:pPr>
        <w:pStyle w:val="TOC8"/>
        <w:rPr>
          <w:rFonts w:asciiTheme="minorHAnsi" w:eastAsiaTheme="minorEastAsia" w:hAnsiTheme="minorHAnsi" w:cstheme="minorBidi"/>
          <w:szCs w:val="22"/>
        </w:rPr>
      </w:pPr>
      <w:r>
        <w:lastRenderedPageBreak/>
        <w:t>97WO.</w:t>
      </w:r>
      <w:r>
        <w:tab/>
        <w:t>Orders and determinations, form of etc.</w:t>
      </w:r>
      <w:r>
        <w:tab/>
      </w:r>
      <w:r>
        <w:fldChar w:fldCharType="begin"/>
      </w:r>
      <w:r>
        <w:instrText xml:space="preserve"> PAGEREF _Toc188451472 \h </w:instrText>
      </w:r>
      <w:r>
        <w:fldChar w:fldCharType="separate"/>
      </w:r>
      <w:r>
        <w:t>340</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_Toc188451473 \h </w:instrText>
      </w:r>
      <w:r>
        <w:fldChar w:fldCharType="separate"/>
      </w:r>
      <w:r>
        <w:t>341</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_Toc188451474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_Toc188451477 \h </w:instrText>
      </w:r>
      <w:r>
        <w:fldChar w:fldCharType="separate"/>
      </w:r>
      <w:r>
        <w:t>342</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_Toc188451478 \h </w:instrText>
      </w:r>
      <w:r>
        <w:fldChar w:fldCharType="separate"/>
      </w:r>
      <w:r>
        <w:t>343</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_Toc188451479 \h </w:instrText>
      </w:r>
      <w:r>
        <w:fldChar w:fldCharType="separate"/>
      </w:r>
      <w:r>
        <w:t>344</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_Toc188451480 \h </w:instrText>
      </w:r>
      <w:r>
        <w:fldChar w:fldCharType="separate"/>
      </w:r>
      <w:r>
        <w:t>344</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_Toc188451482 \h </w:instrText>
      </w:r>
      <w:r>
        <w:fldChar w:fldCharType="separate"/>
      </w:r>
      <w:r>
        <w:t>345</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_Toc188451483 \h </w:instrText>
      </w:r>
      <w:r>
        <w:fldChar w:fldCharType="separate"/>
      </w:r>
      <w:r>
        <w:t>346</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_Toc188451484 \h </w:instrText>
      </w:r>
      <w:r>
        <w:fldChar w:fldCharType="separate"/>
      </w:r>
      <w:r>
        <w:t>347</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_Toc188451485 \h </w:instrText>
      </w:r>
      <w:r>
        <w:fldChar w:fldCharType="separate"/>
      </w:r>
      <w:r>
        <w:t>347</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_Toc188451486 \h </w:instrText>
      </w:r>
      <w:r>
        <w:fldChar w:fldCharType="separate"/>
      </w:r>
      <w:r>
        <w:t>348</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_Toc188451487 \h </w:instrText>
      </w:r>
      <w:r>
        <w:fldChar w:fldCharType="separate"/>
      </w:r>
      <w:r>
        <w:t>349</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_Toc188451488 \h </w:instrText>
      </w:r>
      <w:r>
        <w:fldChar w:fldCharType="separate"/>
      </w:r>
      <w:r>
        <w:t>349</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_Toc188451489 \h </w:instrText>
      </w:r>
      <w:r>
        <w:fldChar w:fldCharType="separate"/>
      </w:r>
      <w:r>
        <w:t>349</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_Toc188451490 \h </w:instrText>
      </w:r>
      <w:r>
        <w:fldChar w:fldCharType="separate"/>
      </w:r>
      <w:r>
        <w:t>350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_Toc188451492 \h </w:instrText>
      </w:r>
      <w:r>
        <w:fldChar w:fldCharType="separate"/>
      </w:r>
      <w:r>
        <w:t>350</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_Toc188451493 \h </w:instrText>
      </w:r>
      <w:r>
        <w:fldChar w:fldCharType="separate"/>
      </w:r>
      <w:r>
        <w:t>351</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_Toc188451494 \h </w:instrText>
      </w:r>
      <w:r>
        <w:fldChar w:fldCharType="separate"/>
      </w:r>
      <w:r>
        <w:t>351</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_Toc188451496 \h </w:instrText>
      </w:r>
      <w:r>
        <w:fldChar w:fldCharType="separate"/>
      </w:r>
      <w:r>
        <w:t>352</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_Toc188451497 \h </w:instrText>
      </w:r>
      <w:r>
        <w:fldChar w:fldCharType="separate"/>
      </w:r>
      <w:r>
        <w:t>353</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_Toc188451498 \h </w:instrText>
      </w:r>
      <w:r>
        <w:fldChar w:fldCharType="separate"/>
      </w:r>
      <w:r>
        <w:t>353</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_Toc188451499 \h </w:instrText>
      </w:r>
      <w:r>
        <w:fldChar w:fldCharType="separate"/>
      </w:r>
      <w:r>
        <w:t>354</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_Toc188451500 \h </w:instrText>
      </w:r>
      <w:r>
        <w:fldChar w:fldCharType="separate"/>
      </w:r>
      <w:r>
        <w:t>354</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_Toc188451501 \h </w:instrText>
      </w:r>
      <w:r>
        <w:fldChar w:fldCharType="separate"/>
      </w:r>
      <w:r>
        <w:t>355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_Toc188451503 \h </w:instrText>
      </w:r>
      <w:r>
        <w:fldChar w:fldCharType="separate"/>
      </w:r>
      <w:r>
        <w:t>356</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_Toc188451504 \h </w:instrText>
      </w:r>
      <w:r>
        <w:fldChar w:fldCharType="separate"/>
      </w:r>
      <w:r>
        <w:t>357</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_Toc188451505 \h </w:instrText>
      </w:r>
      <w:r>
        <w:fldChar w:fldCharType="separate"/>
      </w:r>
      <w:r>
        <w:t>357</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_Toc188451506 \h </w:instrText>
      </w:r>
      <w:r>
        <w:fldChar w:fldCharType="separate"/>
      </w:r>
      <w:r>
        <w:t>358</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_Toc188451507 \h </w:instrText>
      </w:r>
      <w:r>
        <w:fldChar w:fldCharType="separate"/>
      </w:r>
      <w:r>
        <w:t>358</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_Toc188451509 \h </w:instrText>
      </w:r>
      <w:r>
        <w:fldChar w:fldCharType="separate"/>
      </w:r>
      <w:r>
        <w:t>358</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_Toc188451510 \h </w:instrText>
      </w:r>
      <w:r>
        <w:fldChar w:fldCharType="separate"/>
      </w:r>
      <w:r>
        <w:t>359</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_Toc188451511 \h </w:instrText>
      </w:r>
      <w:r>
        <w:fldChar w:fldCharType="separate"/>
      </w:r>
      <w:r>
        <w:t>359</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_Toc188451512 \h </w:instrText>
      </w:r>
      <w:r>
        <w:fldChar w:fldCharType="separate"/>
      </w:r>
      <w:r>
        <w:t>359</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_Toc188451513 \h </w:instrText>
      </w:r>
      <w:r>
        <w:fldChar w:fldCharType="separate"/>
      </w:r>
      <w:r>
        <w:t>360</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_Toc188451514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_Toc188451516 \h </w:instrText>
      </w:r>
      <w:r>
        <w:fldChar w:fldCharType="separate"/>
      </w:r>
      <w:r>
        <w:t>361</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_Toc188451517 \h </w:instrText>
      </w:r>
      <w:r>
        <w:fldChar w:fldCharType="separate"/>
      </w:r>
      <w:r>
        <w:t>361</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_Toc188451518 \h </w:instrText>
      </w:r>
      <w:r>
        <w:fldChar w:fldCharType="separate"/>
      </w:r>
      <w:r>
        <w:t>362</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_Toc188451519 \h </w:instrText>
      </w:r>
      <w:r>
        <w:fldChar w:fldCharType="separate"/>
      </w:r>
      <w:r>
        <w:t>363</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_Toc188451520 \h </w:instrText>
      </w:r>
      <w:r>
        <w:fldChar w:fldCharType="separate"/>
      </w:r>
      <w:r>
        <w:t>363</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_Toc188451521 \h </w:instrText>
      </w:r>
      <w:r>
        <w:fldChar w:fldCharType="separate"/>
      </w:r>
      <w:r>
        <w:t>363</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_Toc188451522 \h </w:instrText>
      </w:r>
      <w:r>
        <w:fldChar w:fldCharType="separate"/>
      </w:r>
      <w:r>
        <w:t>364</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_Toc188451523 \h </w:instrText>
      </w:r>
      <w:r>
        <w:fldChar w:fldCharType="separate"/>
      </w:r>
      <w:r>
        <w:t>365</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_Toc188451524 \h </w:instrText>
      </w:r>
      <w:r>
        <w:fldChar w:fldCharType="separate"/>
      </w:r>
      <w:r>
        <w:t>366</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_Toc188451525 \h </w:instrText>
      </w:r>
      <w:r>
        <w:fldChar w:fldCharType="separate"/>
      </w:r>
      <w:r>
        <w:t>366</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_Toc188451526 \h </w:instrText>
      </w:r>
      <w:r>
        <w:fldChar w:fldCharType="separate"/>
      </w:r>
      <w:r>
        <w:t>367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_Toc188451527 \h </w:instrText>
      </w:r>
      <w:r>
        <w:fldChar w:fldCharType="separate"/>
      </w:r>
      <w:r>
        <w:t>368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_Toc188451529 \h </w:instrText>
      </w:r>
      <w:r>
        <w:fldChar w:fldCharType="separate"/>
      </w:r>
      <w:r>
        <w:t>368</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_Toc188451530 \h </w:instrText>
      </w:r>
      <w:r>
        <w:fldChar w:fldCharType="separate"/>
      </w:r>
      <w:r>
        <w:t>369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_Toc188451532 \h </w:instrText>
      </w:r>
      <w:r>
        <w:fldChar w:fldCharType="separate"/>
      </w:r>
      <w:r>
        <w:t>370</w:t>
      </w:r>
      <w:r>
        <w:fldChar w:fldCharType="end"/>
      </w:r>
    </w:p>
    <w:p>
      <w:pPr>
        <w:pStyle w:val="TOC8"/>
        <w:rPr>
          <w:rFonts w:asciiTheme="minorHAnsi" w:eastAsiaTheme="minorEastAsia" w:hAnsiTheme="minorHAnsi" w:cstheme="minorBidi"/>
          <w:szCs w:val="22"/>
        </w:rPr>
      </w:pPr>
      <w:r>
        <w:t>98A.</w:t>
      </w:r>
      <w:r>
        <w:tab/>
        <w:t>Information obtained under s. 98 not to be disclosed</w:t>
      </w:r>
      <w:r>
        <w:tab/>
      </w:r>
      <w:r>
        <w:fldChar w:fldCharType="begin"/>
      </w:r>
      <w:r>
        <w:instrText xml:space="preserve"> PAGEREF _Toc188451533 \h </w:instrText>
      </w:r>
      <w:r>
        <w:fldChar w:fldCharType="separate"/>
      </w:r>
      <w:r>
        <w:t>374</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_Toc188451534 \h </w:instrText>
      </w:r>
      <w:r>
        <w:fldChar w:fldCharType="separate"/>
      </w:r>
      <w:r>
        <w:t>374</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_Toc188451535 \h </w:instrText>
      </w:r>
      <w:r>
        <w:fldChar w:fldCharType="separate"/>
      </w:r>
      <w:r>
        <w:t>375</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_Toc188451536 \h </w:instrText>
      </w:r>
      <w:r>
        <w:fldChar w:fldCharType="separate"/>
      </w:r>
      <w:r>
        <w:t>376</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_Toc188451537 \h </w:instrText>
      </w:r>
      <w:r>
        <w:fldChar w:fldCharType="separate"/>
      </w:r>
      <w:r>
        <w:t>376</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_Toc188451538 \h </w:instrText>
      </w:r>
      <w:r>
        <w:fldChar w:fldCharType="separate"/>
      </w:r>
      <w:r>
        <w:t>377</w:t>
      </w:r>
      <w:r>
        <w:fldChar w:fldCharType="end"/>
      </w:r>
    </w:p>
    <w:p>
      <w:pPr>
        <w:pStyle w:val="TOC8"/>
        <w:rPr>
          <w:rFonts w:asciiTheme="minorHAnsi" w:eastAsiaTheme="minorEastAsia" w:hAnsiTheme="minorHAnsi" w:cstheme="minorBidi"/>
          <w:szCs w:val="22"/>
        </w:rPr>
      </w:pPr>
      <w:r>
        <w:t>100.</w:t>
      </w:r>
      <w:r>
        <w:tab/>
        <w:t>False or misleading statement about right to represent industrial interests</w:t>
      </w:r>
      <w:r>
        <w:tab/>
      </w:r>
      <w:r>
        <w:fldChar w:fldCharType="begin"/>
      </w:r>
      <w:r>
        <w:instrText xml:space="preserve"> PAGEREF _Toc188451539 \h </w:instrText>
      </w:r>
      <w:r>
        <w:fldChar w:fldCharType="separate"/>
      </w:r>
      <w:r>
        <w:t>377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_Toc188451540 \h </w:instrText>
      </w:r>
      <w:r>
        <w:fldChar w:fldCharType="separate"/>
      </w:r>
      <w:r>
        <w:t>378</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_Toc188451541 \h </w:instrText>
      </w:r>
      <w:r>
        <w:fldChar w:fldCharType="separate"/>
      </w:r>
      <w:r>
        <w:t>379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_Toc188451542 \h </w:instrText>
      </w:r>
      <w:r>
        <w:fldChar w:fldCharType="separate"/>
      </w:r>
      <w:r>
        <w:t>380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_Toc188451543 \h </w:instrText>
      </w:r>
      <w:r>
        <w:fldChar w:fldCharType="separate"/>
      </w:r>
      <w:r>
        <w:t>381</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_Toc188451544 \h </w:instrText>
      </w:r>
      <w:r>
        <w:fldChar w:fldCharType="separate"/>
      </w:r>
      <w:r>
        <w:t>381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_Toc188451545 \h </w:instrText>
      </w:r>
      <w:r>
        <w:fldChar w:fldCharType="separate"/>
      </w:r>
      <w:r>
        <w:t>382</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No costs to be awarded against Registrar, deputy registrar or industrial inspector</w:t>
      </w:r>
      <w:r>
        <w:tab/>
      </w:r>
      <w:r>
        <w:fldChar w:fldCharType="begin"/>
      </w:r>
      <w:r>
        <w:instrText xml:space="preserve"> PAGEREF _Toc188451546 \h </w:instrText>
      </w:r>
      <w:r>
        <w:fldChar w:fldCharType="separate"/>
      </w:r>
      <w:r>
        <w:t>382</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Organisations and associations not affected by certain Imperial Acts</w:t>
      </w:r>
      <w:r>
        <w:tab/>
      </w:r>
      <w:r>
        <w:fldChar w:fldCharType="begin"/>
      </w:r>
      <w:r>
        <w:instrText xml:space="preserve"> PAGEREF _Toc188451547 \h </w:instrText>
      </w:r>
      <w:r>
        <w:fldChar w:fldCharType="separate"/>
      </w:r>
      <w:r>
        <w:t>382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_Toc188451548 \h </w:instrText>
      </w:r>
      <w:r>
        <w:fldChar w:fldCharType="separate"/>
      </w:r>
      <w:r>
        <w:t>383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_Toc188451549 \h </w:instrText>
      </w:r>
      <w:r>
        <w:fldChar w:fldCharType="separate"/>
      </w:r>
      <w:r>
        <w:t>383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_Toc188451550 \h </w:instrText>
      </w:r>
      <w:r>
        <w:fldChar w:fldCharType="separate"/>
      </w:r>
      <w:r>
        <w:t>384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_Toc188451551 \h </w:instrText>
      </w:r>
      <w:r>
        <w:fldChar w:fldCharType="separate"/>
      </w:r>
      <w:r>
        <w:t>384</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_Toc188451552 \h </w:instrText>
      </w:r>
      <w:r>
        <w:fldChar w:fldCharType="separate"/>
      </w:r>
      <w:r>
        <w:t>385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_Toc188451553 \h </w:instrText>
      </w:r>
      <w:r>
        <w:fldChar w:fldCharType="separate"/>
      </w:r>
      <w:r>
        <w:t>388</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_Toc188451554 \h </w:instrText>
      </w:r>
      <w:r>
        <w:fldChar w:fldCharType="separate"/>
      </w:r>
      <w:r>
        <w:t>390</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_Toc188451555 \h </w:instrText>
      </w:r>
      <w:r>
        <w:fldChar w:fldCharType="separate"/>
      </w:r>
      <w:r>
        <w:t>391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Transitional and savings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for </w:t>
      </w:r>
      <w:r>
        <w:rPr>
          <w:i/>
        </w:rPr>
        <w:t>Industrial Relations Amendment Act 2018</w:t>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_Toc188451558 \h </w:instrText>
      </w:r>
      <w:r>
        <w:fldChar w:fldCharType="separate"/>
      </w:r>
      <w:r>
        <w:t>392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Savings and transitional provision for </w:t>
      </w:r>
      <w:r>
        <w:rPr>
          <w:i/>
        </w:rPr>
        <w:t>Industrial Relations Legislation Amendment Act 2021</w:t>
      </w:r>
    </w:p>
    <w:p>
      <w:pPr>
        <w:pStyle w:val="TOC8"/>
        <w:rPr>
          <w:rFonts w:asciiTheme="minorHAnsi" w:eastAsiaTheme="minorEastAsia" w:hAnsiTheme="minorHAnsi" w:cstheme="minorBidi"/>
          <w:szCs w:val="22"/>
        </w:rPr>
      </w:pPr>
      <w:r>
        <w:t>117.</w:t>
      </w:r>
      <w:r>
        <w:tab/>
        <w:t>Transitioned private sector awards</w:t>
      </w:r>
      <w:r>
        <w:tab/>
      </w:r>
      <w:r>
        <w:fldChar w:fldCharType="begin"/>
      </w:r>
      <w:r>
        <w:instrText xml:space="preserve"> PAGEREF _Toc188451560 \h </w:instrText>
      </w:r>
      <w:r>
        <w:fldChar w:fldCharType="separate"/>
      </w:r>
      <w:r>
        <w:t>392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for </w:t>
      </w:r>
      <w:r>
        <w:rPr>
          <w:i/>
        </w:rPr>
        <w:t>Industrial Relations Legislation Amendment Act 2024</w:t>
      </w:r>
    </w:p>
    <w:p>
      <w:pPr>
        <w:pStyle w:val="TOC8"/>
        <w:rPr>
          <w:rFonts w:asciiTheme="minorHAnsi" w:eastAsiaTheme="minorEastAsia" w:hAnsiTheme="minorHAnsi" w:cstheme="minorBidi"/>
          <w:szCs w:val="22"/>
        </w:rPr>
      </w:pPr>
      <w:r>
        <w:t>118.</w:t>
      </w:r>
      <w:r>
        <w:tab/>
        <w:t>Terms used</w:t>
      </w:r>
      <w:r>
        <w:tab/>
      </w:r>
      <w:r>
        <w:fldChar w:fldCharType="begin"/>
      </w:r>
      <w:r>
        <w:instrText xml:space="preserve"> PAGEREF _Toc188451562 \h </w:instrText>
      </w:r>
      <w:r>
        <w:fldChar w:fldCharType="separate"/>
      </w:r>
      <w:r>
        <w:t>393</w:t>
      </w:r>
      <w:r>
        <w:fldChar w:fldCharType="end"/>
      </w:r>
    </w:p>
    <w:p>
      <w:pPr>
        <w:pStyle w:val="TOC8"/>
        <w:rPr>
          <w:rFonts w:asciiTheme="minorHAnsi" w:eastAsiaTheme="minorEastAsia" w:hAnsiTheme="minorHAnsi" w:cstheme="minorBidi"/>
          <w:szCs w:val="22"/>
        </w:rPr>
      </w:pPr>
      <w:r>
        <w:t>119.</w:t>
      </w:r>
      <w:r>
        <w:tab/>
      </w:r>
      <w:r>
        <w:rPr>
          <w:i/>
        </w:rPr>
        <w:t>Interpretation Act 1984</w:t>
      </w:r>
      <w:r>
        <w:t xml:space="preserve"> not affected</w:t>
      </w:r>
      <w:r>
        <w:tab/>
      </w:r>
      <w:r>
        <w:fldChar w:fldCharType="begin"/>
      </w:r>
      <w:r>
        <w:instrText xml:space="preserve"> PAGEREF _Toc188451563 \h </w:instrText>
      </w:r>
      <w:r>
        <w:fldChar w:fldCharType="separate"/>
      </w:r>
      <w:r>
        <w:t>393</w:t>
      </w:r>
      <w:r>
        <w:fldChar w:fldCharType="end"/>
      </w:r>
    </w:p>
    <w:p>
      <w:pPr>
        <w:pStyle w:val="TOC8"/>
        <w:rPr>
          <w:rFonts w:asciiTheme="minorHAnsi" w:eastAsiaTheme="minorEastAsia" w:hAnsiTheme="minorHAnsi" w:cstheme="minorBidi"/>
          <w:szCs w:val="22"/>
        </w:rPr>
      </w:pPr>
      <w:r>
        <w:t>120.</w:t>
      </w:r>
      <w:r>
        <w:tab/>
        <w:t>Representation of parties to proceedings</w:t>
      </w:r>
      <w:r>
        <w:tab/>
      </w:r>
      <w:r>
        <w:fldChar w:fldCharType="begin"/>
      </w:r>
      <w:r>
        <w:instrText xml:space="preserve"> PAGEREF _Toc188451564 \h </w:instrText>
      </w:r>
      <w:r>
        <w:fldChar w:fldCharType="separate"/>
      </w:r>
      <w:r>
        <w:t>394</w:t>
      </w:r>
      <w:r>
        <w:fldChar w:fldCharType="end"/>
      </w:r>
    </w:p>
    <w:p>
      <w:pPr>
        <w:pStyle w:val="TOC8"/>
        <w:rPr>
          <w:rFonts w:asciiTheme="minorHAnsi" w:eastAsiaTheme="minorEastAsia" w:hAnsiTheme="minorHAnsi" w:cstheme="minorBidi"/>
          <w:szCs w:val="22"/>
        </w:rPr>
      </w:pPr>
      <w:r>
        <w:t>121.</w:t>
      </w:r>
      <w:r>
        <w:tab/>
        <w:t>Boards of Reference abolished</w:t>
      </w:r>
      <w:r>
        <w:tab/>
      </w:r>
      <w:r>
        <w:fldChar w:fldCharType="begin"/>
      </w:r>
      <w:r>
        <w:instrText xml:space="preserve"> PAGEREF _Toc188451565 \h </w:instrText>
      </w:r>
      <w:r>
        <w:fldChar w:fldCharType="separate"/>
      </w:r>
      <w:r>
        <w:t>394</w:t>
      </w:r>
      <w:r>
        <w:fldChar w:fldCharType="end"/>
      </w:r>
    </w:p>
    <w:p>
      <w:pPr>
        <w:pStyle w:val="TOC8"/>
        <w:rPr>
          <w:rFonts w:asciiTheme="minorHAnsi" w:eastAsiaTheme="minorEastAsia" w:hAnsiTheme="minorHAnsi" w:cstheme="minorBidi"/>
          <w:szCs w:val="22"/>
        </w:rPr>
      </w:pPr>
      <w:r>
        <w:t>122.</w:t>
      </w:r>
      <w:r>
        <w:tab/>
        <w:t>Existing authorities for entry and inspection by authorised representatives</w:t>
      </w:r>
      <w:r>
        <w:tab/>
      </w:r>
      <w:r>
        <w:fldChar w:fldCharType="begin"/>
      </w:r>
      <w:r>
        <w:instrText xml:space="preserve"> PAGEREF _Toc188451566 \h </w:instrText>
      </w:r>
      <w:r>
        <w:fldChar w:fldCharType="separate"/>
      </w:r>
      <w:r>
        <w:t>395</w:t>
      </w:r>
      <w:r>
        <w:fldChar w:fldCharType="end"/>
      </w:r>
    </w:p>
    <w:p>
      <w:pPr>
        <w:pStyle w:val="TOC8"/>
        <w:rPr>
          <w:rFonts w:asciiTheme="minorHAnsi" w:eastAsiaTheme="minorEastAsia" w:hAnsiTheme="minorHAnsi" w:cstheme="minorBidi"/>
          <w:szCs w:val="22"/>
        </w:rPr>
      </w:pPr>
      <w:r>
        <w:t>123.</w:t>
      </w:r>
      <w:r>
        <w:tab/>
        <w:t>Bullying and sexual harassment at work before commencement day</w:t>
      </w:r>
      <w:r>
        <w:tab/>
      </w:r>
      <w:r>
        <w:fldChar w:fldCharType="begin"/>
      </w:r>
      <w:r>
        <w:instrText xml:space="preserve"> PAGEREF _Toc188451567 \h </w:instrText>
      </w:r>
      <w:r>
        <w:fldChar w:fldCharType="separate"/>
      </w:r>
      <w:r>
        <w:t>395</w:t>
      </w:r>
      <w:r>
        <w:fldChar w:fldCharType="end"/>
      </w:r>
    </w:p>
    <w:p>
      <w:pPr>
        <w:pStyle w:val="TOC8"/>
        <w:rPr>
          <w:rFonts w:asciiTheme="minorHAnsi" w:eastAsiaTheme="minorEastAsia" w:hAnsiTheme="minorHAnsi" w:cstheme="minorBidi"/>
          <w:szCs w:val="22"/>
        </w:rPr>
      </w:pPr>
      <w:r>
        <w:t>124.</w:t>
      </w:r>
      <w:r>
        <w:tab/>
        <w:t>Office of public service arbitrator abolished</w:t>
      </w:r>
      <w:r>
        <w:tab/>
      </w:r>
      <w:r>
        <w:fldChar w:fldCharType="begin"/>
      </w:r>
      <w:r>
        <w:instrText xml:space="preserve"> PAGEREF _Toc188451568 \h </w:instrText>
      </w:r>
      <w:r>
        <w:fldChar w:fldCharType="separate"/>
      </w:r>
      <w:r>
        <w:t>396</w:t>
      </w:r>
      <w:r>
        <w:fldChar w:fldCharType="end"/>
      </w:r>
    </w:p>
    <w:p>
      <w:pPr>
        <w:pStyle w:val="TOC8"/>
        <w:rPr>
          <w:rFonts w:asciiTheme="minorHAnsi" w:eastAsiaTheme="minorEastAsia" w:hAnsiTheme="minorHAnsi" w:cstheme="minorBidi"/>
          <w:szCs w:val="22"/>
        </w:rPr>
      </w:pPr>
      <w:r>
        <w:t>125.</w:t>
      </w:r>
      <w:r>
        <w:tab/>
        <w:t>Public Service Appeal Board abolished</w:t>
      </w:r>
      <w:r>
        <w:tab/>
      </w:r>
      <w:r>
        <w:fldChar w:fldCharType="begin"/>
      </w:r>
      <w:r>
        <w:instrText xml:space="preserve"> PAGEREF _Toc188451569 \h </w:instrText>
      </w:r>
      <w:r>
        <w:fldChar w:fldCharType="separate"/>
      </w:r>
      <w:r>
        <w:t>397</w:t>
      </w:r>
      <w:r>
        <w:fldChar w:fldCharType="end"/>
      </w:r>
    </w:p>
    <w:p>
      <w:pPr>
        <w:pStyle w:val="TOC8"/>
        <w:rPr>
          <w:rFonts w:asciiTheme="minorHAnsi" w:eastAsiaTheme="minorEastAsia" w:hAnsiTheme="minorHAnsi" w:cstheme="minorBidi"/>
          <w:szCs w:val="22"/>
        </w:rPr>
      </w:pPr>
      <w:r>
        <w:t>126.</w:t>
      </w:r>
      <w:r>
        <w:tab/>
        <w:t>Railways Classification Board abolished</w:t>
      </w:r>
      <w:r>
        <w:tab/>
      </w:r>
      <w:r>
        <w:fldChar w:fldCharType="begin"/>
      </w:r>
      <w:r>
        <w:instrText xml:space="preserve"> PAGEREF _Toc188451570 \h </w:instrText>
      </w:r>
      <w:r>
        <w:fldChar w:fldCharType="separate"/>
      </w:r>
      <w:r>
        <w:t>398</w:t>
      </w:r>
      <w:r>
        <w:fldChar w:fldCharType="end"/>
      </w:r>
    </w:p>
    <w:p>
      <w:pPr>
        <w:pStyle w:val="TOC8"/>
        <w:rPr>
          <w:rFonts w:asciiTheme="minorHAnsi" w:eastAsiaTheme="minorEastAsia" w:hAnsiTheme="minorHAnsi" w:cstheme="minorBidi"/>
          <w:szCs w:val="22"/>
        </w:rPr>
      </w:pPr>
      <w:r>
        <w:t>127.</w:t>
      </w:r>
      <w:r>
        <w:tab/>
        <w:t>No costs to be awarded under section 107</w:t>
      </w:r>
      <w:r>
        <w:tab/>
      </w:r>
      <w:r>
        <w:fldChar w:fldCharType="begin"/>
      </w:r>
      <w:r>
        <w:instrText xml:space="preserve"> PAGEREF _Toc188451571 \h </w:instrText>
      </w:r>
      <w:r>
        <w:fldChar w:fldCharType="separate"/>
      </w:r>
      <w:r>
        <w:t>398</w:t>
      </w:r>
      <w:r>
        <w:fldChar w:fldCharType="end"/>
      </w:r>
    </w:p>
    <w:p>
      <w:pPr>
        <w:pStyle w:val="TOC8"/>
        <w:rPr>
          <w:rFonts w:asciiTheme="minorHAnsi" w:eastAsiaTheme="minorEastAsia" w:hAnsiTheme="minorHAnsi" w:cstheme="minorBidi"/>
          <w:szCs w:val="22"/>
        </w:rPr>
      </w:pPr>
      <w:r>
        <w:t>128.</w:t>
      </w:r>
      <w:r>
        <w:tab/>
        <w:t>Deletion of references to Mines and Metals Association</w:t>
      </w:r>
      <w:r>
        <w:tab/>
      </w:r>
      <w:r>
        <w:fldChar w:fldCharType="begin"/>
      </w:r>
      <w:r>
        <w:instrText xml:space="preserve"> PAGEREF _Toc188451572 \h </w:instrText>
      </w:r>
      <w:r>
        <w:fldChar w:fldCharType="separate"/>
      </w:r>
      <w:r>
        <w:t>398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_Toc188451575 \h </w:instrText>
      </w:r>
      <w:r>
        <w:fldChar w:fldCharType="separate"/>
      </w:r>
      <w:r>
        <w:t>401</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_Toc188451576 \h </w:instrText>
      </w:r>
      <w:r>
        <w:fldChar w:fldCharType="separate"/>
      </w:r>
      <w:r>
        <w:t>402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_Toc188451578 \h </w:instrText>
      </w:r>
      <w:r>
        <w:fldChar w:fldCharType="separate"/>
      </w:r>
      <w:r>
        <w:t>403</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_Toc188451580 \h </w:instrText>
      </w:r>
      <w:r>
        <w:fldChar w:fldCharType="separate"/>
      </w:r>
      <w:r>
        <w:t>405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_Toc188451581 \h </w:instrText>
      </w:r>
      <w:r>
        <w:fldChar w:fldCharType="separate"/>
      </w:r>
      <w:r>
        <w:t>405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_Toc188451582 \h </w:instrText>
      </w:r>
      <w:r>
        <w:fldChar w:fldCharType="separate"/>
      </w:r>
      <w:r>
        <w:t>405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_Toc188451583 \h </w:instrText>
      </w:r>
      <w:r>
        <w:fldChar w:fldCharType="separate"/>
      </w:r>
      <w:r>
        <w:t>406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_Toc188451584 \h </w:instrText>
      </w:r>
      <w:r>
        <w:fldChar w:fldCharType="separate"/>
      </w:r>
      <w:r>
        <w:t>406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_Toc188451585 \h </w:instrText>
      </w:r>
      <w:r>
        <w:fldChar w:fldCharType="separate"/>
      </w:r>
      <w:r>
        <w:t>406</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_Toc188451588 \h </w:instrText>
      </w:r>
      <w:r>
        <w:fldChar w:fldCharType="separate"/>
      </w:r>
      <w:r>
        <w:t>408</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_Toc188451590 \h </w:instrText>
      </w:r>
      <w:r>
        <w:fldChar w:fldCharType="separate"/>
      </w:r>
      <w:r>
        <w:t>408</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_Toc188451591 \h </w:instrText>
      </w:r>
      <w:r>
        <w:fldChar w:fldCharType="separate"/>
      </w:r>
      <w:r>
        <w:t>409</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_Toc188451592 \h </w:instrText>
      </w:r>
      <w:r>
        <w:fldChar w:fldCharType="separate"/>
      </w:r>
      <w:r>
        <w:t>409</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_Toc188451594 \h </w:instrText>
      </w:r>
      <w:r>
        <w:fldChar w:fldCharType="separate"/>
      </w:r>
      <w:r>
        <w:t>409</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_Toc188451595 \h </w:instrText>
      </w:r>
      <w:r>
        <w:fldChar w:fldCharType="separate"/>
      </w:r>
      <w:r>
        <w:t>410</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_Toc188451596 \h </w:instrText>
      </w:r>
      <w:r>
        <w:fldChar w:fldCharType="separate"/>
      </w:r>
      <w:r>
        <w:t>410</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_Toc188451597 \h </w:instrText>
      </w:r>
      <w:r>
        <w:fldChar w:fldCharType="separate"/>
      </w:r>
      <w:r>
        <w:t>412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_Toc188451599 \h </w:instrText>
      </w:r>
      <w:r>
        <w:fldChar w:fldCharType="separate"/>
      </w:r>
      <w:r>
        <w:t>413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_Toc188451600 \h </w:instrText>
      </w:r>
      <w:r>
        <w:fldChar w:fldCharType="separate"/>
      </w:r>
      <w:r>
        <w:t>421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_Toc188451601 \h </w:instrText>
      </w:r>
      <w:r>
        <w:fldChar w:fldCharType="separate"/>
      </w:r>
      <w:r>
        <w:t>421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87907194"/>
      <w:bookmarkStart w:id="3" w:name="_Toc188271394"/>
      <w:bookmarkStart w:id="4" w:name="_Toc188451034"/>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p>
    <w:p>
      <w:pPr>
        <w:pStyle w:val="Heading5"/>
        <w:spacing w:before="180"/>
        <w:rPr>
          <w:snapToGrid w:val="0"/>
        </w:rPr>
      </w:pPr>
      <w:bookmarkStart w:id="5" w:name="_Toc188451035"/>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6" w:name="_Toc188451036"/>
      <w:r>
        <w:rPr>
          <w:rStyle w:val="CharSectno"/>
        </w:rPr>
        <w:t>2</w:t>
      </w:r>
      <w:r>
        <w:rPr>
          <w:snapToGrid w:val="0"/>
        </w:rPr>
        <w:t>.</w:t>
      </w:r>
      <w:r>
        <w:rPr>
          <w:snapToGrid w:val="0"/>
        </w:rPr>
        <w:tab/>
        <w:t>Commencement</w:t>
      </w:r>
      <w:bookmarkEnd w:id="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7" w:name="_Toc188451037"/>
      <w:r>
        <w:rPr>
          <w:rStyle w:val="CharSectno"/>
        </w:rPr>
        <w:t>3</w:t>
      </w:r>
      <w:r>
        <w:rPr>
          <w:snapToGrid w:val="0"/>
        </w:rPr>
        <w:t>.</w:t>
      </w:r>
      <w:r>
        <w:rPr>
          <w:snapToGrid w:val="0"/>
        </w:rPr>
        <w:tab/>
        <w:t>Application of Act off</w:t>
      </w:r>
      <w:r>
        <w:rPr>
          <w:snapToGrid w:val="0"/>
        </w:rPr>
        <w:noBreakHyphen/>
        <w:t>shore</w:t>
      </w:r>
      <w:bookmarkEnd w:id="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lastRenderedPageBreak/>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8" w:name="_Toc188451038"/>
      <w:r>
        <w:rPr>
          <w:rStyle w:val="CharSectno"/>
        </w:rPr>
        <w:lastRenderedPageBreak/>
        <w:t>4</w:t>
      </w:r>
      <w:r>
        <w:rPr>
          <w:snapToGrid w:val="0"/>
        </w:rPr>
        <w:t>.</w:t>
      </w:r>
      <w:r>
        <w:rPr>
          <w:snapToGrid w:val="0"/>
        </w:rPr>
        <w:tab/>
        <w:t>Repeal</w:t>
      </w:r>
      <w:bookmarkEnd w:id="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9" w:name="_Toc188451039"/>
      <w:r>
        <w:rPr>
          <w:rStyle w:val="CharSectno"/>
        </w:rPr>
        <w:t>6</w:t>
      </w:r>
      <w:r>
        <w:rPr>
          <w:snapToGrid w:val="0"/>
        </w:rPr>
        <w:t>.</w:t>
      </w:r>
      <w:r>
        <w:rPr>
          <w:snapToGrid w:val="0"/>
        </w:rPr>
        <w:tab/>
        <w:t>Objects of Act</w:t>
      </w:r>
      <w:bookmarkEnd w:id="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pPr>
      <w:r>
        <w:tab/>
        <w:t>(ac)</w:t>
      </w:r>
      <w:r>
        <w:tab/>
        <w:t>to promote gender equality in the workplace through equal remuneration and eliminating gender</w:t>
      </w:r>
      <w:r>
        <w:noBreakHyphen/>
        <w:t>based undervaluation of work;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lastRenderedPageBreak/>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pPr>
      <w:r>
        <w:tab/>
        <w:t>(cb)</w:t>
      </w:r>
      <w:r>
        <w:tab/>
        <w:t>to prevent and eliminate bullying and sexual harassment in the workplace; and</w:t>
      </w:r>
    </w:p>
    <w:p>
      <w:pPr>
        <w:pStyle w:val="Indenta"/>
      </w:pPr>
      <w:r>
        <w:tab/>
        <w:t>(d)</w:t>
      </w:r>
      <w:r>
        <w:tab/>
        <w:t>to provide for the observance and enforcement of agreements, awards, the LSL Act, the MCE Act and other entitlement provisions;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 No. 30 of 2021 s. 4 and 78(7); No. 43 of 2024 s. 4.]</w:t>
      </w:r>
    </w:p>
    <w:p>
      <w:pPr>
        <w:pStyle w:val="Heading5"/>
        <w:rPr>
          <w:snapToGrid w:val="0"/>
        </w:rPr>
      </w:pPr>
      <w:bookmarkStart w:id="10" w:name="_Toc188451040"/>
      <w:r>
        <w:rPr>
          <w:rStyle w:val="CharSectno"/>
        </w:rPr>
        <w:lastRenderedPageBreak/>
        <w:t>7</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pPr>
      <w:r>
        <w:tab/>
      </w:r>
      <w:r>
        <w:rPr>
          <w:rStyle w:val="CharDefText"/>
        </w:rPr>
        <w:t>bullying</w:t>
      </w:r>
      <w:r>
        <w:t>, at work, means behaviour to which section 51BI(1) applies;</w:t>
      </w:r>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lastRenderedPageBreak/>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electronic means</w:t>
      </w:r>
      <w:r>
        <w:t xml:space="preserve"> includes — </w:t>
      </w:r>
    </w:p>
    <w:p>
      <w:pPr>
        <w:pStyle w:val="Defpara"/>
      </w:pPr>
      <w:r>
        <w:tab/>
        <w:t>(a)</w:t>
      </w:r>
      <w:r>
        <w:tab/>
        <w:t xml:space="preserve">an electronic database or document management system; or </w:t>
      </w:r>
    </w:p>
    <w:p>
      <w:pPr>
        <w:pStyle w:val="Defpara"/>
      </w:pPr>
      <w:r>
        <w:tab/>
        <w:t>(b)</w:t>
      </w:r>
      <w:r>
        <w:tab/>
        <w:t>any other means by which a document can be accessed electronically;</w:t>
      </w:r>
    </w:p>
    <w:p>
      <w:pPr>
        <w:pStyle w:val="Defstart"/>
      </w:pPr>
      <w:r>
        <w:tab/>
      </w:r>
      <w:r>
        <w:rPr>
          <w:rStyle w:val="CharDefText"/>
        </w:rPr>
        <w:t>employee</w:t>
      </w:r>
      <w:r>
        <w:t xml:space="preserve"> means — </w:t>
      </w:r>
    </w:p>
    <w:p>
      <w:pPr>
        <w:pStyle w:val="Defpara"/>
      </w:pPr>
      <w:r>
        <w:tab/>
        <w:t>(a)</w:t>
      </w:r>
      <w:r>
        <w:tab/>
        <w:t>an individual who is employed by an employer to do work for hire or reward, including as an apprentice; or</w:t>
      </w:r>
    </w:p>
    <w:p>
      <w:pPr>
        <w:pStyle w:val="Defpara"/>
      </w:pPr>
      <w:r>
        <w:tab/>
        <w:t>(b)</w:t>
      </w:r>
      <w:r>
        <w:tab/>
        <w:t>an individual whose usual status is that of an employee;</w:t>
      </w:r>
    </w:p>
    <w:p>
      <w:pPr>
        <w:pStyle w:val="PermNoteHeading"/>
      </w:pPr>
      <w:r>
        <w:tab/>
        <w:t>Note for this definition:</w:t>
      </w:r>
    </w:p>
    <w:p>
      <w:pPr>
        <w:pStyle w:val="PermNoteText"/>
      </w:pPr>
      <w:r>
        <w:tab/>
      </w:r>
      <w:r>
        <w:tab/>
        <w:t>See section 7A which applies for the purposes of determining whether an individual is an employee of a person.</w:t>
      </w:r>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pPr>
      <w:r>
        <w:lastRenderedPageBreak/>
        <w:tab/>
        <w:t>(aa)</w:t>
      </w:r>
      <w:r>
        <w:tab/>
        <w:t>in relation to an industrial matter mentioned in section 36AA — the employing authority of a public service officer or health services employee; or</w:t>
      </w:r>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PermNoteHeading"/>
      </w:pPr>
      <w:r>
        <w:tab/>
        <w:t>Note for this definition:</w:t>
      </w:r>
    </w:p>
    <w:p>
      <w:pPr>
        <w:pStyle w:val="PermNoteText"/>
      </w:pPr>
      <w:r>
        <w:tab/>
      </w:r>
      <w:r>
        <w:tab/>
        <w:t>See section 7A which applies for the purposes of determining whether a person is an employer of an individual.</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employing authority</w:t>
      </w:r>
      <w:r>
        <w:t> —</w:t>
      </w:r>
    </w:p>
    <w:p>
      <w:pPr>
        <w:pStyle w:val="Defpara"/>
      </w:pPr>
      <w:r>
        <w:tab/>
        <w:t>(a)</w:t>
      </w:r>
      <w:r>
        <w:tab/>
        <w:t xml:space="preserve">in relation to a public service officer, another employee to whom the </w:t>
      </w:r>
      <w:r>
        <w:rPr>
          <w:i/>
        </w:rPr>
        <w:t>Public Sector Management Act 1994</w:t>
      </w:r>
      <w:r>
        <w:t xml:space="preserve"> Part 5 applies or a public sector body — has the meaning given in section 5 of that Act; or</w:t>
      </w:r>
    </w:p>
    <w:p>
      <w:pPr>
        <w:pStyle w:val="Defpara"/>
      </w:pPr>
      <w:r>
        <w:tab/>
        <w:t>(b)</w:t>
      </w:r>
      <w:r>
        <w:tab/>
        <w:t xml:space="preserve">in relation to a health services employee — has the meaning given in the </w:t>
      </w:r>
      <w:r>
        <w:rPr>
          <w:i/>
          <w:iCs/>
        </w:rPr>
        <w:t>Health Services Act 2016</w:t>
      </w:r>
      <w:r>
        <w:t xml:space="preserve"> section 103;</w:t>
      </w:r>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keepNext/>
      </w:pPr>
      <w:r>
        <w:lastRenderedPageBreak/>
        <w:tab/>
      </w:r>
      <w:r>
        <w:rPr>
          <w:rStyle w:val="CharDefText"/>
        </w:rPr>
        <w:t>entitlement provision</w:t>
      </w:r>
      <w:r>
        <w:t xml:space="preserve"> means — </w:t>
      </w:r>
    </w:p>
    <w:p>
      <w:pPr>
        <w:pStyle w:val="Defpara"/>
        <w:keepNext/>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 or</w:t>
      </w:r>
    </w:p>
    <w:p>
      <w:pPr>
        <w:pStyle w:val="Defpara"/>
      </w:pPr>
      <w:r>
        <w:tab/>
        <w:t>(d)</w:t>
      </w:r>
      <w:r>
        <w:tab/>
        <w:t>a local government long service leave provision;</w:t>
      </w:r>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tab/>
      </w:r>
      <w:r>
        <w:rPr>
          <w:rStyle w:val="CharDefText"/>
        </w:rPr>
        <w:t>flexible working arrangement dispute</w:t>
      </w:r>
      <w:r>
        <w:t xml:space="preserve"> has the meaning given in section 51D;</w:t>
      </w:r>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lastRenderedPageBreak/>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pPr>
      <w:r>
        <w:tab/>
      </w:r>
      <w:r>
        <w:rPr>
          <w:rStyle w:val="CharDefText"/>
        </w:rPr>
        <w:t>government officer</w:t>
      </w:r>
      <w:r>
        <w:t xml:space="preserve"> has the meaning given in section 36AB;</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tab/>
      </w:r>
      <w:r>
        <w:rPr>
          <w:rStyle w:val="CharDefText"/>
        </w:rPr>
        <w:t>health services employee</w:t>
      </w:r>
      <w:r>
        <w:t xml:space="preserve"> means an employee as defined in the </w:t>
      </w:r>
      <w:r>
        <w:rPr>
          <w:i/>
          <w:iCs/>
        </w:rPr>
        <w:t>Health Services Act 2016</w:t>
      </w:r>
      <w:r>
        <w:t xml:space="preserve"> section 6;</w:t>
      </w:r>
    </w:p>
    <w:p>
      <w:pPr>
        <w:pStyle w:val="Defstart"/>
      </w:pPr>
      <w:r>
        <w:tab/>
      </w:r>
      <w:r>
        <w:rPr>
          <w:rStyle w:val="CharDefText"/>
        </w:rPr>
        <w:t>in connection with work</w:t>
      </w:r>
      <w:r>
        <w:t>, in relation to the sexual harassment of a person, has the meaning given in section 51BR(2);</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lastRenderedPageBreak/>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lastRenderedPageBreak/>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Defpara"/>
      </w:pPr>
      <w:r>
        <w:tab/>
        <w:t>(h)</w:t>
      </w:r>
      <w:r>
        <w:tab/>
        <w:t>any matter referred to as an industrial matter in section 36AA;</w:t>
      </w:r>
    </w:p>
    <w:p>
      <w:pPr>
        <w:pStyle w:val="Defpara"/>
      </w:pPr>
      <w:r>
        <w:tab/>
        <w:t>(ha)</w:t>
      </w:r>
      <w:r>
        <w:tab/>
        <w:t>any matter relating to a flexible working arrangement dispute;</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lastRenderedPageBreak/>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lastRenderedPageBreak/>
        <w:tab/>
      </w:r>
      <w:r>
        <w:rPr>
          <w:rStyle w:val="CharDefText"/>
        </w:rPr>
        <w:t>local government long service leave provision</w:t>
      </w:r>
      <w:r>
        <w:t xml:space="preserve"> means a provision of regulations made under the </w:t>
      </w:r>
      <w:r>
        <w:rPr>
          <w:i/>
        </w:rPr>
        <w:t>Local Government Act 1995</w:t>
      </w:r>
      <w:r>
        <w:t xml:space="preserve"> section 5.48;</w:t>
      </w:r>
    </w:p>
    <w:p>
      <w:pPr>
        <w:pStyle w:val="PermNoteHeading"/>
      </w:pPr>
      <w:r>
        <w:tab/>
        <w:t>Note for this definition:</w:t>
      </w:r>
    </w:p>
    <w:p>
      <w:pPr>
        <w:pStyle w:val="PermNoteText"/>
      </w:pPr>
      <w:r>
        <w:tab/>
      </w:r>
      <w:r>
        <w:tab/>
        <w:t xml:space="preserve">Regulations made under the </w:t>
      </w:r>
      <w:r>
        <w:rPr>
          <w:i/>
          <w:iCs/>
        </w:rPr>
        <w:t>Local Government Act 1995</w:t>
      </w:r>
      <w:r>
        <w:t xml:space="preserve"> section 5.48 provide for the long service leave benefits of — </w:t>
      </w:r>
    </w:p>
    <w:p>
      <w:pPr>
        <w:pStyle w:val="PermNotePara"/>
      </w:pPr>
      <w:r>
        <w:tab/>
        <w:t>(a)</w:t>
      </w:r>
      <w:r>
        <w:tab/>
        <w:t xml:space="preserve">the employees of local governments; and </w:t>
      </w:r>
    </w:p>
    <w:p>
      <w:pPr>
        <w:pStyle w:val="PermNotePara"/>
      </w:pPr>
      <w:r>
        <w:tab/>
        <w:t>(b)</w:t>
      </w:r>
      <w:r>
        <w:tab/>
        <w:t>the employees of the Western Australian Local Government Association constituted under section 9.58 of that Act.</w:t>
      </w:r>
    </w:p>
    <w:p>
      <w:pPr>
        <w:pStyle w:val="Defstart"/>
      </w:pPr>
      <w:r>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pPr>
      <w:r>
        <w:tab/>
      </w:r>
      <w:r>
        <w:rPr>
          <w:rStyle w:val="CharDefText"/>
        </w:rPr>
        <w:t>minimum condition of employment</w:t>
      </w:r>
      <w:r>
        <w:t xml:space="preserve"> has the meaning given in the MCE Act section 3(1);</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lastRenderedPageBreak/>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w:t>
      </w:r>
      <w:r>
        <w:lastRenderedPageBreak/>
        <w:t xml:space="preserve">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keepNext/>
      </w:pPr>
      <w:r>
        <w:tab/>
      </w:r>
      <w:r>
        <w:rPr>
          <w:rStyle w:val="CharDefText"/>
        </w:rPr>
        <w:t>public sector award</w:t>
      </w:r>
      <w:r>
        <w:t xml:space="preserve"> means an award that only extends to and binds the following — </w:t>
      </w:r>
    </w:p>
    <w:p>
      <w:pPr>
        <w:pStyle w:val="Defpara"/>
      </w:pPr>
      <w:r>
        <w:tab/>
        <w:t>(a)</w:t>
      </w:r>
      <w:r>
        <w:tab/>
        <w:t>a public sector body;</w:t>
      </w:r>
    </w:p>
    <w:p>
      <w:pPr>
        <w:pStyle w:val="Defpara"/>
      </w:pPr>
      <w:r>
        <w:tab/>
        <w:t>(b)</w:t>
      </w:r>
      <w:r>
        <w:tab/>
        <w:t xml:space="preserve">an entity specified in the </w:t>
      </w:r>
      <w:r>
        <w:rPr>
          <w:i/>
        </w:rPr>
        <w:t>Public Sector Management Act 1994</w:t>
      </w:r>
      <w:r>
        <w:t xml:space="preserve"> Schedule 1 column 2;</w:t>
      </w:r>
    </w:p>
    <w:p>
      <w:pPr>
        <w:pStyle w:val="Defstart"/>
        <w:rPr>
          <w:iCs/>
        </w:rPr>
      </w:pPr>
      <w:r>
        <w:tab/>
      </w:r>
      <w:r>
        <w:rPr>
          <w:rStyle w:val="CharDefText"/>
        </w:rPr>
        <w:t>public sector body</w:t>
      </w:r>
      <w:r>
        <w:t xml:space="preserve"> has the meaning given in the </w:t>
      </w:r>
      <w:r>
        <w:rPr>
          <w:i/>
        </w:rPr>
        <w:t>Public Sector Management Act 1994</w:t>
      </w:r>
      <w:r>
        <w:rPr>
          <w:iCs/>
        </w:rPr>
        <w:t xml:space="preserve"> section 3(1);</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reclassification</w:t>
      </w:r>
      <w:r>
        <w:t>, of an office held by a government officer, has the meaning given in section 36AD(1);</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lastRenderedPageBreak/>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para"/>
      </w:pPr>
      <w:r>
        <w:tab/>
        <w:t>(f)</w:t>
      </w:r>
      <w:r>
        <w:tab/>
        <w:t>a local government long service leave provision that requires an employer to keep records about employees’ employment that are necessary to calculate the employees’ entitlements to, and payment for, long service leave;</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lastRenderedPageBreak/>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pPr>
      <w:r>
        <w:tab/>
      </w:r>
      <w:r>
        <w:rPr>
          <w:rStyle w:val="CharDefText"/>
        </w:rPr>
        <w:t>sexually harasses</w:t>
      </w:r>
      <w:r>
        <w:t xml:space="preserve"> has the meaning given in section 51BQ;</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Defstart"/>
      </w:pPr>
      <w:r>
        <w:tab/>
      </w:r>
      <w:r>
        <w:rPr>
          <w:rStyle w:val="CharDefText"/>
        </w:rPr>
        <w:t>worker</w:t>
      </w:r>
      <w:r>
        <w:t xml:space="preserve"> has the meaning given in section 51BH.</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lastRenderedPageBreak/>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pPr>
      <w:r>
        <w:tab/>
        <w:t>(2)</w:t>
      </w:r>
      <w:r>
        <w:tab/>
        <w:t>A matter relating to the bullying of a worker at work or the sexual harassment of a person in connection with work is an industrial matter.</w:t>
      </w:r>
    </w:p>
    <w:p>
      <w:pPr>
        <w:pStyle w:val="Ednotesubsection"/>
      </w:pPr>
      <w:r>
        <w:tab/>
        <w:t>[(2A)</w:t>
      </w:r>
      <w:r>
        <w:tab/>
        <w:t>deleted]</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lastRenderedPageBreak/>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 No. 43 of 2024 s. 5.]</w:t>
      </w:r>
    </w:p>
    <w:p>
      <w:pPr>
        <w:pStyle w:val="Heading5"/>
      </w:pPr>
      <w:bookmarkStart w:id="11" w:name="_Toc182398383"/>
      <w:bookmarkStart w:id="12" w:name="_Toc188451041"/>
      <w:r>
        <w:rPr>
          <w:rStyle w:val="CharSectno"/>
        </w:rPr>
        <w:t>7A</w:t>
      </w:r>
      <w:r>
        <w:t>.</w:t>
      </w:r>
      <w:r>
        <w:tab/>
        <w:t>Determining whether individual is employee or person is employer</w:t>
      </w:r>
      <w:bookmarkEnd w:id="11"/>
      <w:bookmarkEnd w:id="12"/>
    </w:p>
    <w:p>
      <w:pPr>
        <w:pStyle w:val="Subsection"/>
      </w:pPr>
      <w:r>
        <w:tab/>
        <w:t>(1)</w:t>
      </w:r>
      <w:r>
        <w:tab/>
        <w:t xml:space="preserve">This section applies for determining, for the purposes of this Act, the LSL Act or the MCE Act — </w:t>
      </w:r>
    </w:p>
    <w:p>
      <w:pPr>
        <w:pStyle w:val="Indenta"/>
      </w:pPr>
      <w:r>
        <w:tab/>
        <w:t>(a)</w:t>
      </w:r>
      <w:r>
        <w:tab/>
        <w:t xml:space="preserve">whether an individual is an employee of a person; or </w:t>
      </w:r>
    </w:p>
    <w:p>
      <w:pPr>
        <w:pStyle w:val="Indenta"/>
      </w:pPr>
      <w:r>
        <w:tab/>
        <w:t>(b)</w:t>
      </w:r>
      <w:r>
        <w:tab/>
        <w:t>whether a person is an employer of an individual.</w:t>
      </w:r>
    </w:p>
    <w:p>
      <w:pPr>
        <w:pStyle w:val="Subsection"/>
      </w:pPr>
      <w:r>
        <w:tab/>
        <w:t>(2)</w:t>
      </w:r>
      <w:r>
        <w:tab/>
        <w:t>The matter is determined by ascertaining the real substance, practical reality and true nature of the relationship between the individual and the person.</w:t>
      </w:r>
    </w:p>
    <w:p>
      <w:pPr>
        <w:pStyle w:val="Subsection"/>
      </w:pPr>
      <w:r>
        <w:tab/>
        <w:t>(3)</w:t>
      </w:r>
      <w:r>
        <w:tab/>
        <w:t xml:space="preserve">For the purposes of subsection (2), consideration must be given to the totality of the relationship between the individual and the person, including — </w:t>
      </w:r>
    </w:p>
    <w:p>
      <w:pPr>
        <w:pStyle w:val="Indenta"/>
      </w:pPr>
      <w:r>
        <w:tab/>
        <w:t>(a)</w:t>
      </w:r>
      <w:r>
        <w:tab/>
        <w:t>the terms of the contract governing the relationship; and</w:t>
      </w:r>
    </w:p>
    <w:p>
      <w:pPr>
        <w:pStyle w:val="Indenta"/>
      </w:pPr>
      <w:r>
        <w:lastRenderedPageBreak/>
        <w:tab/>
        <w:t>(b)</w:t>
      </w:r>
      <w:r>
        <w:tab/>
        <w:t>other factors relevant to the totality of the relationship, including how the contract is performed in practice.</w:t>
      </w:r>
    </w:p>
    <w:p>
      <w:pPr>
        <w:pStyle w:val="PermNoteHeading"/>
      </w:pPr>
      <w:r>
        <w:tab/>
        <w:t>Note for this section:</w:t>
      </w:r>
    </w:p>
    <w:p>
      <w:pPr>
        <w:pStyle w:val="PermNoteText"/>
      </w:pPr>
      <w:r>
        <w:tab/>
      </w:r>
      <w:r>
        <w:tab/>
        <w:t xml:space="preserve">This section was enacted as a response to the decisions of the High Court of Australia in </w:t>
      </w:r>
      <w:r>
        <w:rPr>
          <w:i/>
          <w:iCs/>
        </w:rPr>
        <w:t>Construction, Forestry, Maritime, Mining and Energy Union v Personnel Contracting Pty Ltd</w:t>
      </w:r>
      <w:r>
        <w:t xml:space="preserve"> [2022] HCA 1 and </w:t>
      </w:r>
      <w:r>
        <w:rPr>
          <w:i/>
          <w:iCs/>
        </w:rPr>
        <w:t>ZG Operations Australia Pty Ltd v Jamsek</w:t>
      </w:r>
      <w:r>
        <w:t xml:space="preserve"> [2022] HCA 2.</w:t>
      </w:r>
    </w:p>
    <w:p>
      <w:pPr>
        <w:pStyle w:val="Footnotesection"/>
      </w:pPr>
      <w:r>
        <w:tab/>
        <w:t>[Section 7A inserted: No. 43 of 2024 s. 6.]</w:t>
      </w:r>
    </w:p>
    <w:p>
      <w:pPr>
        <w:pStyle w:val="Heading5"/>
      </w:pPr>
      <w:bookmarkStart w:id="13" w:name="_Toc182398384"/>
      <w:bookmarkStart w:id="14" w:name="_Toc188451042"/>
      <w:r>
        <w:rPr>
          <w:rStyle w:val="CharSectno"/>
        </w:rPr>
        <w:t>7B</w:t>
      </w:r>
      <w:r>
        <w:t>.</w:t>
      </w:r>
      <w:r>
        <w:tab/>
        <w:t>Determining whether employee is casual employee</w:t>
      </w:r>
      <w:bookmarkEnd w:id="13"/>
      <w:bookmarkEnd w:id="14"/>
    </w:p>
    <w:p>
      <w:pPr>
        <w:pStyle w:val="Subsection"/>
      </w:pPr>
      <w:r>
        <w:tab/>
        <w:t>(1)</w:t>
      </w:r>
      <w:r>
        <w:tab/>
        <w:t>This section applies for determining, for the purposes of this Act, the LSL Act or the MCE Act, whether an employee of an employer is a casual employee.</w:t>
      </w:r>
    </w:p>
    <w:p>
      <w:pPr>
        <w:pStyle w:val="Subsection"/>
      </w:pPr>
      <w:r>
        <w:tab/>
        <w:t>(2)</w:t>
      </w:r>
      <w:r>
        <w:tab/>
        <w:t>The matter is determined by ascertaining the real substance, practical reality and true nature of the relationship between the employee and the employer.</w:t>
      </w:r>
    </w:p>
    <w:p>
      <w:pPr>
        <w:pStyle w:val="Subsection"/>
      </w:pPr>
      <w:r>
        <w:tab/>
        <w:t>(3)</w:t>
      </w:r>
      <w:r>
        <w:tab/>
        <w:t xml:space="preserve">For the purposes of subsection (2), consideration must be given to the totality of the relationship between the employee and the employer, including — </w:t>
      </w:r>
    </w:p>
    <w:p>
      <w:pPr>
        <w:pStyle w:val="Indenta"/>
      </w:pPr>
      <w:r>
        <w:tab/>
        <w:t>(a)</w:t>
      </w:r>
      <w:r>
        <w:tab/>
        <w:t>the terms of the contract governing the relationship; and</w:t>
      </w:r>
    </w:p>
    <w:p>
      <w:pPr>
        <w:pStyle w:val="Indenta"/>
      </w:pPr>
      <w:r>
        <w:tab/>
        <w:t>(b)</w:t>
      </w:r>
      <w:r>
        <w:tab/>
        <w:t>other factors relevant to the totality of the relationship, including how the contract is performed in practice.</w:t>
      </w:r>
    </w:p>
    <w:p>
      <w:pPr>
        <w:pStyle w:val="PermNoteHeading"/>
      </w:pPr>
      <w:r>
        <w:tab/>
        <w:t>Note for this section:</w:t>
      </w:r>
    </w:p>
    <w:p>
      <w:pPr>
        <w:pStyle w:val="PermNoteText"/>
      </w:pPr>
      <w:r>
        <w:tab/>
      </w:r>
      <w:r>
        <w:tab/>
        <w:t xml:space="preserve">This section was enacted as a response to the decision of the High Court of Australia in </w:t>
      </w:r>
      <w:r>
        <w:rPr>
          <w:i/>
          <w:iCs/>
        </w:rPr>
        <w:t>WorkPac Pty Ltd v Rossato</w:t>
      </w:r>
      <w:r>
        <w:t xml:space="preserve"> [2021] HCA 23.</w:t>
      </w:r>
    </w:p>
    <w:p>
      <w:pPr>
        <w:pStyle w:val="Footnotesection"/>
      </w:pPr>
      <w:r>
        <w:tab/>
        <w:t>[Section 7B inserted: No. 43 of 2024 s. 6.]</w:t>
      </w:r>
    </w:p>
    <w:p>
      <w:pPr>
        <w:pStyle w:val="Ednotepart"/>
      </w:pPr>
      <w:r>
        <w:t>[Part 1A (s. 7C</w:t>
      </w:r>
      <w:r>
        <w:noBreakHyphen/>
        <w:t>7G) deleted: No. 20 of 2002 s. 111(4) and 113(1).]</w:t>
      </w:r>
    </w:p>
    <w:p>
      <w:pPr>
        <w:pStyle w:val="Heading2"/>
      </w:pPr>
      <w:bookmarkStart w:id="15" w:name="_Toc187907201"/>
      <w:bookmarkStart w:id="16" w:name="_Toc188271403"/>
      <w:bookmarkStart w:id="17" w:name="_Toc188451043"/>
      <w:r>
        <w:rPr>
          <w:rStyle w:val="CharPartNo"/>
        </w:rPr>
        <w:lastRenderedPageBreak/>
        <w:t>Part II</w:t>
      </w:r>
      <w:r>
        <w:t> — </w:t>
      </w:r>
      <w:r>
        <w:rPr>
          <w:rStyle w:val="CharPartText"/>
        </w:rPr>
        <w:t>The Western Australian Industrial Relations Commission</w:t>
      </w:r>
      <w:bookmarkEnd w:id="15"/>
      <w:bookmarkEnd w:id="16"/>
      <w:bookmarkEnd w:id="17"/>
    </w:p>
    <w:p>
      <w:pPr>
        <w:pStyle w:val="Footnoteheading"/>
        <w:tabs>
          <w:tab w:val="left" w:pos="966"/>
        </w:tabs>
        <w:rPr>
          <w:snapToGrid w:val="0"/>
        </w:rPr>
      </w:pPr>
      <w:r>
        <w:rPr>
          <w:snapToGrid w:val="0"/>
        </w:rPr>
        <w:tab/>
        <w:t>[Heading amended: No. 94 of 1984 s. 7.]</w:t>
      </w:r>
    </w:p>
    <w:p>
      <w:pPr>
        <w:pStyle w:val="Heading3"/>
        <w:rPr>
          <w:snapToGrid w:val="0"/>
        </w:rPr>
      </w:pPr>
      <w:bookmarkStart w:id="18" w:name="_Toc187907202"/>
      <w:bookmarkStart w:id="19" w:name="_Toc188271404"/>
      <w:bookmarkStart w:id="20" w:name="_Toc188451044"/>
      <w:r>
        <w:rPr>
          <w:rStyle w:val="CharDivNo"/>
        </w:rPr>
        <w:t>Division 1</w:t>
      </w:r>
      <w:r>
        <w:rPr>
          <w:snapToGrid w:val="0"/>
        </w:rPr>
        <w:t> — </w:t>
      </w:r>
      <w:r>
        <w:rPr>
          <w:rStyle w:val="CharDivText"/>
        </w:rPr>
        <w:t>Constitution of the Commission</w:t>
      </w:r>
      <w:bookmarkEnd w:id="18"/>
      <w:bookmarkEnd w:id="19"/>
      <w:bookmarkEnd w:id="20"/>
    </w:p>
    <w:p>
      <w:pPr>
        <w:pStyle w:val="Heading5"/>
        <w:rPr>
          <w:snapToGrid w:val="0"/>
        </w:rPr>
      </w:pPr>
      <w:bookmarkStart w:id="21" w:name="_Toc188451045"/>
      <w:r>
        <w:rPr>
          <w:rStyle w:val="CharSectno"/>
        </w:rPr>
        <w:t>8</w:t>
      </w:r>
      <w:r>
        <w:rPr>
          <w:snapToGrid w:val="0"/>
        </w:rPr>
        <w:t>.</w:t>
      </w:r>
      <w:r>
        <w:rPr>
          <w:snapToGrid w:val="0"/>
        </w:rPr>
        <w:tab/>
        <w:t>Commission constituted</w:t>
      </w:r>
      <w:bookmarkEnd w:id="21"/>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lastRenderedPageBreak/>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22" w:name="_Toc188451046"/>
      <w:r>
        <w:rPr>
          <w:rStyle w:val="CharSectno"/>
        </w:rPr>
        <w:t>9</w:t>
      </w:r>
      <w:r>
        <w:rPr>
          <w:snapToGrid w:val="0"/>
        </w:rPr>
        <w:t>.</w:t>
      </w:r>
      <w:r>
        <w:rPr>
          <w:snapToGrid w:val="0"/>
        </w:rPr>
        <w:tab/>
        <w:t>Qualifications for appointment of Chief Commissioner</w:t>
      </w:r>
      <w:bookmarkEnd w:id="22"/>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23" w:name="_Toc188451047"/>
      <w:r>
        <w:rPr>
          <w:rStyle w:val="CharSectno"/>
        </w:rPr>
        <w:t>10</w:t>
      </w:r>
      <w:r>
        <w:rPr>
          <w:snapToGrid w:val="0"/>
        </w:rPr>
        <w:t>.</w:t>
      </w:r>
      <w:r>
        <w:rPr>
          <w:snapToGrid w:val="0"/>
        </w:rPr>
        <w:tab/>
        <w:t>Age limit for commissioners</w:t>
      </w:r>
      <w:bookmarkEnd w:id="23"/>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24" w:name="_Toc188451048"/>
      <w:r>
        <w:rPr>
          <w:rStyle w:val="CharSectno"/>
        </w:rPr>
        <w:lastRenderedPageBreak/>
        <w:t>11</w:t>
      </w:r>
      <w:r>
        <w:rPr>
          <w:snapToGrid w:val="0"/>
        </w:rPr>
        <w:t>.</w:t>
      </w:r>
      <w:r>
        <w:rPr>
          <w:snapToGrid w:val="0"/>
        </w:rPr>
        <w:tab/>
        <w:t>Oath of office and secrecy</w:t>
      </w:r>
      <w:bookmarkEnd w:id="24"/>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25" w:name="_Toc188451049"/>
      <w:r>
        <w:rPr>
          <w:rStyle w:val="CharSectno"/>
        </w:rPr>
        <w:t>12</w:t>
      </w:r>
      <w:r>
        <w:rPr>
          <w:snapToGrid w:val="0"/>
        </w:rPr>
        <w:t>.</w:t>
      </w:r>
      <w:r>
        <w:rPr>
          <w:snapToGrid w:val="0"/>
        </w:rPr>
        <w:tab/>
        <w:t>Commission is court of record etc.</w:t>
      </w:r>
      <w:bookmarkEnd w:id="25"/>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26" w:name="_Toc188451050"/>
      <w:r>
        <w:rPr>
          <w:rStyle w:val="CharSectno"/>
        </w:rPr>
        <w:t>13</w:t>
      </w:r>
      <w:r>
        <w:t>.</w:t>
      </w:r>
      <w:r>
        <w:tab/>
        <w:t>Protection of commissioners and others</w:t>
      </w:r>
      <w:bookmarkEnd w:id="26"/>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Ednotepara"/>
      </w:pPr>
      <w:r>
        <w:tab/>
        <w:t>[(c), (d)</w:t>
      </w:r>
      <w:r>
        <w:tab/>
        <w:t>deleted]</w:t>
      </w:r>
    </w:p>
    <w:p>
      <w:pPr>
        <w:pStyle w:val="Footnotesection"/>
        <w:spacing w:before="80"/>
        <w:ind w:left="890" w:hanging="890"/>
      </w:pPr>
      <w:r>
        <w:lastRenderedPageBreak/>
        <w:tab/>
        <w:t>[Section 13 inserted: No. 39 of 2018 s. 9; amended: No. 43 of 2024 s. 7.]</w:t>
      </w:r>
    </w:p>
    <w:p>
      <w:pPr>
        <w:pStyle w:val="Heading5"/>
        <w:rPr>
          <w:snapToGrid w:val="0"/>
        </w:rPr>
      </w:pPr>
      <w:bookmarkStart w:id="27" w:name="_Toc188451051"/>
      <w:r>
        <w:rPr>
          <w:rStyle w:val="CharSectno"/>
        </w:rPr>
        <w:t>14</w:t>
      </w:r>
      <w:r>
        <w:rPr>
          <w:snapToGrid w:val="0"/>
        </w:rPr>
        <w:t>.</w:t>
      </w:r>
      <w:r>
        <w:rPr>
          <w:snapToGrid w:val="0"/>
        </w:rPr>
        <w:tab/>
        <w:t>Exercise of powers and jurisdiction of Commission</w:t>
      </w:r>
      <w:bookmarkEnd w:id="27"/>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28" w:name="_Toc188451052"/>
      <w:r>
        <w:rPr>
          <w:rStyle w:val="CharSectno"/>
        </w:rPr>
        <w:t>14A</w:t>
      </w:r>
      <w:r>
        <w:rPr>
          <w:snapToGrid w:val="0"/>
        </w:rPr>
        <w:t>.</w:t>
      </w:r>
      <w:r>
        <w:rPr>
          <w:snapToGrid w:val="0"/>
        </w:rPr>
        <w:tab/>
      </w:r>
      <w:r>
        <w:t>Dual federal and State appointments</w:t>
      </w:r>
      <w:bookmarkEnd w:id="28"/>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29" w:name="_Toc188451053"/>
      <w:r>
        <w:rPr>
          <w:rStyle w:val="CharSectno"/>
        </w:rPr>
        <w:t>14B</w:t>
      </w:r>
      <w:r>
        <w:rPr>
          <w:snapToGrid w:val="0"/>
        </w:rPr>
        <w:t>.</w:t>
      </w:r>
      <w:r>
        <w:rPr>
          <w:snapToGrid w:val="0"/>
        </w:rPr>
        <w:tab/>
      </w:r>
      <w:r>
        <w:t>Performance of duties by dual federal and State appointees</w:t>
      </w:r>
      <w:bookmarkEnd w:id="29"/>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lastRenderedPageBreak/>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30" w:name="_Toc188451054"/>
      <w:r>
        <w:rPr>
          <w:rStyle w:val="CharSectno"/>
        </w:rPr>
        <w:t>15</w:t>
      </w:r>
      <w:r>
        <w:rPr>
          <w:snapToGrid w:val="0"/>
        </w:rPr>
        <w:t>.</w:t>
      </w:r>
      <w:r>
        <w:rPr>
          <w:snapToGrid w:val="0"/>
        </w:rPr>
        <w:tab/>
        <w:t>Constitution of Full Bench and Commission in Court Session</w:t>
      </w:r>
      <w:bookmarkEnd w:id="30"/>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31" w:name="_Toc188451055"/>
      <w:r>
        <w:rPr>
          <w:rStyle w:val="CharSectno"/>
        </w:rPr>
        <w:lastRenderedPageBreak/>
        <w:t>16</w:t>
      </w:r>
      <w:r>
        <w:rPr>
          <w:snapToGrid w:val="0"/>
        </w:rPr>
        <w:t>.</w:t>
      </w:r>
      <w:r>
        <w:rPr>
          <w:snapToGrid w:val="0"/>
        </w:rPr>
        <w:tab/>
        <w:t>Chief Commissioner’s functions</w:t>
      </w:r>
      <w:bookmarkEnd w:id="31"/>
    </w:p>
    <w:p>
      <w:pPr>
        <w:pStyle w:val="Subsection"/>
        <w:spacing w:before="140"/>
      </w:pPr>
      <w:r>
        <w:tab/>
        <w:t>(1)</w:t>
      </w:r>
      <w:r>
        <w:tab/>
        <w:t>In subsections (1AA) to (1ac) —</w:t>
      </w:r>
    </w:p>
    <w:p>
      <w:pPr>
        <w:pStyle w:val="Defstart"/>
      </w:pPr>
      <w:r>
        <w:tab/>
      </w:r>
      <w:r>
        <w:rPr>
          <w:rStyle w:val="CharDefText"/>
        </w:rPr>
        <w:t>Commission</w:t>
      </w:r>
      <w:r>
        <w:t xml:space="preserve"> includes the Full Bench and the Commission in Court Session.</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lastRenderedPageBreak/>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 xml:space="preserve">The Chief Commissioner may assign a commissioner to sit or act alone as the Commission or to sit or act as a member of the Full Bench or the Commission in Court </w:t>
      </w:r>
      <w:r>
        <w:t>Session.</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w:t>
      </w:r>
      <w:r>
        <w:lastRenderedPageBreak/>
        <w:t>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 No. 43 of 2024 s. 8.]</w:t>
      </w:r>
    </w:p>
    <w:p>
      <w:pPr>
        <w:pStyle w:val="Heading5"/>
      </w:pPr>
      <w:bookmarkStart w:id="32" w:name="_Toc188451056"/>
      <w:r>
        <w:rPr>
          <w:rStyle w:val="CharSectno"/>
        </w:rPr>
        <w:t>16A</w:t>
      </w:r>
      <w:r>
        <w:t>.</w:t>
      </w:r>
      <w:r>
        <w:tab/>
        <w:t>Delegation by Chief Commissioner</w:t>
      </w:r>
      <w:bookmarkEnd w:id="32"/>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lastRenderedPageBreak/>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3" w:name="_Toc188451057"/>
      <w:r>
        <w:rPr>
          <w:rStyle w:val="CharSectno"/>
        </w:rPr>
        <w:t>17</w:t>
      </w:r>
      <w:r>
        <w:rPr>
          <w:snapToGrid w:val="0"/>
        </w:rPr>
        <w:t>.</w:t>
      </w:r>
      <w:r>
        <w:rPr>
          <w:snapToGrid w:val="0"/>
        </w:rPr>
        <w:tab/>
        <w:t>Appointment of acting commissioners</w:t>
      </w:r>
      <w:bookmarkEnd w:id="33"/>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4" w:name="_Toc188451058"/>
      <w:r>
        <w:rPr>
          <w:rStyle w:val="CharSectno"/>
        </w:rPr>
        <w:lastRenderedPageBreak/>
        <w:t>18</w:t>
      </w:r>
      <w:r>
        <w:rPr>
          <w:snapToGrid w:val="0"/>
        </w:rPr>
        <w:t>.</w:t>
      </w:r>
      <w:r>
        <w:rPr>
          <w:snapToGrid w:val="0"/>
        </w:rPr>
        <w:tab/>
        <w:t>Extending appointments</w:t>
      </w:r>
      <w:bookmarkEnd w:id="34"/>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35" w:name="_Toc188451059"/>
      <w:r>
        <w:rPr>
          <w:rStyle w:val="CharSectno"/>
        </w:rPr>
        <w:t>19</w:t>
      </w:r>
      <w:r>
        <w:t>.</w:t>
      </w:r>
      <w:r>
        <w:tab/>
        <w:t>Duty of commissioners</w:t>
      </w:r>
      <w:bookmarkEnd w:id="35"/>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6" w:name="_Toc188451060"/>
      <w:r>
        <w:rPr>
          <w:rStyle w:val="CharSectno"/>
        </w:rPr>
        <w:t>20</w:t>
      </w:r>
      <w:r>
        <w:rPr>
          <w:snapToGrid w:val="0"/>
        </w:rPr>
        <w:t>.</w:t>
      </w:r>
      <w:r>
        <w:rPr>
          <w:snapToGrid w:val="0"/>
        </w:rPr>
        <w:tab/>
        <w:t>Conditions of service of commissioners</w:t>
      </w:r>
      <w:bookmarkEnd w:id="36"/>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t>
      </w:r>
      <w:r>
        <w:lastRenderedPageBreak/>
        <w:t>written law, as having been prescribed for the purposes of section 6(1)(e) of that Act.</w:t>
      </w:r>
    </w:p>
    <w:p>
      <w:pPr>
        <w:pStyle w:val="Subsection"/>
      </w:pPr>
      <w:r>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lastRenderedPageBreak/>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37" w:name="_Toc188451061"/>
      <w:r>
        <w:rPr>
          <w:rStyle w:val="CharSectno"/>
        </w:rPr>
        <w:t>21</w:t>
      </w:r>
      <w:r>
        <w:rPr>
          <w:snapToGrid w:val="0"/>
        </w:rPr>
        <w:t>.</w:t>
      </w:r>
      <w:r>
        <w:rPr>
          <w:snapToGrid w:val="0"/>
        </w:rPr>
        <w:tab/>
        <w:t>Resignation from office</w:t>
      </w:r>
      <w:bookmarkEnd w:id="37"/>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8" w:name="_Toc188451062"/>
      <w:r>
        <w:rPr>
          <w:rStyle w:val="CharSectno"/>
        </w:rPr>
        <w:lastRenderedPageBreak/>
        <w:t>22</w:t>
      </w:r>
      <w:r>
        <w:rPr>
          <w:snapToGrid w:val="0"/>
        </w:rPr>
        <w:t>.</w:t>
      </w:r>
      <w:r>
        <w:rPr>
          <w:snapToGrid w:val="0"/>
        </w:rPr>
        <w:tab/>
        <w:t>Tenure subject to good behaviour</w:t>
      </w:r>
      <w:bookmarkEnd w:id="38"/>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39" w:name="_Toc187907221"/>
      <w:bookmarkStart w:id="40" w:name="_Toc188271423"/>
      <w:bookmarkStart w:id="41" w:name="_Toc188451063"/>
      <w:r>
        <w:rPr>
          <w:rStyle w:val="CharDivNo"/>
        </w:rPr>
        <w:t>Division 2</w:t>
      </w:r>
      <w:r>
        <w:rPr>
          <w:snapToGrid w:val="0"/>
        </w:rPr>
        <w:t> — </w:t>
      </w:r>
      <w:r>
        <w:rPr>
          <w:rStyle w:val="CharDivText"/>
        </w:rPr>
        <w:t>General jurisdiction and powers of the Commission</w:t>
      </w:r>
      <w:bookmarkEnd w:id="39"/>
      <w:bookmarkEnd w:id="40"/>
      <w:bookmarkEnd w:id="41"/>
    </w:p>
    <w:p>
      <w:pPr>
        <w:pStyle w:val="Ednotesection"/>
        <w:rPr>
          <w:rStyle w:val="CharSectno"/>
          <w:sz w:val="26"/>
        </w:rPr>
      </w:pPr>
      <w:r>
        <w:rPr>
          <w:rStyle w:val="CharSectno"/>
        </w:rPr>
        <w:t>[</w:t>
      </w:r>
      <w:r>
        <w:rPr>
          <w:rStyle w:val="CharSectno"/>
          <w:b/>
          <w:bCs/>
        </w:rPr>
        <w:t>22A.</w:t>
      </w:r>
      <w:r>
        <w:rPr>
          <w:rStyle w:val="CharSectno"/>
        </w:rPr>
        <w:tab/>
        <w:t>Deleted: No. 43 of 2024 s. 9.]</w:t>
      </w:r>
    </w:p>
    <w:p>
      <w:pPr>
        <w:pStyle w:val="Heading5"/>
      </w:pPr>
      <w:bookmarkStart w:id="42" w:name="_Toc188451064"/>
      <w:r>
        <w:rPr>
          <w:rStyle w:val="CharSectno"/>
        </w:rPr>
        <w:t>22B</w:t>
      </w:r>
      <w:r>
        <w:t>.</w:t>
      </w:r>
      <w:r>
        <w:tab/>
        <w:t>Commission to act with due speed</w:t>
      </w:r>
      <w:bookmarkEnd w:id="42"/>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43" w:name="_Toc188451065"/>
      <w:r>
        <w:rPr>
          <w:rStyle w:val="CharSectno"/>
        </w:rPr>
        <w:t>23</w:t>
      </w:r>
      <w:r>
        <w:rPr>
          <w:snapToGrid w:val="0"/>
        </w:rPr>
        <w:t>.</w:t>
      </w:r>
      <w:r>
        <w:rPr>
          <w:snapToGrid w:val="0"/>
        </w:rPr>
        <w:tab/>
        <w:t>Jurisdiction of Commission</w:t>
      </w:r>
      <w:bookmarkEnd w:id="43"/>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lastRenderedPageBreak/>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lastRenderedPageBreak/>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pPr>
        <w:pStyle w:val="Ednotepara"/>
        <w:rPr>
          <w:snapToGrid w:val="0"/>
        </w:rPr>
      </w:pPr>
      <w:r>
        <w:rPr>
          <w:snapToGrid w:val="0"/>
        </w:rPr>
        <w:tab/>
        <w:t>[(g)</w:t>
      </w:r>
      <w:r>
        <w:rPr>
          <w:snapToGrid w:val="0"/>
        </w:rPr>
        <w:tab/>
        <w:t>deleted]</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Subsection"/>
      </w:pPr>
      <w:r>
        <w:tab/>
        <w:t>(4)</w:t>
      </w:r>
      <w:r>
        <w:tab/>
        <w:t xml:space="preserve">To avoid doubt, subsection (3)(h) applies if the Commission, in dealing with an industrial matter under the </w:t>
      </w:r>
      <w:r>
        <w:rPr>
          <w:i/>
        </w:rPr>
        <w:t>Public Sector Management Act 1994</w:t>
      </w:r>
      <w:r>
        <w:t xml:space="preserve"> section 78 or the </w:t>
      </w:r>
      <w:r>
        <w:rPr>
          <w:i/>
          <w:iCs/>
        </w:rPr>
        <w:t>Health Services Act 2016</w:t>
      </w:r>
      <w:r>
        <w:t xml:space="preserve"> section 171, determines that the dismissal of an employee or former employee was harsh, oppressive or unfair.</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 No. 43 of 2024 s. 10.]</w:t>
      </w:r>
    </w:p>
    <w:p>
      <w:pPr>
        <w:pStyle w:val="Ednotesection"/>
      </w:pPr>
      <w:r>
        <w:t>[</w:t>
      </w:r>
      <w:r>
        <w:rPr>
          <w:b/>
        </w:rPr>
        <w:t>23AA.</w:t>
      </w:r>
      <w:r>
        <w:tab/>
        <w:t>Deleted: No. 3 of 1997 s. 22</w:t>
      </w:r>
      <w:r>
        <w:rPr>
          <w:i w:val="0"/>
          <w:vertAlign w:val="superscript"/>
        </w:rPr>
        <w:t> 5</w:t>
      </w:r>
      <w:r>
        <w:t>.]</w:t>
      </w:r>
    </w:p>
    <w:p>
      <w:pPr>
        <w:pStyle w:val="Heading5"/>
      </w:pPr>
      <w:bookmarkStart w:id="44" w:name="_Toc188451066"/>
      <w:r>
        <w:rPr>
          <w:rStyle w:val="CharSectno"/>
        </w:rPr>
        <w:t>23A</w:t>
      </w:r>
      <w:r>
        <w:t>.</w:t>
      </w:r>
      <w:r>
        <w:tab/>
        <w:t>Unfair dismissal claims, Commission’s powers on</w:t>
      </w:r>
      <w:bookmarkEnd w:id="4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lastRenderedPageBreak/>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keepNext/>
        <w:spacing w:before="180"/>
      </w:pPr>
      <w:r>
        <w:lastRenderedPageBreak/>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 amended: No. 30 of 2021 s. 11.]</w:t>
      </w:r>
    </w:p>
    <w:p>
      <w:pPr>
        <w:pStyle w:val="Heading5"/>
      </w:pPr>
      <w:bookmarkStart w:id="45" w:name="_Toc188451067"/>
      <w:r>
        <w:rPr>
          <w:rStyle w:val="CharSectno"/>
        </w:rPr>
        <w:t>23B</w:t>
      </w:r>
      <w:r>
        <w:t>.</w:t>
      </w:r>
      <w:r>
        <w:tab/>
        <w:t>Third party involvement in employment claim, Commission’s powers to prevent etc.</w:t>
      </w:r>
      <w:bookmarkEnd w:id="4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lastRenderedPageBreak/>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6" w:name="_Toc188451068"/>
      <w:r>
        <w:rPr>
          <w:rStyle w:val="CharSectno"/>
        </w:rPr>
        <w:t>24</w:t>
      </w:r>
      <w:r>
        <w:rPr>
          <w:snapToGrid w:val="0"/>
        </w:rPr>
        <w:t>.</w:t>
      </w:r>
      <w:r>
        <w:rPr>
          <w:snapToGrid w:val="0"/>
        </w:rPr>
        <w:tab/>
        <w:t>Industrial matters, Commission may decide what are</w:t>
      </w:r>
      <w:bookmarkEnd w:id="46"/>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lastRenderedPageBreak/>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pPr>
      <w:bookmarkStart w:id="47" w:name="_Toc182398390"/>
      <w:bookmarkStart w:id="48" w:name="_Toc188451069"/>
      <w:r>
        <w:rPr>
          <w:rStyle w:val="CharSectno"/>
        </w:rPr>
        <w:t>24A</w:t>
      </w:r>
      <w:r>
        <w:t>.</w:t>
      </w:r>
      <w:r>
        <w:tab/>
        <w:t>Onus of proving individual is or was not employee</w:t>
      </w:r>
      <w:bookmarkEnd w:id="47"/>
      <w:bookmarkEnd w:id="48"/>
    </w:p>
    <w:p>
      <w:pPr>
        <w:pStyle w:val="Subsection"/>
      </w:pPr>
      <w:r>
        <w:tab/>
      </w:r>
      <w:r>
        <w:tab/>
        <w:t>If, in proceedings before the Commission, a party claims an individual who carries or carried out work for the party is or was not an employee of the party, it is for the party to prove the individual is or was not the party’s employee.</w:t>
      </w:r>
    </w:p>
    <w:p>
      <w:pPr>
        <w:pStyle w:val="Footnotesection"/>
      </w:pPr>
      <w:r>
        <w:tab/>
        <w:t>[Section 24A inserted: No. 43 of 2024 s. 11.]</w:t>
      </w:r>
    </w:p>
    <w:p>
      <w:pPr>
        <w:pStyle w:val="Heading5"/>
        <w:rPr>
          <w:snapToGrid w:val="0"/>
        </w:rPr>
      </w:pPr>
      <w:bookmarkStart w:id="49" w:name="_Toc188451070"/>
      <w:r>
        <w:rPr>
          <w:rStyle w:val="CharSectno"/>
        </w:rPr>
        <w:t>25</w:t>
      </w:r>
      <w:r>
        <w:rPr>
          <w:snapToGrid w:val="0"/>
        </w:rPr>
        <w:t>.</w:t>
      </w:r>
      <w:r>
        <w:rPr>
          <w:snapToGrid w:val="0"/>
        </w:rPr>
        <w:tab/>
        <w:t>Allocation of industrial matters by Chief Commissioner</w:t>
      </w:r>
      <w:bookmarkEnd w:id="49"/>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lastRenderedPageBreak/>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50" w:name="_Toc188451071"/>
      <w:r>
        <w:rPr>
          <w:rStyle w:val="CharSectno"/>
        </w:rPr>
        <w:t>26</w:t>
      </w:r>
      <w:r>
        <w:rPr>
          <w:snapToGrid w:val="0"/>
        </w:rPr>
        <w:t>.</w:t>
      </w:r>
      <w:r>
        <w:rPr>
          <w:snapToGrid w:val="0"/>
        </w:rPr>
        <w:tab/>
        <w:t>Commission to act according to equity and good conscience</w:t>
      </w:r>
      <w:bookmarkEnd w:id="50"/>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lastRenderedPageBreak/>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lastRenderedPageBreak/>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w:t>
      </w:r>
      <w:r>
        <w:lastRenderedPageBreak/>
        <w:t xml:space="preserve">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a public sector body;</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w:t>
      </w:r>
      <w:r>
        <w:lastRenderedPageBreak/>
        <w:t xml:space="preserve">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 No. 43 of 2024 s. 12.]</w:t>
      </w:r>
    </w:p>
    <w:p>
      <w:pPr>
        <w:pStyle w:val="Ednotesection"/>
        <w:ind w:left="890" w:hanging="890"/>
      </w:pPr>
      <w:r>
        <w:t>[</w:t>
      </w:r>
      <w:r>
        <w:rPr>
          <w:b/>
        </w:rPr>
        <w:t>26A.</w:t>
      </w:r>
      <w:r>
        <w:tab/>
        <w:t>Deleted: No. 20 of 2002 s. 111(6).]</w:t>
      </w:r>
    </w:p>
    <w:p>
      <w:pPr>
        <w:pStyle w:val="Heading5"/>
        <w:spacing w:before="240"/>
        <w:rPr>
          <w:snapToGrid w:val="0"/>
        </w:rPr>
      </w:pPr>
      <w:bookmarkStart w:id="51" w:name="_Toc188451072"/>
      <w:r>
        <w:rPr>
          <w:rStyle w:val="CharSectno"/>
        </w:rPr>
        <w:t>27</w:t>
      </w:r>
      <w:r>
        <w:rPr>
          <w:snapToGrid w:val="0"/>
        </w:rPr>
        <w:t>.</w:t>
      </w:r>
      <w:r>
        <w:rPr>
          <w:snapToGrid w:val="0"/>
        </w:rPr>
        <w:tab/>
        <w:t>Powers of Commission</w:t>
      </w:r>
      <w:bookmarkEnd w:id="51"/>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lastRenderedPageBreak/>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lastRenderedPageBreak/>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lastRenderedPageBreak/>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52" w:name="_Toc188451073"/>
      <w:r>
        <w:rPr>
          <w:rStyle w:val="CharSectno"/>
        </w:rPr>
        <w:t>28</w:t>
      </w:r>
      <w:r>
        <w:rPr>
          <w:snapToGrid w:val="0"/>
        </w:rPr>
        <w:t>.</w:t>
      </w:r>
      <w:r>
        <w:rPr>
          <w:snapToGrid w:val="0"/>
        </w:rPr>
        <w:tab/>
        <w:t>Powers in s. 27 may be exercised at any time after matter lodged</w:t>
      </w:r>
      <w:bookmarkEnd w:id="52"/>
    </w:p>
    <w:p>
      <w:pPr>
        <w:pStyle w:val="Subsection"/>
        <w:rPr>
          <w:snapToGrid w:val="0"/>
        </w:rPr>
      </w:pPr>
      <w:r>
        <w:rPr>
          <w:snapToGrid w:val="0"/>
        </w:rPr>
        <w:tab/>
      </w:r>
      <w:r>
        <w:rPr>
          <w:snapToGrid w:val="0"/>
        </w:rPr>
        <w:tab/>
        <w:t xml:space="preserve">The powers conferred on the Commission by section 27 may be exercised in relation to a matter at any time after the matter has </w:t>
      </w:r>
      <w:r>
        <w:rPr>
          <w:snapToGrid w:val="0"/>
        </w:rPr>
        <w:lastRenderedPageBreak/>
        <w:t>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 w:name="_Toc188451074"/>
      <w:r>
        <w:rPr>
          <w:rStyle w:val="CharSectno"/>
        </w:rPr>
        <w:t>29</w:t>
      </w:r>
      <w:r>
        <w:rPr>
          <w:snapToGrid w:val="0"/>
        </w:rPr>
        <w:t>.</w:t>
      </w:r>
      <w:r>
        <w:rPr>
          <w:snapToGrid w:val="0"/>
        </w:rPr>
        <w:tab/>
        <w:t>Who may refer industrial matters to Commission</w:t>
      </w:r>
      <w:bookmarkEnd w:id="53"/>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lastRenderedPageBreak/>
        <w:tab/>
        <w:t>(c)</w:t>
      </w:r>
      <w:r>
        <w:tab/>
        <w:t>in the case of a claim by an employee that the employee has been harshly, oppressively or unfairly dismissed 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in the case of a matter relating to the bullying of a worker at work — by the worker; and</w:t>
      </w:r>
    </w:p>
    <w:p>
      <w:pPr>
        <w:pStyle w:val="Indenta"/>
      </w:pPr>
      <w:r>
        <w:tab/>
        <w:t>(f)</w:t>
      </w:r>
      <w:r>
        <w:tab/>
        <w:t>in the case of a matter relating to the sexual harassment of a person in connection with work — by the person; and</w:t>
      </w:r>
    </w:p>
    <w:p>
      <w:pPr>
        <w:pStyle w:val="Indenta"/>
      </w:pPr>
      <w:r>
        <w:tab/>
        <w:t>(g)</w:t>
      </w:r>
      <w:r>
        <w:tab/>
        <w:t>in the case of a decision mentioned in section 36AA(2)(b) — by a public service officer; and</w:t>
      </w:r>
    </w:p>
    <w:p>
      <w:pPr>
        <w:pStyle w:val="Indenta"/>
      </w:pPr>
      <w:r>
        <w:tab/>
        <w:t>(h)</w:t>
      </w:r>
      <w:r>
        <w:tab/>
        <w:t>in the case of a claim relating to the reclassification of an office held by a government officer — by the government officer; and</w:t>
      </w:r>
    </w:p>
    <w:p>
      <w:pPr>
        <w:pStyle w:val="Indenta"/>
      </w:pPr>
      <w:r>
        <w:tab/>
        <w:t>(i)</w:t>
      </w:r>
      <w:r>
        <w:tab/>
        <w:t xml:space="preserve">in the case of an industrial matter under the </w:t>
      </w:r>
      <w:r>
        <w:rPr>
          <w:i/>
          <w:iCs/>
        </w:rPr>
        <w:t>Public Sector Management Act 1994</w:t>
      </w:r>
      <w:r>
        <w:t xml:space="preserve"> section 78 that is a decision or finding made in relation to an employee or former employee to which Part 5 of that Act applies — by the employee or former employee; and</w:t>
      </w:r>
    </w:p>
    <w:p>
      <w:pPr>
        <w:pStyle w:val="Indenta"/>
      </w:pPr>
      <w:r>
        <w:tab/>
        <w:t>(j)</w:t>
      </w:r>
      <w:r>
        <w:tab/>
        <w:t xml:space="preserve">in the case of an industrial matter under the </w:t>
      </w:r>
      <w:r>
        <w:rPr>
          <w:i/>
          <w:iCs/>
        </w:rPr>
        <w:t>Health Services Act 2016</w:t>
      </w:r>
      <w:r>
        <w:rPr>
          <w:iCs/>
        </w:rPr>
        <w:t xml:space="preserve"> section </w:t>
      </w:r>
      <w:r>
        <w:t>171 that is a decision or finding made in relation to an employee or former employee to which Part 11 of that Act applies — by the employee or former employee; and</w:t>
      </w:r>
    </w:p>
    <w:p>
      <w:pPr>
        <w:pStyle w:val="Indenta"/>
      </w:pPr>
      <w:r>
        <w:tab/>
        <w:t>(k)</w:t>
      </w:r>
      <w:r>
        <w:tab/>
        <w:t>in the case of an industrial matter relating to a flexible working arrangement dispute between an employer and an employee — by the employee.</w:t>
      </w:r>
    </w:p>
    <w:p>
      <w:pPr>
        <w:pStyle w:val="Subsection"/>
        <w:keepNext/>
      </w:pPr>
      <w:r>
        <w:lastRenderedPageBreak/>
        <w:tab/>
        <w:t>(1a)</w:t>
      </w:r>
      <w:r>
        <w:tab/>
        <w:t xml:space="preserve">A party to an </w:t>
      </w:r>
      <w:r>
        <w:rPr>
          <w:snapToGrid w:val="0"/>
        </w:rPr>
        <w:t>employer</w:t>
      </w:r>
      <w:r>
        <w:noBreakHyphen/>
        <w:t>employee agreement has the right to refer to the Commission constituted by a commissioner —</w:t>
      </w:r>
    </w:p>
    <w:p>
      <w:pPr>
        <w:pStyle w:val="Indenta"/>
        <w:spacing w:before="60"/>
      </w:pPr>
      <w:r>
        <w:tab/>
        <w:t>(a)</w:t>
      </w:r>
      <w:r>
        <w:tab/>
        <w:t>any question, dispute or difficulty that the Commission has jurisdiction to determine under section 97WI; or</w:t>
      </w:r>
    </w:p>
    <w:p>
      <w:pPr>
        <w:pStyle w:val="Indenta"/>
        <w:spacing w:before="60"/>
      </w:pPr>
      <w:r>
        <w:tab/>
        <w:t>(b)</w:t>
      </w:r>
      <w:r>
        <w:tab/>
        <w:t>an allegation referred to in section 97WK(2).</w:t>
      </w:r>
    </w:p>
    <w:p>
      <w:pPr>
        <w:pStyle w:val="Subsection"/>
      </w:pPr>
      <w:r>
        <w:tab/>
        <w:t>(2)</w:t>
      </w:r>
      <w:r>
        <w:tab/>
        <w:t xml:space="preserve">Subject to subsection (3) — </w:t>
      </w:r>
    </w:p>
    <w:p>
      <w:pPr>
        <w:pStyle w:val="Indenta"/>
      </w:pPr>
      <w:r>
        <w:tab/>
        <w:t>(a)</w:t>
      </w:r>
      <w:r>
        <w:tab/>
        <w:t>a referral under subsection (1)(c) must be made no later than 28 days after the day on which the employee’s employment is terminated; and</w:t>
      </w:r>
    </w:p>
    <w:p>
      <w:pPr>
        <w:pStyle w:val="Indenta"/>
      </w:pPr>
      <w:r>
        <w:tab/>
        <w:t>(b)</w:t>
      </w:r>
      <w:r>
        <w:tab/>
        <w:t>a referral relating to a decision mentioned in section 36AA(2)(b) must be made no later than 28 days after the day on which the decision is made; and</w:t>
      </w:r>
    </w:p>
    <w:p>
      <w:pPr>
        <w:pStyle w:val="Indenta"/>
      </w:pPr>
      <w:r>
        <w:tab/>
        <w:t>(c)</w:t>
      </w:r>
      <w:r>
        <w:tab/>
        <w:t xml:space="preserve">a referral relating to a decision or finding that is an industrial matter under the </w:t>
      </w:r>
      <w:r>
        <w:rPr>
          <w:i/>
          <w:iCs/>
        </w:rPr>
        <w:t>Public Sector Management Act 1994</w:t>
      </w:r>
      <w:r>
        <w:t xml:space="preserve"> section 78 or the </w:t>
      </w:r>
      <w:r>
        <w:rPr>
          <w:i/>
          <w:iCs/>
        </w:rPr>
        <w:t>Health Services Act 2016</w:t>
      </w:r>
      <w:r>
        <w:rPr>
          <w:iCs/>
        </w:rPr>
        <w:t xml:space="preserve"> section </w:t>
      </w:r>
      <w:r>
        <w:t>171 must be made no later than 28 days after the day on which the decision or finding is made.</w:t>
      </w:r>
    </w:p>
    <w:p>
      <w:pPr>
        <w:pStyle w:val="Subsection"/>
        <w:spacing w:before="120"/>
      </w:pPr>
      <w:r>
        <w:tab/>
        <w:t>(3)</w:t>
      </w:r>
      <w:r>
        <w:tab/>
        <w:t>The Commission may accept a referral that is out of time under subsection (2)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 13; No. 43 of 2024 s. 13.]</w:t>
      </w:r>
    </w:p>
    <w:p>
      <w:pPr>
        <w:pStyle w:val="Heading5"/>
      </w:pPr>
      <w:bookmarkStart w:id="54" w:name="_Toc188451075"/>
      <w:r>
        <w:rPr>
          <w:rStyle w:val="CharSectno"/>
        </w:rPr>
        <w:t>29AA</w:t>
      </w:r>
      <w:r>
        <w:t>.</w:t>
      </w:r>
      <w:r>
        <w:tab/>
        <w:t>Certain claims not to be determined</w:t>
      </w:r>
      <w:bookmarkEnd w:id="54"/>
    </w:p>
    <w:p>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pPr>
        <w:pStyle w:val="Subsection"/>
        <w:keepNext/>
        <w:spacing w:before="120"/>
      </w:pPr>
      <w:r>
        <w:lastRenderedPageBreak/>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lastRenderedPageBreak/>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 No. 30 of 2021 s. 75(1) and 77(13).]</w:t>
      </w:r>
    </w:p>
    <w:p>
      <w:pPr>
        <w:pStyle w:val="Heading5"/>
        <w:keepLines w:val="0"/>
        <w:rPr>
          <w:snapToGrid w:val="0"/>
        </w:rPr>
      </w:pPr>
      <w:bookmarkStart w:id="55" w:name="_Toc188451076"/>
      <w:r>
        <w:rPr>
          <w:rStyle w:val="CharSectno"/>
        </w:rPr>
        <w:t>29A</w:t>
      </w:r>
      <w:r>
        <w:rPr>
          <w:snapToGrid w:val="0"/>
        </w:rPr>
        <w:t>.</w:t>
      </w:r>
      <w:r>
        <w:rPr>
          <w:snapToGrid w:val="0"/>
        </w:rPr>
        <w:tab/>
        <w:t>Proposed award etc., service of etc.</w:t>
      </w:r>
      <w:bookmarkEnd w:id="55"/>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xml:space="preserve">, the </w:t>
      </w:r>
      <w:r>
        <w:t>Chamber</w:t>
      </w:r>
      <w:r>
        <w:rPr>
          <w:snapToGrid w:val="0"/>
        </w:rPr>
        <w:t xml:space="preserve"> and the Minister; and</w:t>
      </w:r>
    </w:p>
    <w:p>
      <w:pPr>
        <w:pStyle w:val="Indenti"/>
        <w:spacing w:before="70"/>
        <w:rPr>
          <w:snapToGrid w:val="0"/>
        </w:rPr>
      </w:pPr>
      <w:r>
        <w:rPr>
          <w:snapToGrid w:val="0"/>
        </w:rPr>
        <w:lastRenderedPageBreak/>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xml:space="preserve">, the </w:t>
      </w:r>
      <w:r>
        <w:t>Chamber</w:t>
      </w:r>
      <w:r>
        <w:rPr>
          <w:snapToGrid w:val="0"/>
        </w:rPr>
        <w:t xml:space="preserve">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lastRenderedPageBreak/>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 No. 43 of 2024 s. 91.]</w:t>
      </w:r>
    </w:p>
    <w:p>
      <w:pPr>
        <w:pStyle w:val="Heading5"/>
        <w:spacing w:before="240"/>
        <w:rPr>
          <w:snapToGrid w:val="0"/>
        </w:rPr>
      </w:pPr>
      <w:bookmarkStart w:id="56" w:name="_Toc188451077"/>
      <w:r>
        <w:rPr>
          <w:rStyle w:val="CharSectno"/>
        </w:rPr>
        <w:t>29B</w:t>
      </w:r>
      <w:r>
        <w:rPr>
          <w:snapToGrid w:val="0"/>
        </w:rPr>
        <w:t>.</w:t>
      </w:r>
      <w:r>
        <w:rPr>
          <w:snapToGrid w:val="0"/>
        </w:rPr>
        <w:tab/>
        <w:t>Parties to proceedings</w:t>
      </w:r>
      <w:bookmarkEnd w:id="56"/>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pPr>
      <w:bookmarkStart w:id="57" w:name="_Toc182398394"/>
      <w:bookmarkStart w:id="58" w:name="_Toc188451078"/>
      <w:r>
        <w:rPr>
          <w:rStyle w:val="CharSectno"/>
        </w:rPr>
        <w:t>29C</w:t>
      </w:r>
      <w:r>
        <w:t>.</w:t>
      </w:r>
      <w:r>
        <w:tab/>
        <w:t>Deciding which organisation to be party to award, order or industrial agreement relating to government officers</w:t>
      </w:r>
      <w:bookmarkEnd w:id="57"/>
      <w:bookmarkEnd w:id="58"/>
    </w:p>
    <w:p>
      <w:pPr>
        <w:pStyle w:val="Subsection"/>
      </w:pPr>
      <w:r>
        <w:tab/>
        <w:t>(1)</w:t>
      </w:r>
      <w:r>
        <w:tab/>
        <w:t xml:space="preserve">This section applies if — </w:t>
      </w:r>
    </w:p>
    <w:p>
      <w:pPr>
        <w:pStyle w:val="Indenta"/>
      </w:pPr>
      <w:r>
        <w:tab/>
        <w:t>(a)</w:t>
      </w:r>
      <w:r>
        <w:tab/>
        <w:t>the Commission is dealing with an industrial matter relating to a government officer or group of government officers; and</w:t>
      </w:r>
    </w:p>
    <w:p>
      <w:pPr>
        <w:pStyle w:val="Indenta"/>
      </w:pPr>
      <w:r>
        <w:tab/>
        <w:t>(b)</w:t>
      </w:r>
      <w:r>
        <w:tab/>
        <w:t xml:space="preserve">a question arises between 2 or more organisations as to which of them, or whether 1 of them, should — </w:t>
      </w:r>
    </w:p>
    <w:p>
      <w:pPr>
        <w:pStyle w:val="Indenti"/>
      </w:pPr>
      <w:r>
        <w:tab/>
        <w:t>(i)</w:t>
      </w:r>
      <w:r>
        <w:tab/>
        <w:t xml:space="preserve">be named as a party to an award or order; or </w:t>
      </w:r>
    </w:p>
    <w:p>
      <w:pPr>
        <w:pStyle w:val="Indenti"/>
      </w:pPr>
      <w:r>
        <w:tab/>
        <w:t>(ii)</w:t>
      </w:r>
      <w:r>
        <w:tab/>
        <w:t>become a party to an industrial agreement.</w:t>
      </w:r>
    </w:p>
    <w:p>
      <w:pPr>
        <w:pStyle w:val="Subsection"/>
      </w:pPr>
      <w:r>
        <w:lastRenderedPageBreak/>
        <w:tab/>
        <w:t>(2)</w:t>
      </w:r>
      <w:r>
        <w:tab/>
        <w:t xml:space="preserve">In deciding the question, the Commission must have regard to which organisations were a party to — </w:t>
      </w:r>
    </w:p>
    <w:p>
      <w:pPr>
        <w:pStyle w:val="Indenta"/>
      </w:pPr>
      <w:r>
        <w:tab/>
        <w:t>(a)</w:t>
      </w:r>
      <w:r>
        <w:tab/>
        <w:t xml:space="preserve">the awards, orders and industrial agreements that have previously covered the government officer or group of government officers; and </w:t>
      </w:r>
    </w:p>
    <w:p>
      <w:pPr>
        <w:pStyle w:val="Indenta"/>
      </w:pPr>
      <w:r>
        <w:tab/>
        <w:t>(b)</w:t>
      </w:r>
      <w:r>
        <w:tab/>
        <w:t>relevant unregistered industrial agreements.</w:t>
      </w:r>
    </w:p>
    <w:p>
      <w:pPr>
        <w:pStyle w:val="Footnotesection"/>
      </w:pPr>
      <w:r>
        <w:tab/>
        <w:t>[Section 29C inserted: No. 43 of 2024 s. 14.]</w:t>
      </w:r>
    </w:p>
    <w:p>
      <w:pPr>
        <w:pStyle w:val="Heading5"/>
        <w:rPr>
          <w:snapToGrid w:val="0"/>
        </w:rPr>
      </w:pPr>
      <w:bookmarkStart w:id="59" w:name="_Toc188451079"/>
      <w:r>
        <w:rPr>
          <w:rStyle w:val="CharSectno"/>
        </w:rPr>
        <w:t>30</w:t>
      </w:r>
      <w:r>
        <w:rPr>
          <w:snapToGrid w:val="0"/>
        </w:rPr>
        <w:t>.</w:t>
      </w:r>
      <w:r>
        <w:rPr>
          <w:snapToGrid w:val="0"/>
        </w:rPr>
        <w:tab/>
        <w:t>Minister may intervene on behalf of State</w:t>
      </w:r>
      <w:bookmarkEnd w:id="59"/>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60" w:name="_Toc188451080"/>
      <w:r>
        <w:rPr>
          <w:rStyle w:val="CharSectno"/>
        </w:rPr>
        <w:t>31</w:t>
      </w:r>
      <w:r>
        <w:rPr>
          <w:snapToGrid w:val="0"/>
        </w:rPr>
        <w:t>.</w:t>
      </w:r>
      <w:r>
        <w:rPr>
          <w:snapToGrid w:val="0"/>
        </w:rPr>
        <w:tab/>
        <w:t>Representation of parties to proceedings</w:t>
      </w:r>
      <w:bookmarkEnd w:id="6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keepNext/>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w:t>
      </w:r>
      <w:r>
        <w:t>Chamber</w:t>
      </w:r>
      <w:r>
        <w:rPr>
          <w:snapToGrid w:val="0"/>
        </w:rPr>
        <w:t xml:space="preserve">, the 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 xml:space="preserve">section 29(1)(c), (d), </w:t>
      </w:r>
      <w:r>
        <w:lastRenderedPageBreak/>
        <w:t>(e), (f), (g), (i) or (j)</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 No. 43 of 2024 s. 15 and 91.]</w:t>
      </w:r>
    </w:p>
    <w:p>
      <w:pPr>
        <w:pStyle w:val="Heading5"/>
        <w:rPr>
          <w:snapToGrid w:val="0"/>
        </w:rPr>
      </w:pPr>
      <w:bookmarkStart w:id="61" w:name="_Toc188451081"/>
      <w:r>
        <w:rPr>
          <w:rStyle w:val="CharSectno"/>
        </w:rPr>
        <w:t>32</w:t>
      </w:r>
      <w:r>
        <w:rPr>
          <w:snapToGrid w:val="0"/>
        </w:rPr>
        <w:t>.</w:t>
      </w:r>
      <w:r>
        <w:rPr>
          <w:snapToGrid w:val="0"/>
        </w:rPr>
        <w:tab/>
        <w:t>Conciliation and arbitration of industrial matters</w:t>
      </w:r>
      <w:bookmarkEnd w:id="61"/>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lastRenderedPageBreak/>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lastRenderedPageBreak/>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62" w:name="_Toc188451082"/>
      <w:r>
        <w:rPr>
          <w:rStyle w:val="CharSectno"/>
        </w:rPr>
        <w:t>32A</w:t>
      </w:r>
      <w:r>
        <w:t>.</w:t>
      </w:r>
      <w:r>
        <w:tab/>
        <w:t>Conciliation and arbitration functions of Commission are unlimited</w:t>
      </w:r>
      <w:bookmarkEnd w:id="62"/>
    </w:p>
    <w:p>
      <w:pPr>
        <w:pStyle w:val="Subsection"/>
        <w:spacing w:before="100"/>
      </w:pPr>
      <w:r>
        <w:tab/>
        <w:t>(1)</w:t>
      </w:r>
      <w:r>
        <w:tab/>
        <w:t>The functions of the Commission under this Act as to the resolution of matters by conciliation (</w:t>
      </w:r>
      <w:r>
        <w:rPr>
          <w:rStyle w:val="CharDefText"/>
        </w:rPr>
        <w:t>conciliation functions</w:t>
      </w:r>
      <w:r>
        <w:t xml:space="preserve">) </w:t>
      </w:r>
      <w:r>
        <w:lastRenderedPageBreak/>
        <w:t>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63" w:name="_Toc188451083"/>
      <w:r>
        <w:rPr>
          <w:rStyle w:val="CharSectno"/>
        </w:rPr>
        <w:t>33</w:t>
      </w:r>
      <w:r>
        <w:rPr>
          <w:snapToGrid w:val="0"/>
        </w:rPr>
        <w:t>.</w:t>
      </w:r>
      <w:r>
        <w:rPr>
          <w:snapToGrid w:val="0"/>
        </w:rPr>
        <w:tab/>
        <w:t>Evidence before Commission</w:t>
      </w:r>
      <w:bookmarkEnd w:id="6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lastRenderedPageBreak/>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lastRenderedPageBreak/>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pPr>
      <w:bookmarkStart w:id="64" w:name="_Toc182398397"/>
      <w:bookmarkStart w:id="65" w:name="_Toc188451084"/>
      <w:r>
        <w:rPr>
          <w:rStyle w:val="CharSectno"/>
        </w:rPr>
        <w:t>33A</w:t>
      </w:r>
      <w:r>
        <w:t>.</w:t>
      </w:r>
      <w:r>
        <w:tab/>
        <w:t>Misconduct before Commission</w:t>
      </w:r>
      <w:bookmarkEnd w:id="64"/>
      <w:bookmarkEnd w:id="65"/>
    </w:p>
    <w:p>
      <w:pPr>
        <w:pStyle w:val="Subsection"/>
      </w:pPr>
      <w:r>
        <w:tab/>
        <w:t>(1)</w:t>
      </w:r>
      <w:r>
        <w:tab/>
        <w:t>A person must not insult, obstruct or hinder a commissioner in the performance of the commissioner’s functions as a commissioner.</w:t>
      </w:r>
    </w:p>
    <w:p>
      <w:pPr>
        <w:pStyle w:val="Penstart"/>
      </w:pPr>
      <w:r>
        <w:tab/>
        <w:t>Penalty for this subsection: a fine of $10 000.</w:t>
      </w:r>
    </w:p>
    <w:p>
      <w:pPr>
        <w:pStyle w:val="Subsection"/>
      </w:pPr>
      <w:r>
        <w:tab/>
        <w:t>(2)</w:t>
      </w:r>
      <w:r>
        <w:tab/>
        <w:t>A person must not insult, obstruct or hinder a person attending a hearing before the Commission.</w:t>
      </w:r>
    </w:p>
    <w:p>
      <w:pPr>
        <w:pStyle w:val="Penstart"/>
      </w:pPr>
      <w:r>
        <w:tab/>
        <w:t>Penalty for this subsection: a fine of $10 000.</w:t>
      </w:r>
    </w:p>
    <w:p>
      <w:pPr>
        <w:pStyle w:val="Subsection"/>
      </w:pPr>
      <w:r>
        <w:tab/>
        <w:t>(3)</w:t>
      </w:r>
      <w:r>
        <w:tab/>
        <w:t>A person must not misbehave at, or interrupt, a hearing before the Commission.</w:t>
      </w:r>
    </w:p>
    <w:p>
      <w:pPr>
        <w:pStyle w:val="Penstart"/>
      </w:pPr>
      <w:r>
        <w:tab/>
        <w:t>Penalty for this subsection: a fine of $10 000.</w:t>
      </w:r>
    </w:p>
    <w:p>
      <w:pPr>
        <w:pStyle w:val="Subsection"/>
      </w:pPr>
      <w:r>
        <w:tab/>
        <w:t>(4)</w:t>
      </w:r>
      <w:r>
        <w:tab/>
        <w:t>A person must not obstruct or hinder a person from complying with an order of the Commission or a summons to attend the Commission.</w:t>
      </w:r>
    </w:p>
    <w:p>
      <w:pPr>
        <w:pStyle w:val="Penstart"/>
      </w:pPr>
      <w:r>
        <w:tab/>
        <w:t>Penalty for this subsection: a fine of $10 000.</w:t>
      </w:r>
    </w:p>
    <w:p>
      <w:pPr>
        <w:pStyle w:val="Subsection"/>
      </w:pPr>
      <w:r>
        <w:tab/>
        <w:t>(5)</w:t>
      </w:r>
      <w:r>
        <w:tab/>
        <w:t xml:space="preserve">A person must not use words, in writing or spoken, with the intention of — </w:t>
      </w:r>
    </w:p>
    <w:p>
      <w:pPr>
        <w:pStyle w:val="Indenta"/>
      </w:pPr>
      <w:r>
        <w:tab/>
        <w:t>(a)</w:t>
      </w:r>
      <w:r>
        <w:tab/>
        <w:t>improperly influencing a commissioner in the performance of the commissioner’s functions as a commissioner; or</w:t>
      </w:r>
    </w:p>
    <w:p>
      <w:pPr>
        <w:pStyle w:val="Indenta"/>
      </w:pPr>
      <w:r>
        <w:tab/>
        <w:t>(b)</w:t>
      </w:r>
      <w:r>
        <w:tab/>
        <w:t>improperly influencing a person attending a hearing before the Commission; or</w:t>
      </w:r>
    </w:p>
    <w:p>
      <w:pPr>
        <w:pStyle w:val="Indenta"/>
      </w:pPr>
      <w:r>
        <w:tab/>
        <w:t>(c)</w:t>
      </w:r>
      <w:r>
        <w:tab/>
        <w:t>damaging public confidence in the Commission or a commissioner.</w:t>
      </w:r>
    </w:p>
    <w:p>
      <w:pPr>
        <w:pStyle w:val="Penstart"/>
      </w:pPr>
      <w:r>
        <w:tab/>
        <w:t>Penalty for this subsection: a fine of $10 000.</w:t>
      </w:r>
    </w:p>
    <w:p>
      <w:pPr>
        <w:pStyle w:val="Footnotesection"/>
      </w:pPr>
      <w:r>
        <w:lastRenderedPageBreak/>
        <w:tab/>
        <w:t>[Section 33A inserted: No. 43 of 2024 s. 16.]</w:t>
      </w:r>
    </w:p>
    <w:p>
      <w:pPr>
        <w:pStyle w:val="Heading5"/>
        <w:rPr>
          <w:snapToGrid w:val="0"/>
        </w:rPr>
      </w:pPr>
      <w:bookmarkStart w:id="66" w:name="_Toc188451085"/>
      <w:r>
        <w:rPr>
          <w:rStyle w:val="CharSectno"/>
        </w:rPr>
        <w:t>34</w:t>
      </w:r>
      <w:r>
        <w:rPr>
          <w:snapToGrid w:val="0"/>
        </w:rPr>
        <w:t>.</w:t>
      </w:r>
      <w:r>
        <w:rPr>
          <w:snapToGrid w:val="0"/>
        </w:rPr>
        <w:tab/>
        <w:t>Decisions of Commission, form of and review of</w:t>
      </w:r>
      <w:bookmarkEnd w:id="66"/>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lastRenderedPageBreak/>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67" w:name="_Toc188451086"/>
      <w:r>
        <w:rPr>
          <w:rStyle w:val="CharSectno"/>
        </w:rPr>
        <w:t>35</w:t>
      </w:r>
      <w:r>
        <w:rPr>
          <w:snapToGrid w:val="0"/>
        </w:rPr>
        <w:t>.</w:t>
      </w:r>
      <w:r>
        <w:rPr>
          <w:snapToGrid w:val="0"/>
        </w:rPr>
        <w:tab/>
        <w:t>Decision to be first drawn up as minutes</w:t>
      </w:r>
      <w:bookmarkEnd w:id="67"/>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68" w:name="_Toc188451087"/>
      <w:r>
        <w:rPr>
          <w:rStyle w:val="CharSectno"/>
        </w:rPr>
        <w:t>36</w:t>
      </w:r>
      <w:r>
        <w:t>.</w:t>
      </w:r>
      <w:r>
        <w:tab/>
        <w:t>Copy of decision must be given to parties and be available for inspection</w:t>
      </w:r>
      <w:bookmarkEnd w:id="68"/>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9" w:name="_Toc182397771"/>
      <w:bookmarkStart w:id="70" w:name="_Toc182398085"/>
      <w:bookmarkStart w:id="71" w:name="_Toc182398399"/>
      <w:bookmarkStart w:id="72" w:name="_Toc188271448"/>
      <w:bookmarkStart w:id="73" w:name="_Toc188451088"/>
      <w:bookmarkStart w:id="74" w:name="_Toc187907244"/>
      <w:r>
        <w:rPr>
          <w:rStyle w:val="CharDivNo"/>
        </w:rPr>
        <w:t>Division 2AA</w:t>
      </w:r>
      <w:r>
        <w:t> — </w:t>
      </w:r>
      <w:r>
        <w:rPr>
          <w:rStyle w:val="CharDivText"/>
        </w:rPr>
        <w:t>Certain industrial matters relating to public sector employment</w:t>
      </w:r>
      <w:bookmarkEnd w:id="69"/>
      <w:bookmarkEnd w:id="70"/>
      <w:bookmarkEnd w:id="71"/>
      <w:bookmarkEnd w:id="72"/>
      <w:bookmarkEnd w:id="73"/>
    </w:p>
    <w:p>
      <w:pPr>
        <w:pStyle w:val="Footnoteheading"/>
      </w:pPr>
      <w:r>
        <w:tab/>
        <w:t>[Heading inserted: No. 43 of 2024 s. 17.]</w:t>
      </w:r>
    </w:p>
    <w:p>
      <w:pPr>
        <w:pStyle w:val="Heading4"/>
      </w:pPr>
      <w:bookmarkStart w:id="75" w:name="_Toc182397772"/>
      <w:bookmarkStart w:id="76" w:name="_Toc182398086"/>
      <w:bookmarkStart w:id="77" w:name="_Toc182398400"/>
      <w:bookmarkStart w:id="78" w:name="_Toc188271449"/>
      <w:bookmarkStart w:id="79" w:name="_Toc188451089"/>
      <w:r>
        <w:t>Subdivision 1 — Preliminary</w:t>
      </w:r>
      <w:bookmarkEnd w:id="75"/>
      <w:bookmarkEnd w:id="76"/>
      <w:bookmarkEnd w:id="77"/>
      <w:bookmarkEnd w:id="78"/>
      <w:bookmarkEnd w:id="79"/>
    </w:p>
    <w:p>
      <w:pPr>
        <w:pStyle w:val="Footnoteheading"/>
      </w:pPr>
      <w:r>
        <w:tab/>
        <w:t>[Heading inserted: No. 43 of 2024 s. 17.]</w:t>
      </w:r>
    </w:p>
    <w:p>
      <w:pPr>
        <w:pStyle w:val="Heading5"/>
      </w:pPr>
      <w:bookmarkStart w:id="80" w:name="_Toc182398401"/>
      <w:bookmarkStart w:id="81" w:name="_Toc188451090"/>
      <w:r>
        <w:rPr>
          <w:rStyle w:val="CharSectno"/>
        </w:rPr>
        <w:t>36AA</w:t>
      </w:r>
      <w:r>
        <w:t>.</w:t>
      </w:r>
      <w:r>
        <w:tab/>
        <w:t>Industrial matters relating to public sector employment</w:t>
      </w:r>
      <w:bookmarkEnd w:id="80"/>
      <w:bookmarkEnd w:id="81"/>
    </w:p>
    <w:p>
      <w:pPr>
        <w:pStyle w:val="Subsection"/>
      </w:pPr>
      <w:r>
        <w:tab/>
        <w:t>(1)</w:t>
      </w:r>
      <w:r>
        <w:tab/>
        <w:t xml:space="preserve">In this section — </w:t>
      </w:r>
    </w:p>
    <w:p>
      <w:pPr>
        <w:pStyle w:val="Defstart"/>
      </w:pPr>
      <w:r>
        <w:tab/>
      </w:r>
      <w:r>
        <w:rPr>
          <w:rStyle w:val="CharDefText"/>
        </w:rPr>
        <w:t>conditions of service provision</w:t>
      </w:r>
      <w:r>
        <w:t xml:space="preserve"> means a provision of the </w:t>
      </w:r>
      <w:r>
        <w:rPr>
          <w:i/>
        </w:rPr>
        <w:t>Public Sector Management Act 1994</w:t>
      </w:r>
      <w:r>
        <w:t xml:space="preserve"> relating to the conditions of </w:t>
      </w:r>
      <w:r>
        <w:lastRenderedPageBreak/>
        <w:t>service of public service officers, other than the salaries and allowances of public service officers.</w:t>
      </w:r>
    </w:p>
    <w:p>
      <w:pPr>
        <w:pStyle w:val="Subsection"/>
      </w:pPr>
      <w:r>
        <w:tab/>
        <w:t>(2)</w:t>
      </w:r>
      <w:r>
        <w:tab/>
        <w:t xml:space="preserve">The industrial matters the Commission has jurisdiction to enquire into and deal with under section 23 include the following — </w:t>
      </w:r>
    </w:p>
    <w:p>
      <w:pPr>
        <w:pStyle w:val="Indenta"/>
      </w:pPr>
      <w:r>
        <w:tab/>
        <w:t>(a)</w:t>
      </w:r>
      <w:r>
        <w:tab/>
        <w:t>an industrial matter relating to a government officer, a group of government officers or government officers generally;</w:t>
      </w:r>
    </w:p>
    <w:p>
      <w:pPr>
        <w:pStyle w:val="Indenta"/>
        <w:rPr>
          <w:iCs/>
        </w:rPr>
      </w:pPr>
      <w:r>
        <w:tab/>
        <w:t>(b)</w:t>
      </w:r>
      <w:r>
        <w:tab/>
        <w:t>a decision of an employing authority of a public service officer relating to the interpretation of a conditions of service provision</w:t>
      </w:r>
      <w:r>
        <w:rPr>
          <w:iCs/>
        </w:rPr>
        <w:t>;</w:t>
      </w:r>
    </w:p>
    <w:p>
      <w:pPr>
        <w:pStyle w:val="Indenta"/>
      </w:pPr>
      <w:r>
        <w:rPr>
          <w:iCs/>
        </w:rPr>
        <w:tab/>
        <w:t>(c)</w:t>
      </w:r>
      <w:r>
        <w:rPr>
          <w:iCs/>
        </w:rPr>
        <w:tab/>
        <w:t xml:space="preserve">a decision or finding that is an industrial matter under </w:t>
      </w:r>
      <w:r>
        <w:t xml:space="preserve">the </w:t>
      </w:r>
      <w:r>
        <w:rPr>
          <w:i/>
          <w:iCs/>
        </w:rPr>
        <w:t>Public Sector Management Act 1994</w:t>
      </w:r>
      <w:r>
        <w:t xml:space="preserve"> section 78 or the </w:t>
      </w:r>
      <w:r>
        <w:rPr>
          <w:i/>
          <w:iCs/>
        </w:rPr>
        <w:t>Health Services Act 2016</w:t>
      </w:r>
      <w:r>
        <w:t xml:space="preserve"> section 171.</w:t>
      </w:r>
    </w:p>
    <w:p>
      <w:pPr>
        <w:pStyle w:val="Subsection"/>
      </w:pPr>
      <w:r>
        <w:tab/>
        <w:t>(3)</w:t>
      </w:r>
      <w:r>
        <w:tab/>
        <w:t xml:space="preserve">Without limiting subsection (2)(a), the industrial matters relating to government officers mentioned in that subsection include — </w:t>
      </w:r>
    </w:p>
    <w:p>
      <w:pPr>
        <w:pStyle w:val="Indenta"/>
      </w:pPr>
      <w:r>
        <w:tab/>
        <w:t>(a)</w:t>
      </w:r>
      <w:r>
        <w:tab/>
        <w:t>a claim relating to the reclassification of an office held by a government officer; and</w:t>
      </w:r>
    </w:p>
    <w:p>
      <w:pPr>
        <w:pStyle w:val="Indenta"/>
      </w:pPr>
      <w:r>
        <w:tab/>
        <w:t>(b)</w:t>
      </w:r>
      <w:r>
        <w:tab/>
        <w:t>a claim relating to a decision of an employer to downgrade an office usually held by a government officer that is vacant.</w:t>
      </w:r>
    </w:p>
    <w:p>
      <w:pPr>
        <w:pStyle w:val="Footnotesection"/>
      </w:pPr>
      <w:r>
        <w:tab/>
        <w:t>[Section 36AA inserted: No. 43 of 2024 s. 17.]</w:t>
      </w:r>
    </w:p>
    <w:p>
      <w:pPr>
        <w:pStyle w:val="Heading4"/>
      </w:pPr>
      <w:bookmarkStart w:id="82" w:name="_Toc182397774"/>
      <w:bookmarkStart w:id="83" w:name="_Toc182398088"/>
      <w:bookmarkStart w:id="84" w:name="_Toc182398402"/>
      <w:bookmarkStart w:id="85" w:name="_Toc188271451"/>
      <w:bookmarkStart w:id="86" w:name="_Toc188451091"/>
      <w:r>
        <w:t>Subdivision 2 — Certain industrial matters relating to government officers</w:t>
      </w:r>
      <w:bookmarkEnd w:id="82"/>
      <w:bookmarkEnd w:id="83"/>
      <w:bookmarkEnd w:id="84"/>
      <w:bookmarkEnd w:id="85"/>
      <w:bookmarkEnd w:id="86"/>
    </w:p>
    <w:p>
      <w:pPr>
        <w:pStyle w:val="Footnoteheading"/>
      </w:pPr>
      <w:r>
        <w:tab/>
        <w:t>[Heading inserted: No. 43 of 2024 s. 17.]</w:t>
      </w:r>
    </w:p>
    <w:p>
      <w:pPr>
        <w:pStyle w:val="Heading5"/>
      </w:pPr>
      <w:bookmarkStart w:id="87" w:name="_Toc182398403"/>
      <w:bookmarkStart w:id="88" w:name="_Toc188451092"/>
      <w:r>
        <w:rPr>
          <w:rStyle w:val="CharSectno"/>
        </w:rPr>
        <w:t>36AB</w:t>
      </w:r>
      <w:r>
        <w:t>.</w:t>
      </w:r>
      <w:r>
        <w:tab/>
        <w:t>Meaning of government officer</w:t>
      </w:r>
      <w:bookmarkEnd w:id="87"/>
      <w:bookmarkEnd w:id="88"/>
    </w:p>
    <w:p>
      <w:pPr>
        <w:pStyle w:val="Subsection"/>
      </w:pPr>
      <w:r>
        <w:tab/>
        <w:t>(1)</w:t>
      </w:r>
      <w:r>
        <w:tab/>
        <w:t xml:space="preserve">Each of the following is a </w:t>
      </w:r>
      <w:r>
        <w:rPr>
          <w:rStyle w:val="CharDefText"/>
        </w:rPr>
        <w:t>government officer</w:t>
      </w:r>
      <w:r>
        <w:t xml:space="preserve"> — </w:t>
      </w:r>
    </w:p>
    <w:p>
      <w:pPr>
        <w:pStyle w:val="Indenta"/>
      </w:pPr>
      <w:r>
        <w:tab/>
        <w:t>(a)</w:t>
      </w:r>
      <w:r>
        <w:tab/>
        <w:t>a public service officer;</w:t>
      </w:r>
    </w:p>
    <w:p>
      <w:pPr>
        <w:pStyle w:val="Indenta"/>
        <w:rPr>
          <w:iCs/>
        </w:rPr>
      </w:pPr>
      <w:r>
        <w:lastRenderedPageBreak/>
        <w:tab/>
        <w:t>(b)</w:t>
      </w:r>
      <w:r>
        <w:tab/>
        <w:t xml:space="preserve">a member of the Governor’s Establishment as defined in the </w:t>
      </w:r>
      <w:r>
        <w:rPr>
          <w:i/>
        </w:rPr>
        <w:t>Governor’s Establishment Act 1992</w:t>
      </w:r>
      <w:r>
        <w:rPr>
          <w:iCs/>
        </w:rPr>
        <w:t xml:space="preserve"> section 3;</w:t>
      </w:r>
    </w:p>
    <w:p>
      <w:pPr>
        <w:pStyle w:val="Indenta"/>
      </w:pPr>
      <w:r>
        <w:rPr>
          <w:iCs/>
        </w:rPr>
        <w:tab/>
        <w:t>(c)</w:t>
      </w:r>
      <w:r>
        <w:rPr>
          <w:iCs/>
        </w:rPr>
        <w:tab/>
        <w:t xml:space="preserve">a person employed as a member of a department of the staff of Parliament under the </w:t>
      </w:r>
      <w:r>
        <w:rPr>
          <w:i/>
          <w:iCs/>
        </w:rPr>
        <w:t>Parliamentary and Electorate Staff (Employment) Act 1992</w:t>
      </w:r>
      <w:r>
        <w:t>;</w:t>
      </w:r>
    </w:p>
    <w:p>
      <w:pPr>
        <w:pStyle w:val="Indenta"/>
      </w:pPr>
      <w:r>
        <w:tab/>
        <w:t>(d)</w:t>
      </w:r>
      <w:r>
        <w:tab/>
      </w:r>
      <w:r>
        <w:rPr>
          <w:iCs/>
        </w:rPr>
        <w:t xml:space="preserve">an electorate officer as defined in the </w:t>
      </w:r>
      <w:r>
        <w:rPr>
          <w:i/>
          <w:iCs/>
        </w:rPr>
        <w:t>Parliamentary and Electorate Staff (Employment) Act 1992</w:t>
      </w:r>
      <w:r>
        <w:t xml:space="preserve"> section 3(1);</w:t>
      </w:r>
    </w:p>
    <w:p>
      <w:pPr>
        <w:pStyle w:val="Indenta"/>
      </w:pPr>
      <w:r>
        <w:tab/>
        <w:t>(e)</w:t>
      </w:r>
      <w:r>
        <w:tab/>
        <w:t>another person employed on the salaried staff of a public authority.</w:t>
      </w:r>
    </w:p>
    <w:p>
      <w:pPr>
        <w:pStyle w:val="Subsection"/>
      </w:pPr>
      <w:r>
        <w:tab/>
        <w:t>(2)</w:t>
      </w:r>
      <w:r>
        <w:tab/>
        <w:t xml:space="preserve">Each of the following is not a </w:t>
      </w:r>
      <w:r>
        <w:rPr>
          <w:rStyle w:val="CharDefText"/>
        </w:rPr>
        <w:t>government officer</w:t>
      </w:r>
      <w:r>
        <w:t> —</w:t>
      </w:r>
    </w:p>
    <w:p>
      <w:pPr>
        <w:pStyle w:val="Indenta"/>
      </w:pPr>
      <w:r>
        <w:rPr>
          <w:iCs/>
        </w:rPr>
        <w:tab/>
        <w:t>(a)</w:t>
      </w:r>
      <w:r>
        <w:rPr>
          <w:iCs/>
        </w:rPr>
        <w:tab/>
        <w:t>a teacher;</w:t>
      </w:r>
    </w:p>
    <w:p>
      <w:pPr>
        <w:pStyle w:val="Indenta"/>
      </w:pPr>
      <w:r>
        <w:tab/>
        <w:t>(b)</w:t>
      </w:r>
      <w:r>
        <w:tab/>
        <w:t>a member of the academic staff of a post</w:t>
      </w:r>
      <w:r>
        <w:noBreakHyphen/>
        <w:t>secondary education institution;</w:t>
      </w:r>
    </w:p>
    <w:p>
      <w:pPr>
        <w:pStyle w:val="Indenta"/>
      </w:pPr>
      <w:r>
        <w:tab/>
        <w:t>(c)</w:t>
      </w:r>
      <w:r>
        <w:tab/>
        <w:t>a person who holds an office for which the remuneration payable is —</w:t>
      </w:r>
    </w:p>
    <w:p>
      <w:pPr>
        <w:pStyle w:val="Indenti"/>
      </w:pPr>
      <w:r>
        <w:tab/>
        <w:t>(i)</w:t>
      </w:r>
      <w:r>
        <w:tab/>
        <w:t xml:space="preserve">determined or recommended under the </w:t>
      </w:r>
      <w:r>
        <w:rPr>
          <w:i/>
        </w:rPr>
        <w:t>Salaries and Allowances Act 1975</w:t>
      </w:r>
      <w:r>
        <w:rPr>
          <w:iCs/>
        </w:rPr>
        <w:t>; or</w:t>
      </w:r>
    </w:p>
    <w:p>
      <w:pPr>
        <w:pStyle w:val="Indenti"/>
      </w:pPr>
      <w:r>
        <w:tab/>
        <w:t>(ii)</w:t>
      </w:r>
      <w:r>
        <w:tab/>
        <w:t xml:space="preserve">determined by an Act to be at a fixed rate; or </w:t>
      </w:r>
    </w:p>
    <w:p>
      <w:pPr>
        <w:pStyle w:val="Indenti"/>
      </w:pPr>
      <w:r>
        <w:tab/>
        <w:t>(iii)</w:t>
      </w:r>
      <w:r>
        <w:tab/>
        <w:t>determined by the Governor under an Act.</w:t>
      </w:r>
    </w:p>
    <w:p>
      <w:pPr>
        <w:pStyle w:val="Subsection"/>
      </w:pPr>
      <w:r>
        <w:tab/>
        <w:t>(3)</w:t>
      </w:r>
      <w:r>
        <w:tab/>
        <w:t xml:space="preserve">In subsection (2)(a) — </w:t>
      </w:r>
    </w:p>
    <w:p>
      <w:pPr>
        <w:pStyle w:val="Defstart"/>
      </w:pPr>
      <w:r>
        <w:tab/>
      </w:r>
      <w:r>
        <w:rPr>
          <w:rStyle w:val="CharDefText"/>
        </w:rPr>
        <w:t>teacher</w:t>
      </w:r>
      <w:r>
        <w:t xml:space="preserve"> — </w:t>
      </w:r>
    </w:p>
    <w:p>
      <w:pPr>
        <w:pStyle w:val="Defpara"/>
      </w:pPr>
      <w:r>
        <w:tab/>
        <w:t>(a)</w:t>
      </w:r>
      <w:r>
        <w:tab/>
        <w:t>includes a person employed —</w:t>
      </w:r>
    </w:p>
    <w:p>
      <w:pPr>
        <w:pStyle w:val="Defsubpara"/>
      </w:pPr>
      <w:r>
        <w:tab/>
        <w:t>(i)</w:t>
      </w:r>
      <w:r>
        <w:tab/>
        <w:t xml:space="preserve">as a member of the teaching staff referred to in the </w:t>
      </w:r>
      <w:r>
        <w:rPr>
          <w:i/>
        </w:rPr>
        <w:t>School Education Act 1999</w:t>
      </w:r>
      <w:r>
        <w:t xml:space="preserve"> section 235(1)(b); or</w:t>
      </w:r>
    </w:p>
    <w:p>
      <w:pPr>
        <w:pStyle w:val="Defsubpara"/>
      </w:pPr>
      <w:r>
        <w:tab/>
        <w:t>(ii)</w:t>
      </w:r>
      <w:r>
        <w:tab/>
        <w:t xml:space="preserve">at a community kindergarten registered under the </w:t>
      </w:r>
      <w:r>
        <w:rPr>
          <w:i/>
        </w:rPr>
        <w:t>School Education Act 1999</w:t>
      </w:r>
      <w:r>
        <w:t xml:space="preserve"> Part 5 as a member of the teaching staff or another person engaged under section 236(2) of that Act;</w:t>
      </w:r>
    </w:p>
    <w:p>
      <w:pPr>
        <w:pStyle w:val="Defpara"/>
      </w:pPr>
      <w:r>
        <w:tab/>
      </w:r>
      <w:r>
        <w:tab/>
        <w:t>but</w:t>
      </w:r>
    </w:p>
    <w:p>
      <w:pPr>
        <w:pStyle w:val="Defpara"/>
      </w:pPr>
      <w:r>
        <w:lastRenderedPageBreak/>
        <w:tab/>
        <w:t>(b)</w:t>
      </w:r>
      <w:r>
        <w:tab/>
        <w:t>does not include a public service officer, whether or not the officer holds or acts in a position that requires a teaching academic qualification.</w:t>
      </w:r>
    </w:p>
    <w:p>
      <w:pPr>
        <w:pStyle w:val="PermNoteHeading"/>
      </w:pPr>
      <w:r>
        <w:tab/>
        <w:t>Note for this definition:</w:t>
      </w:r>
    </w:p>
    <w:p>
      <w:pPr>
        <w:pStyle w:val="PermNoteText"/>
      </w:pPr>
      <w:r>
        <w:tab/>
      </w:r>
      <w:r>
        <w:tab/>
        <w:t>For the purposes of paragraph (b), a public service officer mentioned in that paragraph is a government officer under subsection (1)(a).</w:t>
      </w:r>
    </w:p>
    <w:p>
      <w:pPr>
        <w:pStyle w:val="Footnotesection"/>
      </w:pPr>
      <w:r>
        <w:tab/>
        <w:t>[Section 36AB inserted: No. 43 of 2024 s. 17.]</w:t>
      </w:r>
    </w:p>
    <w:p>
      <w:pPr>
        <w:pStyle w:val="Heading5"/>
      </w:pPr>
      <w:bookmarkStart w:id="89" w:name="_Toc182398404"/>
      <w:bookmarkStart w:id="90" w:name="_Toc188451093"/>
      <w:r>
        <w:rPr>
          <w:rStyle w:val="CharSectno"/>
        </w:rPr>
        <w:t>36AC</w:t>
      </w:r>
      <w:r>
        <w:t>.</w:t>
      </w:r>
      <w:r>
        <w:tab/>
        <w:t>Commission’s additional power of review for industrial matters relating to government officers</w:t>
      </w:r>
      <w:bookmarkEnd w:id="89"/>
      <w:bookmarkEnd w:id="90"/>
    </w:p>
    <w:p>
      <w:pPr>
        <w:pStyle w:val="Subsection"/>
      </w:pPr>
      <w:r>
        <w:tab/>
        <w:t>(1)</w:t>
      </w:r>
      <w:r>
        <w:tab/>
        <w:t>This section applies if an industrial matter relating to a government officer, a group of government officers or government officers generally is referred to the Commission.</w:t>
      </w:r>
    </w:p>
    <w:p>
      <w:pPr>
        <w:pStyle w:val="Subsection"/>
      </w:pPr>
      <w:r>
        <w:tab/>
        <w:t>(2)</w:t>
      </w:r>
      <w:r>
        <w:tab/>
        <w:t xml:space="preserve">In exercising its jurisdiction in relation to the matter, the Commission may also, to the extent necessary to deal with the matter — </w:t>
      </w:r>
    </w:p>
    <w:p>
      <w:pPr>
        <w:pStyle w:val="Indenta"/>
      </w:pPr>
      <w:r>
        <w:tab/>
        <w:t>(a)</w:t>
      </w:r>
      <w:r>
        <w:tab/>
        <w:t>review anything done by an employer in exercising a power in relation to a government officer or an office administered by the employer; and</w:t>
      </w:r>
    </w:p>
    <w:p>
      <w:pPr>
        <w:pStyle w:val="Indenta"/>
      </w:pPr>
      <w:r>
        <w:tab/>
        <w:t>(b)</w:t>
      </w:r>
      <w:r>
        <w:tab/>
        <w:t>by order, confirm, vary or set aside the thing done by the employer.</w:t>
      </w:r>
    </w:p>
    <w:p>
      <w:pPr>
        <w:pStyle w:val="Subsection"/>
      </w:pPr>
      <w:r>
        <w:tab/>
        <w:t>(3)</w:t>
      </w:r>
      <w:r>
        <w:tab/>
        <w:t xml:space="preserve">The additional jurisdiction conferred on the Commission under subsection (2) does not apply to the exercise of a power that is — </w:t>
      </w:r>
    </w:p>
    <w:p>
      <w:pPr>
        <w:pStyle w:val="Indenta"/>
      </w:pPr>
      <w:r>
        <w:tab/>
        <w:t>(a)</w:t>
      </w:r>
      <w:r>
        <w:tab/>
        <w:t>a decision or finding that may be the subject of a referral to the Commission under section 36AA(2)(b) or (c); or</w:t>
      </w:r>
    </w:p>
    <w:p>
      <w:pPr>
        <w:pStyle w:val="Indenta"/>
      </w:pPr>
      <w:r>
        <w:tab/>
        <w:t>(b)</w:t>
      </w:r>
      <w:r>
        <w:tab/>
        <w:t>the dismissal of a government officer from the officer’s employment.</w:t>
      </w:r>
    </w:p>
    <w:p>
      <w:pPr>
        <w:pStyle w:val="Footnotesection"/>
      </w:pPr>
      <w:r>
        <w:tab/>
        <w:t>[Section 36AC inserted: No. 43 of 2024 s. 17.]</w:t>
      </w:r>
    </w:p>
    <w:p>
      <w:pPr>
        <w:pStyle w:val="Heading5"/>
      </w:pPr>
      <w:bookmarkStart w:id="91" w:name="_Toc182398405"/>
      <w:bookmarkStart w:id="92" w:name="_Toc188451094"/>
      <w:r>
        <w:rPr>
          <w:rStyle w:val="CharSectno"/>
        </w:rPr>
        <w:lastRenderedPageBreak/>
        <w:t>36AD</w:t>
      </w:r>
      <w:r>
        <w:t>.</w:t>
      </w:r>
      <w:r>
        <w:tab/>
        <w:t>Effective date of reclassification decision</w:t>
      </w:r>
      <w:bookmarkEnd w:id="91"/>
      <w:bookmarkEnd w:id="92"/>
    </w:p>
    <w:p>
      <w:pPr>
        <w:pStyle w:val="Subsection"/>
        <w:keepNext/>
      </w:pPr>
      <w:r>
        <w:tab/>
        <w:t>(1)</w:t>
      </w:r>
      <w:r>
        <w:tab/>
        <w:t xml:space="preserve">In this section — </w:t>
      </w:r>
    </w:p>
    <w:p>
      <w:pPr>
        <w:pStyle w:val="Defstart"/>
      </w:pPr>
      <w:r>
        <w:tab/>
      </w:r>
      <w:r>
        <w:rPr>
          <w:rStyle w:val="CharDefText"/>
        </w:rPr>
        <w:t>reclassification</w:t>
      </w:r>
      <w:r>
        <w:t xml:space="preserve">, of an office held by a government officer, means — </w:t>
      </w:r>
    </w:p>
    <w:p>
      <w:pPr>
        <w:pStyle w:val="Defpara"/>
      </w:pPr>
      <w:r>
        <w:tab/>
        <w:t>(a)</w:t>
      </w:r>
      <w:r>
        <w:tab/>
        <w:t>a determination of the salary, range of salary or title allocated to the office; or</w:t>
      </w:r>
    </w:p>
    <w:p>
      <w:pPr>
        <w:pStyle w:val="Defpara"/>
      </w:pPr>
      <w:r>
        <w:tab/>
        <w:t>(b)</w:t>
      </w:r>
      <w:r>
        <w:tab/>
        <w:t>a determination, within the range of salary allocated to the office, of the salary of the officer who holds the office.</w:t>
      </w:r>
    </w:p>
    <w:p>
      <w:pPr>
        <w:pStyle w:val="Subsection"/>
      </w:pPr>
      <w:r>
        <w:tab/>
        <w:t>(2)</w:t>
      </w:r>
      <w:r>
        <w:tab/>
        <w:t>This section applies if the Commission decides a claim relating to the reclassification of an office in favour of the government officer who holds the office.</w:t>
      </w:r>
    </w:p>
    <w:p>
      <w:pPr>
        <w:pStyle w:val="Subsection"/>
      </w:pPr>
      <w:r>
        <w:tab/>
        <w:t>(3)</w:t>
      </w:r>
      <w:r>
        <w:tab/>
        <w:t xml:space="preserve">The Commission may order that the decision takes effect — </w:t>
      </w:r>
    </w:p>
    <w:p>
      <w:pPr>
        <w:pStyle w:val="Indenta"/>
      </w:pPr>
      <w:r>
        <w:tab/>
        <w:t>(a)</w:t>
      </w:r>
      <w:r>
        <w:tab/>
        <w:t>on the day on which it is made; or</w:t>
      </w:r>
    </w:p>
    <w:p>
      <w:pPr>
        <w:pStyle w:val="Indenta"/>
      </w:pPr>
      <w:r>
        <w:tab/>
        <w:t>(b)</w:t>
      </w:r>
      <w:r>
        <w:tab/>
        <w:t>on an earlier day, but not earlier than the day on which the government officer applied to the officer’s employer for the reclassification the subject of the claim.</w:t>
      </w:r>
    </w:p>
    <w:p>
      <w:pPr>
        <w:pStyle w:val="Subsection"/>
      </w:pPr>
      <w:r>
        <w:tab/>
        <w:t>(4)</w:t>
      </w:r>
      <w:r>
        <w:tab/>
        <w:t>For the purposes of subsection (3)(b), a government officer is taken to have applied for reclassification of an office when the officer provides the officer’s employer with sufficient information for the employer to make a decision about the reclassification applied for.</w:t>
      </w:r>
    </w:p>
    <w:p>
      <w:pPr>
        <w:pStyle w:val="Footnotesection"/>
      </w:pPr>
      <w:r>
        <w:tab/>
        <w:t>[Section 36AD inserted: No. 43 of 2024 s. 17.]</w:t>
      </w:r>
    </w:p>
    <w:p>
      <w:pPr>
        <w:pStyle w:val="Heading5"/>
      </w:pPr>
      <w:bookmarkStart w:id="93" w:name="_Toc182398406"/>
      <w:bookmarkStart w:id="94" w:name="_Toc188451095"/>
      <w:r>
        <w:rPr>
          <w:rStyle w:val="CharSectno"/>
        </w:rPr>
        <w:t>36AE</w:t>
      </w:r>
      <w:r>
        <w:t>.</w:t>
      </w:r>
      <w:r>
        <w:tab/>
        <w:t>No appeal from certain decisions relating to government officers</w:t>
      </w:r>
      <w:bookmarkEnd w:id="93"/>
      <w:bookmarkEnd w:id="94"/>
    </w:p>
    <w:p>
      <w:pPr>
        <w:pStyle w:val="Subsection"/>
      </w:pPr>
      <w:r>
        <w:tab/>
      </w:r>
      <w:r>
        <w:tab/>
        <w:t xml:space="preserve">Despite section 49, no appeal lies from a decision of the Commission on — </w:t>
      </w:r>
    </w:p>
    <w:p>
      <w:pPr>
        <w:pStyle w:val="Indenta"/>
      </w:pPr>
      <w:r>
        <w:tab/>
        <w:t>(a)</w:t>
      </w:r>
      <w:r>
        <w:tab/>
        <w:t>a claim relating to the reclassification of an office held by a government officer; or</w:t>
      </w:r>
    </w:p>
    <w:p>
      <w:pPr>
        <w:pStyle w:val="Indenta"/>
      </w:pPr>
      <w:r>
        <w:lastRenderedPageBreak/>
        <w:tab/>
        <w:t>(b)</w:t>
      </w:r>
      <w:r>
        <w:tab/>
        <w:t>a claim relating to a decision of an employer to downgrade an office usually held by a government officer that is vacant.</w:t>
      </w:r>
    </w:p>
    <w:p>
      <w:pPr>
        <w:pStyle w:val="Footnotesection"/>
      </w:pPr>
      <w:r>
        <w:tab/>
        <w:t>[Section 36AE inserted: No. 43 of 2024 s. 17.]</w:t>
      </w:r>
    </w:p>
    <w:p>
      <w:pPr>
        <w:pStyle w:val="Heading4"/>
      </w:pPr>
      <w:bookmarkStart w:id="95" w:name="_Toc182397779"/>
      <w:bookmarkStart w:id="96" w:name="_Toc182398093"/>
      <w:bookmarkStart w:id="97" w:name="_Toc182398407"/>
      <w:bookmarkStart w:id="98" w:name="_Toc188271456"/>
      <w:bookmarkStart w:id="99" w:name="_Toc188451096"/>
      <w:r>
        <w:t>Subdivision 3 — Provisions related to certain substandard performance or disciplinary decisions or findings</w:t>
      </w:r>
      <w:bookmarkEnd w:id="95"/>
      <w:bookmarkEnd w:id="96"/>
      <w:bookmarkEnd w:id="97"/>
      <w:bookmarkEnd w:id="98"/>
      <w:bookmarkEnd w:id="99"/>
    </w:p>
    <w:p>
      <w:pPr>
        <w:pStyle w:val="Footnoteheading"/>
      </w:pPr>
      <w:r>
        <w:tab/>
        <w:t>[Heading inserted: No. 43 of 2024 s. 17.]</w:t>
      </w:r>
    </w:p>
    <w:p>
      <w:pPr>
        <w:pStyle w:val="Heading5"/>
      </w:pPr>
      <w:bookmarkStart w:id="100" w:name="_Toc182398408"/>
      <w:bookmarkStart w:id="101" w:name="_Toc188451097"/>
      <w:r>
        <w:rPr>
          <w:rStyle w:val="CharSectno"/>
        </w:rPr>
        <w:t>36AF</w:t>
      </w:r>
      <w:r>
        <w:t>.</w:t>
      </w:r>
      <w:r>
        <w:tab/>
        <w:t>Application of Subdivision</w:t>
      </w:r>
      <w:bookmarkEnd w:id="100"/>
      <w:bookmarkEnd w:id="101"/>
    </w:p>
    <w:p>
      <w:pPr>
        <w:pStyle w:val="Subsection"/>
      </w:pPr>
      <w:r>
        <w:tab/>
      </w:r>
      <w:r>
        <w:tab/>
        <w:t xml:space="preserve">This Subdivision applies if the Commission is exercising its jurisdiction in relation to — </w:t>
      </w:r>
    </w:p>
    <w:p>
      <w:pPr>
        <w:pStyle w:val="Indenta"/>
      </w:pPr>
      <w:r>
        <w:tab/>
        <w:t>(a)</w:t>
      </w:r>
      <w:r>
        <w:tab/>
        <w:t xml:space="preserve">a decision or finding made in relation to an employee or former employee to which the </w:t>
      </w:r>
      <w:r>
        <w:rPr>
          <w:i/>
          <w:iCs/>
        </w:rPr>
        <w:t>Public Sector Management Act 1994</w:t>
      </w:r>
      <w:r>
        <w:t xml:space="preserve"> Part 5 applies that is an industrial matter under section 78 of that Act; or </w:t>
      </w:r>
    </w:p>
    <w:p>
      <w:pPr>
        <w:pStyle w:val="Indenta"/>
      </w:pPr>
      <w:r>
        <w:tab/>
        <w:t>(b)</w:t>
      </w:r>
      <w:r>
        <w:tab/>
        <w:t xml:space="preserve">a decision or finding made in relation to an employee or former employee to which the </w:t>
      </w:r>
      <w:r>
        <w:rPr>
          <w:i/>
          <w:iCs/>
        </w:rPr>
        <w:t>Health Services Act 2016</w:t>
      </w:r>
      <w:r>
        <w:t xml:space="preserve"> Part 11 applies that is an industrial matter under section 171 of that Act.</w:t>
      </w:r>
    </w:p>
    <w:p>
      <w:pPr>
        <w:pStyle w:val="Footnotesection"/>
      </w:pPr>
      <w:r>
        <w:tab/>
        <w:t>[Section 36AF inserted: No. 43 of 2024 s. 17.]</w:t>
      </w:r>
    </w:p>
    <w:p>
      <w:pPr>
        <w:pStyle w:val="Heading5"/>
      </w:pPr>
      <w:bookmarkStart w:id="102" w:name="_Toc182398409"/>
      <w:bookmarkStart w:id="103" w:name="_Toc188451098"/>
      <w:r>
        <w:rPr>
          <w:rStyle w:val="CharSectno"/>
        </w:rPr>
        <w:t>36AG</w:t>
      </w:r>
      <w:r>
        <w:t>.</w:t>
      </w:r>
      <w:r>
        <w:tab/>
        <w:t>Commission’s powers on exercising jurisdiction in relation to certain decisions or findings</w:t>
      </w:r>
      <w:bookmarkEnd w:id="102"/>
      <w:bookmarkEnd w:id="103"/>
    </w:p>
    <w:p>
      <w:pPr>
        <w:pStyle w:val="Subsection"/>
      </w:pPr>
      <w:r>
        <w:tab/>
        <w:t>(1)</w:t>
      </w:r>
      <w:r>
        <w:tab/>
        <w:t>If it appears to the Commission that the employing authority of the employee or former employee failed to comply with a relevant policy instrument or the rules of procedural fairness in making the decision or finding, the Commission —</w:t>
      </w:r>
    </w:p>
    <w:p>
      <w:pPr>
        <w:pStyle w:val="Indenta"/>
      </w:pPr>
      <w:r>
        <w:tab/>
        <w:t>(a)</w:t>
      </w:r>
      <w:r>
        <w:tab/>
        <w:t>is not required to decide the industrial matter solely on that basis and may decide the matter on its merits; and</w:t>
      </w:r>
    </w:p>
    <w:p>
      <w:pPr>
        <w:pStyle w:val="Indenta"/>
      </w:pPr>
      <w:r>
        <w:tab/>
        <w:t>(b)</w:t>
      </w:r>
      <w:r>
        <w:tab/>
        <w:t xml:space="preserve">may, by order, do all of the following — </w:t>
      </w:r>
    </w:p>
    <w:p>
      <w:pPr>
        <w:pStyle w:val="Indenti"/>
      </w:pPr>
      <w:r>
        <w:tab/>
        <w:t>(i)</w:t>
      </w:r>
      <w:r>
        <w:tab/>
        <w:t>quash the decision or finding;</w:t>
      </w:r>
    </w:p>
    <w:p>
      <w:pPr>
        <w:pStyle w:val="Indenti"/>
      </w:pPr>
      <w:r>
        <w:tab/>
        <w:t>(ii)</w:t>
      </w:r>
      <w:r>
        <w:tab/>
        <w:t>remit the matter back to the employing authority;</w:t>
      </w:r>
    </w:p>
    <w:p>
      <w:pPr>
        <w:pStyle w:val="Indenti"/>
      </w:pPr>
      <w:r>
        <w:lastRenderedPageBreak/>
        <w:tab/>
        <w:t>(iii)</w:t>
      </w:r>
      <w:r>
        <w:tab/>
        <w:t>direct the employing authority to, if the employing authority continues the process that resulted in the decision or finding, recommence the process at a specified stage.</w:t>
      </w:r>
    </w:p>
    <w:p>
      <w:pPr>
        <w:pStyle w:val="Subsection"/>
      </w:pPr>
      <w:r>
        <w:tab/>
        <w:t>(2)</w:t>
      </w:r>
      <w:r>
        <w:tab/>
        <w:t>In subsection (1) —</w:t>
      </w:r>
    </w:p>
    <w:p>
      <w:pPr>
        <w:pStyle w:val="Defstart"/>
      </w:pPr>
      <w:r>
        <w:tab/>
      </w:r>
      <w:r>
        <w:rPr>
          <w:rStyle w:val="CharDefText"/>
        </w:rPr>
        <w:t>relevant policy instrument</w:t>
      </w:r>
      <w:r>
        <w:t xml:space="preserve"> means — </w:t>
      </w:r>
    </w:p>
    <w:p>
      <w:pPr>
        <w:pStyle w:val="Defpara"/>
      </w:pPr>
      <w:r>
        <w:tab/>
        <w:t>(a)</w:t>
      </w:r>
      <w:r>
        <w:tab/>
        <w:t xml:space="preserve">in relation to a decision or finding mentioned in the </w:t>
      </w:r>
      <w:r>
        <w:rPr>
          <w:i/>
          <w:iCs/>
        </w:rPr>
        <w:t>Health Services Act 2016</w:t>
      </w:r>
      <w:r>
        <w:t xml:space="preserve"> section 171 — the policy framework issued under section 26 of that Act relevant to the decision or finding; or</w:t>
      </w:r>
    </w:p>
    <w:p>
      <w:pPr>
        <w:pStyle w:val="Defpara"/>
      </w:pPr>
      <w:r>
        <w:tab/>
        <w:t>(b)</w:t>
      </w:r>
      <w:r>
        <w:tab/>
        <w:t xml:space="preserve">in relation to a decision or finding mentioned in the </w:t>
      </w:r>
      <w:r>
        <w:rPr>
          <w:i/>
          <w:iCs/>
        </w:rPr>
        <w:t>Public Sector Management Act 1994</w:t>
      </w:r>
      <w:r>
        <w:t xml:space="preserve"> section 78 — the Commissioner’s instructions issued under section 22A of that Act relevant to the decision or finding.</w:t>
      </w:r>
    </w:p>
    <w:p>
      <w:pPr>
        <w:pStyle w:val="Footnotesection"/>
      </w:pPr>
      <w:r>
        <w:tab/>
        <w:t>[Section 36AG inserted: No. 43 of 2024 s. 17.]</w:t>
      </w:r>
    </w:p>
    <w:p>
      <w:pPr>
        <w:pStyle w:val="Heading5"/>
      </w:pPr>
      <w:bookmarkStart w:id="104" w:name="_Toc182398410"/>
      <w:bookmarkStart w:id="105" w:name="_Toc188451099"/>
      <w:r>
        <w:rPr>
          <w:rStyle w:val="CharSectno"/>
        </w:rPr>
        <w:t>36AH</w:t>
      </w:r>
      <w:r>
        <w:t>.</w:t>
      </w:r>
      <w:r>
        <w:tab/>
        <w:t>Limit on Commission’s powers in relation to lawful redeployment direction matters</w:t>
      </w:r>
      <w:bookmarkEnd w:id="104"/>
      <w:bookmarkEnd w:id="105"/>
    </w:p>
    <w:p>
      <w:pPr>
        <w:pStyle w:val="Subsection"/>
      </w:pPr>
      <w:r>
        <w:tab/>
        <w:t>(1)</w:t>
      </w:r>
      <w:r>
        <w:tab/>
        <w:t xml:space="preserve">This section applies if the decision or finding relates to a lawful redeployment direction as defined in the </w:t>
      </w:r>
      <w:r>
        <w:rPr>
          <w:i/>
          <w:iCs/>
        </w:rPr>
        <w:t>Health Services Act 2016</w:t>
      </w:r>
      <w:r>
        <w:t xml:space="preserve"> section 171(2) or the </w:t>
      </w:r>
      <w:r>
        <w:rPr>
          <w:i/>
          <w:iCs/>
        </w:rPr>
        <w:t>Public Sector Management Act 1994</w:t>
      </w:r>
      <w:r>
        <w:t xml:space="preserve"> section 75A.</w:t>
      </w:r>
    </w:p>
    <w:p>
      <w:pPr>
        <w:pStyle w:val="Subsection"/>
      </w:pPr>
      <w:r>
        <w:tab/>
        <w:t>(2)</w:t>
      </w:r>
      <w:r>
        <w:tab/>
        <w:t>Despite section 36AG, the Commission may only decide whether or not the lawful redeployment direction was complied with or was capable of being complied with.</w:t>
      </w:r>
    </w:p>
    <w:p>
      <w:pPr>
        <w:pStyle w:val="Footnotesection"/>
      </w:pPr>
      <w:r>
        <w:tab/>
        <w:t>[Section 36AH inserted: No. 43 of 2024 s. 17.]</w:t>
      </w:r>
    </w:p>
    <w:p>
      <w:pPr>
        <w:pStyle w:val="Heading3"/>
      </w:pPr>
      <w:bookmarkStart w:id="106" w:name="_Toc188271460"/>
      <w:bookmarkStart w:id="107" w:name="_Toc188451100"/>
      <w:r>
        <w:rPr>
          <w:rStyle w:val="CharDivNo"/>
        </w:rPr>
        <w:t>Division 2A</w:t>
      </w:r>
      <w:r>
        <w:t xml:space="preserve"> — </w:t>
      </w:r>
      <w:r>
        <w:rPr>
          <w:rStyle w:val="CharDivText"/>
        </w:rPr>
        <w:t>Awards</w:t>
      </w:r>
      <w:bookmarkEnd w:id="74"/>
      <w:bookmarkEnd w:id="106"/>
      <w:bookmarkEnd w:id="107"/>
    </w:p>
    <w:p>
      <w:pPr>
        <w:pStyle w:val="Footnoteheading"/>
        <w:keepNext/>
        <w:tabs>
          <w:tab w:val="left" w:pos="851"/>
        </w:tabs>
      </w:pPr>
      <w:r>
        <w:tab/>
        <w:t>[Heading inserted: No. 20 of 2002 s. 116.]</w:t>
      </w:r>
    </w:p>
    <w:p>
      <w:pPr>
        <w:pStyle w:val="Heading5"/>
      </w:pPr>
      <w:bookmarkStart w:id="108" w:name="_Toc188451101"/>
      <w:r>
        <w:rPr>
          <w:rStyle w:val="CharSectno"/>
        </w:rPr>
        <w:t>36A</w:t>
      </w:r>
      <w:r>
        <w:t>.</w:t>
      </w:r>
      <w:r>
        <w:tab/>
        <w:t>Non</w:t>
      </w:r>
      <w:r>
        <w:noBreakHyphen/>
        <w:t>award employees, interim award for etc.</w:t>
      </w:r>
      <w:bookmarkEnd w:id="108"/>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w:t>
      </w:r>
      <w:r>
        <w:lastRenderedPageBreak/>
        <w:t xml:space="preserve">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09" w:name="_Toc188451102"/>
      <w:r>
        <w:rPr>
          <w:rStyle w:val="CharSectno"/>
        </w:rPr>
        <w:t>37</w:t>
      </w:r>
      <w:r>
        <w:rPr>
          <w:snapToGrid w:val="0"/>
        </w:rPr>
        <w:t>.</w:t>
      </w:r>
      <w:r>
        <w:rPr>
          <w:snapToGrid w:val="0"/>
        </w:rPr>
        <w:tab/>
      </w:r>
      <w:r>
        <w:t>Effect, area of operation and duration of award</w:t>
      </w:r>
      <w:bookmarkEnd w:id="109"/>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110" w:name="_Toc188451103"/>
      <w:r>
        <w:rPr>
          <w:rStyle w:val="CharSectno"/>
        </w:rPr>
        <w:lastRenderedPageBreak/>
        <w:t>37A</w:t>
      </w:r>
      <w:r>
        <w:t>.</w:t>
      </w:r>
      <w:r>
        <w:tab/>
        <w:t>Public sector awards and enterprise awards</w:t>
      </w:r>
      <w:bookmarkEnd w:id="110"/>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r>
        <w:tab/>
        <w:t>[Section 37A inserted: No. 30 of 2021 s. 16.]</w:t>
      </w:r>
    </w:p>
    <w:p>
      <w:pPr>
        <w:pStyle w:val="Heading5"/>
      </w:pPr>
      <w:bookmarkStart w:id="111" w:name="_Toc188451104"/>
      <w:r>
        <w:rPr>
          <w:rStyle w:val="CharSectno"/>
        </w:rPr>
        <w:t>37B</w:t>
      </w:r>
      <w:r>
        <w:t>.</w:t>
      </w:r>
      <w:r>
        <w:tab/>
        <w:t>Private sector awards: general</w:t>
      </w:r>
      <w:bookmarkEnd w:id="111"/>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lastRenderedPageBreak/>
        <w:tab/>
        <w:t>(ii)</w:t>
      </w:r>
      <w:r>
        <w:tab/>
        <w:t>in relation to employees to whom a classification in the award applies.</w:t>
      </w:r>
    </w:p>
    <w:p>
      <w:pPr>
        <w:pStyle w:val="Footnotesection"/>
      </w:pPr>
      <w:r>
        <w:tab/>
        <w:t>[Section 37B inserted: No. 30 of 2021 s. 16.]</w:t>
      </w:r>
    </w:p>
    <w:p>
      <w:pPr>
        <w:pStyle w:val="Heading5"/>
      </w:pPr>
      <w:bookmarkStart w:id="112" w:name="_Toc188451105"/>
      <w:r>
        <w:rPr>
          <w:rStyle w:val="CharSectno"/>
        </w:rPr>
        <w:t>37C</w:t>
      </w:r>
      <w:r>
        <w:t>.</w:t>
      </w:r>
      <w:r>
        <w:tab/>
        <w:t>Private sector awards: limitations on making and varying</w:t>
      </w:r>
      <w:bookmarkEnd w:id="112"/>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r>
        <w:tab/>
        <w:t>[Section 37C inserted: No. 30 of 2021 s. 16.]</w:t>
      </w:r>
    </w:p>
    <w:p>
      <w:pPr>
        <w:pStyle w:val="Heading5"/>
      </w:pPr>
      <w:bookmarkStart w:id="113" w:name="_Toc188451106"/>
      <w:r>
        <w:rPr>
          <w:rStyle w:val="CharSectno"/>
        </w:rPr>
        <w:t>37D</w:t>
      </w:r>
      <w:r>
        <w:t>.</w:t>
      </w:r>
      <w:r>
        <w:tab/>
        <w:t>Private sector awards: variations of the Commission’s own motion</w:t>
      </w:r>
      <w:bookmarkEnd w:id="113"/>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keepNext/>
        <w:rPr>
          <w:snapToGrid w:val="0"/>
        </w:rPr>
      </w:pPr>
      <w:r>
        <w:rPr>
          <w:snapToGrid w:val="0"/>
        </w:rPr>
        <w:lastRenderedPageBreak/>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 and the Minister; and</w:t>
      </w:r>
    </w:p>
    <w:p>
      <w:pPr>
        <w:pStyle w:val="Indenti"/>
      </w:pPr>
      <w:r>
        <w:tab/>
        <w:t>(ii)</w:t>
      </w:r>
      <w:r>
        <w:tab/>
        <w:t xml:space="preserve">any organisations, associations and employers as the Commission may direct (being, in the case of employers, employers constituting, in the opinion of the Commission, a sufficient number of employers reasonably representative of the </w:t>
      </w:r>
      <w:r>
        <w:lastRenderedPageBreak/>
        <w:t>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Subsection"/>
      </w:pPr>
      <w:r>
        <w:tab/>
        <w:t>(7)</w:t>
      </w:r>
      <w:r>
        <w:tab/>
        <w:t>If the Commission varies the scope of a private sector award under this section, the Commission may also make other changes to the award that are consequential on the variation of the scope.</w:t>
      </w:r>
    </w:p>
    <w:p>
      <w:pPr>
        <w:pStyle w:val="Subsection"/>
      </w:pPr>
      <w:r>
        <w:tab/>
        <w:t>(8)</w:t>
      </w:r>
      <w:r>
        <w:tab/>
        <w:t xml:space="preserve">The Commission may act under subsection (7) of its own motion or on an application made in relevant proceedings by any of the following persons or bodies — </w:t>
      </w:r>
    </w:p>
    <w:p>
      <w:pPr>
        <w:pStyle w:val="Indenta"/>
      </w:pPr>
      <w:r>
        <w:tab/>
        <w:t>(a)</w:t>
      </w:r>
      <w:r>
        <w:tab/>
        <w:t>an organisation or association named as a party to the private sector award;</w:t>
      </w:r>
    </w:p>
    <w:p>
      <w:pPr>
        <w:pStyle w:val="Indenta"/>
      </w:pPr>
      <w:r>
        <w:tab/>
        <w:t>(b)</w:t>
      </w:r>
      <w:r>
        <w:tab/>
        <w:t>an employer bound by the private sector award or who would be bound by the award if the proposed variation to the scope were made;</w:t>
      </w:r>
    </w:p>
    <w:p>
      <w:pPr>
        <w:pStyle w:val="Indenta"/>
      </w:pPr>
      <w:r>
        <w:tab/>
        <w:t>(c)</w:t>
      </w:r>
      <w:r>
        <w:tab/>
        <w:t>another person or body given notice of the proposed variation under subsection (6)(b).</w:t>
      </w:r>
    </w:p>
    <w:p>
      <w:pPr>
        <w:pStyle w:val="Subsection"/>
      </w:pPr>
      <w:r>
        <w:tab/>
        <w:t>(9)</w:t>
      </w:r>
      <w:r>
        <w:tab/>
        <w:t xml:space="preserve">In subsection (8) — </w:t>
      </w:r>
    </w:p>
    <w:p>
      <w:pPr>
        <w:pStyle w:val="Defstart"/>
      </w:pPr>
      <w:r>
        <w:tab/>
      </w:r>
      <w:r>
        <w:rPr>
          <w:rStyle w:val="CharDefText"/>
        </w:rPr>
        <w:t>relevant proceedings</w:t>
      </w:r>
      <w:r>
        <w:t xml:space="preserve"> means proceedings under this section held to afford the opportunity to be heard mentioned in subsection (6)(c).</w:t>
      </w:r>
    </w:p>
    <w:p>
      <w:pPr>
        <w:pStyle w:val="Footnotesection"/>
      </w:pPr>
      <w:r>
        <w:tab/>
        <w:t>[Section 37D inserted: No. 30 of 2021 s. 16; amended: No. 43 of 2024 s. 18 and 91.]</w:t>
      </w:r>
    </w:p>
    <w:p>
      <w:pPr>
        <w:pStyle w:val="Heading5"/>
      </w:pPr>
      <w:bookmarkStart w:id="114" w:name="_Toc188451107"/>
      <w:r>
        <w:rPr>
          <w:rStyle w:val="CharSectno"/>
        </w:rPr>
        <w:t>38</w:t>
      </w:r>
      <w:r>
        <w:t>.</w:t>
      </w:r>
      <w:r>
        <w:tab/>
        <w:t>Named parties to awards</w:t>
      </w:r>
      <w:bookmarkEnd w:id="11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xml:space="preserve">, the </w:t>
      </w:r>
      <w:r>
        <w:t>Chamber</w:t>
      </w:r>
      <w:r>
        <w:rPr>
          <w:snapToGrid w:val="0"/>
        </w:rPr>
        <w:t xml:space="preserve"> and the Minister, must be listed in the award as the named parties to the award.</w:t>
      </w:r>
    </w:p>
    <w:p>
      <w:pPr>
        <w:pStyle w:val="Subsection"/>
      </w:pPr>
      <w:r>
        <w:lastRenderedPageBreak/>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xml:space="preserve">, the </w:t>
      </w:r>
      <w:r>
        <w:t>Chamber</w:t>
      </w:r>
      <w:r>
        <w:rPr>
          <w:snapToGrid w:val="0"/>
        </w:rPr>
        <w:t xml:space="preserve">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lastRenderedPageBreak/>
        <w:tab/>
        <w:t>[Section 38 inserted: No. 94 of 1984 s. 25; amended: No. 15 of 1993 s. 12 and 31; No. 20 of 2002 s. 117(1); No. 53 of 2011 s. 48; No. 30 of 2021 s. 17 and 76(2); No. 43 of 2024 s. 91.]</w:t>
      </w:r>
    </w:p>
    <w:p>
      <w:pPr>
        <w:pStyle w:val="Heading5"/>
        <w:rPr>
          <w:snapToGrid w:val="0"/>
        </w:rPr>
      </w:pPr>
      <w:bookmarkStart w:id="115" w:name="_Toc188451108"/>
      <w:r>
        <w:rPr>
          <w:rStyle w:val="CharSectno"/>
        </w:rPr>
        <w:t>39</w:t>
      </w:r>
      <w:r>
        <w:rPr>
          <w:snapToGrid w:val="0"/>
        </w:rPr>
        <w:t>.</w:t>
      </w:r>
      <w:r>
        <w:rPr>
          <w:snapToGrid w:val="0"/>
        </w:rPr>
        <w:tab/>
        <w:t>When award operates</w:t>
      </w:r>
      <w:bookmarkEnd w:id="115"/>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16" w:name="_Toc188451109"/>
      <w:r>
        <w:rPr>
          <w:rStyle w:val="CharSectno"/>
        </w:rPr>
        <w:t>40</w:t>
      </w:r>
      <w:r>
        <w:rPr>
          <w:snapToGrid w:val="0"/>
        </w:rPr>
        <w:t>.</w:t>
      </w:r>
      <w:r>
        <w:rPr>
          <w:snapToGrid w:val="0"/>
        </w:rPr>
        <w:tab/>
      </w:r>
      <w:r>
        <w:t>Varying and cancelling awards generally</w:t>
      </w:r>
      <w:bookmarkEnd w:id="116"/>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lastRenderedPageBreak/>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lastRenderedPageBreak/>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117" w:name="_Toc188451110"/>
      <w:r>
        <w:rPr>
          <w:rStyle w:val="CharSectno"/>
        </w:rPr>
        <w:t>40A</w:t>
      </w:r>
      <w:r>
        <w:t>.</w:t>
      </w:r>
      <w:r>
        <w:tab/>
        <w:t>Incorporation of industrial agreement provisions into awards by consent</w:t>
      </w:r>
      <w:bookmarkEnd w:id="11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118" w:name="_Toc188451111"/>
      <w:r>
        <w:rPr>
          <w:rStyle w:val="CharSectno"/>
        </w:rPr>
        <w:t>40B</w:t>
      </w:r>
      <w:r>
        <w:t>.</w:t>
      </w:r>
      <w:r>
        <w:tab/>
        <w:t>Power to vary awards to reflect statutory etc. requirements, to promote efficiency and to facilitate implementation</w:t>
      </w:r>
      <w:bookmarkEnd w:id="11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lastRenderedPageBreak/>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must not make an order under this section until it has given notice to the named parties to the award and UnionsWA, the Chamber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lastRenderedPageBreak/>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 No. 30 of 2021 s. 76(2); No. 43 of 2024 s. 91.]</w:t>
      </w:r>
    </w:p>
    <w:p>
      <w:pPr>
        <w:pStyle w:val="Heading3"/>
        <w:keepNext w:val="0"/>
        <w:keepLines/>
        <w:spacing w:before="220"/>
      </w:pPr>
      <w:bookmarkStart w:id="119" w:name="_Toc187907256"/>
      <w:bookmarkStart w:id="120" w:name="_Toc188271472"/>
      <w:bookmarkStart w:id="121" w:name="_Toc188451112"/>
      <w:r>
        <w:rPr>
          <w:rStyle w:val="CharDivNo"/>
        </w:rPr>
        <w:t>Division 2B</w:t>
      </w:r>
      <w:r>
        <w:t xml:space="preserve"> — </w:t>
      </w:r>
      <w:r>
        <w:rPr>
          <w:rStyle w:val="CharDivText"/>
        </w:rPr>
        <w:t>Industrial agreements</w:t>
      </w:r>
      <w:bookmarkEnd w:id="119"/>
      <w:bookmarkEnd w:id="120"/>
      <w:bookmarkEnd w:id="121"/>
    </w:p>
    <w:p>
      <w:pPr>
        <w:pStyle w:val="Footnoteheading"/>
        <w:keepLines/>
        <w:tabs>
          <w:tab w:val="left" w:pos="851"/>
        </w:tabs>
      </w:pPr>
      <w:r>
        <w:tab/>
        <w:t>[Heading inserted: No. 20 of 2002 s. 130.]</w:t>
      </w:r>
    </w:p>
    <w:p>
      <w:pPr>
        <w:pStyle w:val="Heading5"/>
        <w:keepNext w:val="0"/>
      </w:pPr>
      <w:bookmarkStart w:id="122" w:name="_Toc188451113"/>
      <w:r>
        <w:rPr>
          <w:rStyle w:val="CharSectno"/>
        </w:rPr>
        <w:t>40C</w:t>
      </w:r>
      <w:r>
        <w:t>.</w:t>
      </w:r>
      <w:r>
        <w:tab/>
        <w:t>Terms used</w:t>
      </w:r>
      <w:bookmarkEnd w:id="122"/>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23" w:name="_Toc188451114"/>
      <w:r>
        <w:rPr>
          <w:rStyle w:val="CharSectno"/>
        </w:rPr>
        <w:t>41</w:t>
      </w:r>
      <w:r>
        <w:rPr>
          <w:snapToGrid w:val="0"/>
        </w:rPr>
        <w:t>.</w:t>
      </w:r>
      <w:r>
        <w:rPr>
          <w:snapToGrid w:val="0"/>
        </w:rPr>
        <w:tab/>
        <w:t>Industrial agreements, making, registration and effect of</w:t>
      </w:r>
      <w:bookmarkEnd w:id="123"/>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lastRenderedPageBreak/>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lastRenderedPageBreak/>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124" w:name="_Toc188451115"/>
      <w:r>
        <w:rPr>
          <w:rStyle w:val="CharSectno"/>
        </w:rPr>
        <w:lastRenderedPageBreak/>
        <w:t>41A</w:t>
      </w:r>
      <w:r>
        <w:t>.</w:t>
      </w:r>
      <w:r>
        <w:tab/>
        <w:t>Which industrial agreements must not be registered under s. 41</w:t>
      </w:r>
      <w:bookmarkEnd w:id="124"/>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125" w:name="_Toc188451116"/>
      <w:r>
        <w:rPr>
          <w:rStyle w:val="CharSectno"/>
        </w:rPr>
        <w:t>42</w:t>
      </w:r>
      <w:r>
        <w:t>.</w:t>
      </w:r>
      <w:r>
        <w:tab/>
        <w:t>Bargaining for industrial agreement, initiating</w:t>
      </w:r>
      <w:bookmarkEnd w:id="12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keepNext/>
      </w:pPr>
      <w:r>
        <w:lastRenderedPageBreak/>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26" w:name="_Toc188451117"/>
      <w:r>
        <w:rPr>
          <w:rStyle w:val="CharSectno"/>
        </w:rPr>
        <w:t>42A</w:t>
      </w:r>
      <w:r>
        <w:t>.</w:t>
      </w:r>
      <w:r>
        <w:tab/>
        <w:t>Response to initiation of bargaining</w:t>
      </w:r>
      <w:bookmarkEnd w:id="126"/>
    </w:p>
    <w:p>
      <w:pPr>
        <w:pStyle w:val="Subsection"/>
      </w:pPr>
      <w:r>
        <w:tab/>
        <w:t>(1)</w:t>
      </w:r>
      <w:r>
        <w:tab/>
        <w:t xml:space="preserve">A person to whom a notice is given under section 42(1) may notify the initiating party within 21 days of receiving the notice </w:t>
      </w:r>
      <w:r>
        <w:lastRenderedPageBreak/>
        <w:t xml:space="preserve">(the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27" w:name="_Toc188451118"/>
      <w:r>
        <w:rPr>
          <w:rStyle w:val="CharSectno"/>
        </w:rPr>
        <w:t>42B</w:t>
      </w:r>
      <w:r>
        <w:t>.</w:t>
      </w:r>
      <w:r>
        <w:tab/>
        <w:t>Bargaining for industrial agreements, good faith required etc.</w:t>
      </w:r>
      <w:bookmarkEnd w:id="127"/>
    </w:p>
    <w:p>
      <w:pPr>
        <w:pStyle w:val="Subsection"/>
      </w:pPr>
      <w:r>
        <w:tab/>
        <w:t>(1)</w:t>
      </w:r>
      <w:r>
        <w:tab/>
        <w:t>When bargaining for an industrial agreement, a negotiating party must bargain in good faith.</w:t>
      </w:r>
    </w:p>
    <w:p>
      <w:pPr>
        <w:pStyle w:val="Subsection"/>
        <w:keepNext/>
      </w:pPr>
      <w:r>
        <w:lastRenderedPageBreak/>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lastRenderedPageBreak/>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 No. 30 of 2021 s. 76(2); No. 9 of 2022 s. 424.]</w:t>
      </w:r>
    </w:p>
    <w:p>
      <w:pPr>
        <w:pStyle w:val="Heading5"/>
        <w:spacing w:before="240"/>
      </w:pPr>
      <w:bookmarkStart w:id="128" w:name="_Toc188451119"/>
      <w:r>
        <w:rPr>
          <w:rStyle w:val="CharSectno"/>
        </w:rPr>
        <w:t>42C</w:t>
      </w:r>
      <w:r>
        <w:t>.</w:t>
      </w:r>
      <w:r>
        <w:tab/>
        <w:t>Code of good faith</w:t>
      </w:r>
      <w:bookmarkEnd w:id="128"/>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lastRenderedPageBreak/>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129" w:name="_Toc188451120"/>
      <w:r>
        <w:rPr>
          <w:rStyle w:val="CharSectno"/>
        </w:rPr>
        <w:t>42D</w:t>
      </w:r>
      <w:r>
        <w:t>.</w:t>
      </w:r>
      <w:r>
        <w:tab/>
        <w:t>Duty of good faith does not require concluded industrial agreement</w:t>
      </w:r>
      <w:bookmarkEnd w:id="12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130" w:name="_Toc188451121"/>
      <w:r>
        <w:rPr>
          <w:rStyle w:val="CharSectno"/>
        </w:rPr>
        <w:t>42E</w:t>
      </w:r>
      <w:r>
        <w:t>.</w:t>
      </w:r>
      <w:r>
        <w:tab/>
        <w:t>Commission may assist bargaining</w:t>
      </w:r>
      <w:bookmarkEnd w:id="13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31" w:name="_Toc188451122"/>
      <w:r>
        <w:rPr>
          <w:rStyle w:val="CharSectno"/>
        </w:rPr>
        <w:t>42F</w:t>
      </w:r>
      <w:r>
        <w:t>.</w:t>
      </w:r>
      <w:r>
        <w:tab/>
        <w:t>Commission’s power over negotiating parties restricted</w:t>
      </w:r>
      <w:bookmarkEnd w:id="131"/>
    </w:p>
    <w:p>
      <w:pPr>
        <w:pStyle w:val="Subsection"/>
      </w:pPr>
      <w:r>
        <w:tab/>
      </w:r>
      <w:r>
        <w:tab/>
        <w:t xml:space="preserve">Except as provided in section 42G, the Commission must not give any direction or make any order or declaration requiring, or </w:t>
      </w:r>
      <w:r>
        <w:lastRenderedPageBreak/>
        <w:t>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32" w:name="_Toc188451123"/>
      <w:r>
        <w:rPr>
          <w:rStyle w:val="CharSectno"/>
        </w:rPr>
        <w:t>42G</w:t>
      </w:r>
      <w:r>
        <w:t>.</w:t>
      </w:r>
      <w:r>
        <w:tab/>
        <w:t>Parties may agree to Commission making orders as to terms of agreement</w:t>
      </w:r>
      <w:bookmarkEnd w:id="132"/>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33" w:name="_Toc188451124"/>
      <w:r>
        <w:rPr>
          <w:rStyle w:val="CharSectno"/>
        </w:rPr>
        <w:lastRenderedPageBreak/>
        <w:t>42H</w:t>
      </w:r>
      <w:r>
        <w:t>.</w:t>
      </w:r>
      <w:r>
        <w:tab/>
        <w:t>Commission may declare that bargaining has ended</w:t>
      </w:r>
      <w:bookmarkEnd w:id="13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134" w:name="_Toc188451125"/>
      <w:r>
        <w:rPr>
          <w:rStyle w:val="CharSectno"/>
        </w:rPr>
        <w:t>42I</w:t>
      </w:r>
      <w:r>
        <w:t>.</w:t>
      </w:r>
      <w:r>
        <w:tab/>
        <w:t>Enterprise order, applying for and making</w:t>
      </w:r>
      <w:bookmarkEnd w:id="13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lastRenderedPageBreak/>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35" w:name="_Toc188451126"/>
      <w:r>
        <w:rPr>
          <w:rStyle w:val="CharSectno"/>
        </w:rPr>
        <w:lastRenderedPageBreak/>
        <w:t>42J</w:t>
      </w:r>
      <w:r>
        <w:t>.</w:t>
      </w:r>
      <w:r>
        <w:tab/>
        <w:t>Enterprise order, effect of</w:t>
      </w:r>
      <w:bookmarkEnd w:id="135"/>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keepNext/>
        <w:spacing w:before="70"/>
      </w:pPr>
      <w:r>
        <w:lastRenderedPageBreak/>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36" w:name="_Toc188451127"/>
      <w:r>
        <w:rPr>
          <w:rStyle w:val="CharSectno"/>
        </w:rPr>
        <w:t>42K</w:t>
      </w:r>
      <w:r>
        <w:t>.</w:t>
      </w:r>
      <w:r>
        <w:tab/>
        <w:t>Enterprise order, term of and varying etc.</w:t>
      </w:r>
      <w:bookmarkEnd w:id="13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lastRenderedPageBreak/>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37" w:name="_Toc188451128"/>
      <w:r>
        <w:rPr>
          <w:rStyle w:val="CharSectno"/>
        </w:rPr>
        <w:t>42L</w:t>
      </w:r>
      <w:r>
        <w:t>.</w:t>
      </w:r>
      <w:r>
        <w:tab/>
        <w:t>When bargaining ends</w:t>
      </w:r>
      <w:bookmarkEnd w:id="13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138" w:name="_Toc188451129"/>
      <w:r>
        <w:rPr>
          <w:rStyle w:val="CharSectno"/>
        </w:rPr>
        <w:t>42M</w:t>
      </w:r>
      <w:r>
        <w:t>.</w:t>
      </w:r>
      <w:r>
        <w:tab/>
        <w:t>Regulations for this Division</w:t>
      </w:r>
      <w:bookmarkEnd w:id="13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39" w:name="_Toc188451130"/>
      <w:r>
        <w:rPr>
          <w:rStyle w:val="CharSectno"/>
        </w:rPr>
        <w:lastRenderedPageBreak/>
        <w:t>43</w:t>
      </w:r>
      <w:r>
        <w:rPr>
          <w:snapToGrid w:val="0"/>
        </w:rPr>
        <w:t>.</w:t>
      </w:r>
      <w:r>
        <w:rPr>
          <w:snapToGrid w:val="0"/>
        </w:rPr>
        <w:tab/>
        <w:t>Industrial agreement, varying, renewing and cancelling</w:t>
      </w:r>
      <w:bookmarkEnd w:id="139"/>
    </w:p>
    <w:p>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 No. 30 of 2021 s. 78(4).]</w:t>
      </w:r>
    </w:p>
    <w:p>
      <w:pPr>
        <w:pStyle w:val="Heading3"/>
        <w:keepLines/>
      </w:pPr>
      <w:bookmarkStart w:id="140" w:name="_Toc187907275"/>
      <w:bookmarkStart w:id="141" w:name="_Toc188271491"/>
      <w:bookmarkStart w:id="142" w:name="_Toc188451131"/>
      <w:r>
        <w:rPr>
          <w:rStyle w:val="CharDivNo"/>
        </w:rPr>
        <w:t>Division 2C</w:t>
      </w:r>
      <w:r>
        <w:t xml:space="preserve"> — </w:t>
      </w:r>
      <w:r>
        <w:rPr>
          <w:rStyle w:val="CharDivText"/>
        </w:rPr>
        <w:t>Holding of compulsory conferences</w:t>
      </w:r>
      <w:bookmarkEnd w:id="140"/>
      <w:bookmarkEnd w:id="141"/>
      <w:bookmarkEnd w:id="142"/>
    </w:p>
    <w:p>
      <w:pPr>
        <w:pStyle w:val="Footnoteheading"/>
        <w:keepNext/>
        <w:keepLines/>
        <w:tabs>
          <w:tab w:val="left" w:pos="851"/>
        </w:tabs>
      </w:pPr>
      <w:r>
        <w:tab/>
        <w:t>[Heading inserted: No. 20 of 2002 s. 119(1).]</w:t>
      </w:r>
    </w:p>
    <w:p>
      <w:pPr>
        <w:pStyle w:val="Heading5"/>
        <w:rPr>
          <w:snapToGrid w:val="0"/>
        </w:rPr>
      </w:pPr>
      <w:bookmarkStart w:id="143" w:name="_Toc188451132"/>
      <w:r>
        <w:rPr>
          <w:rStyle w:val="CharSectno"/>
        </w:rPr>
        <w:t>44</w:t>
      </w:r>
      <w:r>
        <w:rPr>
          <w:snapToGrid w:val="0"/>
        </w:rPr>
        <w:t>.</w:t>
      </w:r>
      <w:r>
        <w:rPr>
          <w:snapToGrid w:val="0"/>
        </w:rPr>
        <w:tab/>
        <w:t>Compulsory conference, summoning, holding etc.</w:t>
      </w:r>
      <w:bookmarkEnd w:id="143"/>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w:t>
      </w:r>
      <w:r>
        <w:rPr>
          <w:snapToGrid w:val="0"/>
        </w:rPr>
        <w:lastRenderedPageBreak/>
        <w:t>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lastRenderedPageBreak/>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keepNext/>
        <w:rPr>
          <w:snapToGrid w:val="0"/>
        </w:rPr>
      </w:pPr>
      <w:r>
        <w:rPr>
          <w:snapToGrid w:val="0"/>
        </w:rPr>
        <w:lastRenderedPageBreak/>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pPr>
      <w:r>
        <w:tab/>
        <w:t>(iii)</w:t>
      </w:r>
      <w:r>
        <w:tab/>
        <w:t>a person in relation to a dispute about the person’s entitlement to long service leave as an employee or former employee;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 xml:space="preserve">Subject to subsections (11) and (12), the Commission may, for the hearing and determination of a matter under subsection (9), </w:t>
      </w:r>
      <w:r>
        <w:rPr>
          <w:snapToGrid w:val="0"/>
        </w:rPr>
        <w:lastRenderedPageBreak/>
        <w:t>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w:t>
      </w:r>
      <w:r>
        <w:rPr>
          <w:snapToGrid w:val="0"/>
        </w:rPr>
        <w:lastRenderedPageBreak/>
        <w:t>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 No. 43 of 2024 s. 19.]</w:t>
      </w:r>
    </w:p>
    <w:p>
      <w:pPr>
        <w:pStyle w:val="Heading5"/>
      </w:pPr>
      <w:bookmarkStart w:id="144" w:name="_Toc182398414"/>
      <w:bookmarkStart w:id="145" w:name="_Toc188451133"/>
      <w:r>
        <w:rPr>
          <w:rStyle w:val="CharSectno"/>
        </w:rPr>
        <w:t>45</w:t>
      </w:r>
      <w:r>
        <w:t>.</w:t>
      </w:r>
      <w:r>
        <w:tab/>
        <w:t>Conference etc. not to be held in relation to certain disputes about long service leave entitlement</w:t>
      </w:r>
      <w:bookmarkEnd w:id="144"/>
      <w:bookmarkEnd w:id="145"/>
    </w:p>
    <w:p>
      <w:pPr>
        <w:pStyle w:val="Subsection"/>
      </w:pPr>
      <w:r>
        <w:tab/>
        <w:t>(1)</w:t>
      </w:r>
      <w:r>
        <w:tab/>
        <w:t xml:space="preserve">This section applies if a person makes an application in relation to a dispute about the person’s entitlement to long service leave as an employee or former employee under both — </w:t>
      </w:r>
    </w:p>
    <w:p>
      <w:pPr>
        <w:pStyle w:val="Indenta"/>
      </w:pPr>
      <w:r>
        <w:tab/>
        <w:t>(a)</w:t>
      </w:r>
      <w:r>
        <w:tab/>
        <w:t xml:space="preserve">section 44(7)(a)(iii); and </w:t>
      </w:r>
    </w:p>
    <w:p>
      <w:pPr>
        <w:pStyle w:val="Indenta"/>
      </w:pPr>
      <w:r>
        <w:tab/>
        <w:t>(b)</w:t>
      </w:r>
      <w:r>
        <w:tab/>
        <w:t>another provision of this Act or another written law.</w:t>
      </w:r>
    </w:p>
    <w:p>
      <w:pPr>
        <w:pStyle w:val="Subsection"/>
      </w:pPr>
      <w:r>
        <w:lastRenderedPageBreak/>
        <w:tab/>
        <w:t>(2)</w:t>
      </w:r>
      <w:r>
        <w:tab/>
        <w:t>The Commission must not exercise its jurisdiction under section 44 in relation to the application under that section unless the application under the other provision of this Act or other law is withdrawn or fails for want of jurisdiction.</w:t>
      </w:r>
    </w:p>
    <w:p>
      <w:pPr>
        <w:pStyle w:val="Footnotesection"/>
      </w:pPr>
      <w:r>
        <w:tab/>
        <w:t>[Section 45 inserted: No. 43 of 2024 s. 20.]</w:t>
      </w:r>
    </w:p>
    <w:p>
      <w:pPr>
        <w:pStyle w:val="Heading3"/>
      </w:pPr>
      <w:bookmarkStart w:id="146" w:name="_Toc187907277"/>
      <w:bookmarkStart w:id="147" w:name="_Toc188271494"/>
      <w:bookmarkStart w:id="148" w:name="_Toc188451134"/>
      <w:r>
        <w:rPr>
          <w:rStyle w:val="CharDivNo"/>
        </w:rPr>
        <w:t>Division 2D</w:t>
      </w:r>
      <w:r>
        <w:t xml:space="preserve"> — </w:t>
      </w:r>
      <w:r>
        <w:rPr>
          <w:rStyle w:val="CharDivText"/>
        </w:rPr>
        <w:t>Miscellaneous provisions relating to awards, orders and agreements</w:t>
      </w:r>
      <w:bookmarkEnd w:id="146"/>
      <w:bookmarkEnd w:id="147"/>
      <w:bookmarkEnd w:id="148"/>
    </w:p>
    <w:p>
      <w:pPr>
        <w:pStyle w:val="Footnoteheading"/>
        <w:tabs>
          <w:tab w:val="left" w:pos="851"/>
        </w:tabs>
      </w:pPr>
      <w:r>
        <w:tab/>
        <w:t>[Heading inserted: No. 20 of 2002 s. 119(2).]</w:t>
      </w:r>
    </w:p>
    <w:p>
      <w:pPr>
        <w:pStyle w:val="Heading5"/>
        <w:keepNext w:val="0"/>
        <w:keepLines w:val="0"/>
        <w:rPr>
          <w:snapToGrid w:val="0"/>
        </w:rPr>
      </w:pPr>
      <w:bookmarkStart w:id="149" w:name="_Toc188451135"/>
      <w:r>
        <w:rPr>
          <w:rStyle w:val="CharSectno"/>
        </w:rPr>
        <w:t>46</w:t>
      </w:r>
      <w:r>
        <w:rPr>
          <w:snapToGrid w:val="0"/>
        </w:rPr>
        <w:t>.</w:t>
      </w:r>
      <w:r>
        <w:rPr>
          <w:snapToGrid w:val="0"/>
        </w:rPr>
        <w:tab/>
        <w:t>Interpretation of awards and orders by Commission</w:t>
      </w:r>
      <w:bookmarkEnd w:id="14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lastRenderedPageBreak/>
        <w:tab/>
        <w:t>[Section 46 amended: No. 94 of 1984 s. 66; No. 30 of 2021 s. 76(2) and 78(7).]</w:t>
      </w:r>
    </w:p>
    <w:p>
      <w:pPr>
        <w:pStyle w:val="Heading5"/>
        <w:spacing w:before="200"/>
        <w:rPr>
          <w:snapToGrid w:val="0"/>
        </w:rPr>
      </w:pPr>
      <w:bookmarkStart w:id="150" w:name="_Toc188451136"/>
      <w:r>
        <w:rPr>
          <w:rStyle w:val="CharSectno"/>
        </w:rPr>
        <w:t>47</w:t>
      </w:r>
      <w:r>
        <w:rPr>
          <w:snapToGrid w:val="0"/>
        </w:rPr>
        <w:t>.</w:t>
      </w:r>
      <w:r>
        <w:rPr>
          <w:snapToGrid w:val="0"/>
        </w:rPr>
        <w:tab/>
        <w:t>Defunct awards etc., cancelling; employers not in business etc., deleting from awards etc.</w:t>
      </w:r>
      <w:bookmarkEnd w:id="150"/>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lastRenderedPageBreak/>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 and the Chamber</w:t>
      </w:r>
      <w:r>
        <w:rPr>
          <w:snapToGrid w:val="0"/>
        </w:rPr>
        <w:t>;</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 No. 43 of 2024 s. 91</w:t>
      </w:r>
      <w:r>
        <w:rPr>
          <w:spacing w:val="-4"/>
        </w:rPr>
        <w:t>.]</w:t>
      </w:r>
    </w:p>
    <w:p>
      <w:pPr>
        <w:pStyle w:val="Ednotesection"/>
        <w:rPr>
          <w:rStyle w:val="CharSectno"/>
        </w:rPr>
      </w:pPr>
      <w:r>
        <w:rPr>
          <w:rStyle w:val="CharSectno"/>
        </w:rPr>
        <w:t>[</w:t>
      </w:r>
      <w:r>
        <w:rPr>
          <w:rStyle w:val="CharSectno"/>
          <w:b/>
          <w:bCs/>
        </w:rPr>
        <w:t>48.</w:t>
      </w:r>
      <w:r>
        <w:rPr>
          <w:rStyle w:val="CharSectno"/>
        </w:rPr>
        <w:tab/>
        <w:t>Deleted: No. 43 of 2024 s. 21.]</w:t>
      </w:r>
    </w:p>
    <w:p>
      <w:pPr>
        <w:pStyle w:val="Heading5"/>
        <w:rPr>
          <w:snapToGrid w:val="0"/>
        </w:rPr>
      </w:pPr>
      <w:bookmarkStart w:id="151" w:name="_Toc188451137"/>
      <w:r>
        <w:rPr>
          <w:rStyle w:val="CharSectno"/>
        </w:rPr>
        <w:t>48A</w:t>
      </w:r>
      <w:r>
        <w:rPr>
          <w:snapToGrid w:val="0"/>
        </w:rPr>
        <w:t xml:space="preserve">. </w:t>
      </w:r>
      <w:r>
        <w:rPr>
          <w:snapToGrid w:val="0"/>
        </w:rPr>
        <w:tab/>
        <w:t>Awards etc. to provide for dispute resolution</w:t>
      </w:r>
      <w:bookmarkEnd w:id="151"/>
    </w:p>
    <w:p>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 xml:space="preserve">The procedures referred to in subsection (1) must provide for the persons involved in the question, dispute or difficulty to confer among themselves and make reasonable attempts to </w:t>
      </w:r>
      <w:r>
        <w:rPr>
          <w:snapToGrid w:val="0"/>
        </w:rPr>
        <w:lastRenderedPageBreak/>
        <w:t>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152" w:name="_Toc188451138"/>
      <w:r>
        <w:rPr>
          <w:rStyle w:val="CharSectno"/>
        </w:rPr>
        <w:t>48B</w:t>
      </w:r>
      <w:r>
        <w:t>.</w:t>
      </w:r>
      <w:r>
        <w:tab/>
        <w:t>Superannuation, provisions about in awards etc.</w:t>
      </w:r>
      <w:bookmarkEnd w:id="152"/>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lastRenderedPageBreak/>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lastRenderedPageBreak/>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 No. 30 of 2021 s. 72(1), 76(2) and 78(1).]</w:t>
      </w:r>
    </w:p>
    <w:p>
      <w:pPr>
        <w:pStyle w:val="Heading3"/>
        <w:keepLines/>
      </w:pPr>
      <w:bookmarkStart w:id="153" w:name="_Toc187907283"/>
      <w:bookmarkStart w:id="154" w:name="_Toc188271499"/>
      <w:bookmarkStart w:id="155" w:name="_Toc188451139"/>
      <w:r>
        <w:rPr>
          <w:rStyle w:val="CharDivNo"/>
        </w:rPr>
        <w:t>Division 2E</w:t>
      </w:r>
      <w:r>
        <w:t xml:space="preserve"> — </w:t>
      </w:r>
      <w:r>
        <w:rPr>
          <w:rStyle w:val="CharDivText"/>
        </w:rPr>
        <w:t>Appeals to the Full Bench</w:t>
      </w:r>
      <w:bookmarkEnd w:id="153"/>
      <w:bookmarkEnd w:id="154"/>
      <w:bookmarkEnd w:id="155"/>
    </w:p>
    <w:p>
      <w:pPr>
        <w:pStyle w:val="Footnoteheading"/>
        <w:keepNext/>
        <w:keepLines/>
        <w:tabs>
          <w:tab w:val="left" w:pos="851"/>
        </w:tabs>
      </w:pPr>
      <w:r>
        <w:tab/>
        <w:t>[Heading inserted: No. 20 of 2002 s. 119(3).]</w:t>
      </w:r>
    </w:p>
    <w:p>
      <w:pPr>
        <w:pStyle w:val="Heading5"/>
        <w:rPr>
          <w:snapToGrid w:val="0"/>
        </w:rPr>
      </w:pPr>
      <w:bookmarkStart w:id="156" w:name="_Toc188451140"/>
      <w:r>
        <w:rPr>
          <w:rStyle w:val="CharSectno"/>
        </w:rPr>
        <w:t>49</w:t>
      </w:r>
      <w:r>
        <w:rPr>
          <w:snapToGrid w:val="0"/>
        </w:rPr>
        <w:t>.</w:t>
      </w:r>
      <w:r>
        <w:rPr>
          <w:snapToGrid w:val="0"/>
        </w:rPr>
        <w:tab/>
        <w:t>Appeal from Commission’s decision</w:t>
      </w:r>
      <w:bookmarkEnd w:id="156"/>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lastRenderedPageBreak/>
        <w:tab/>
        <w:t>(2b)</w:t>
      </w:r>
      <w:r>
        <w:tab/>
        <w:t xml:space="preserve">An appeal does not lie under this section from a determination of the Commission — </w:t>
      </w:r>
    </w:p>
    <w:p>
      <w:pPr>
        <w:pStyle w:val="Indenta"/>
      </w:pPr>
      <w:r>
        <w:tab/>
        <w:t>(a)</w:t>
      </w:r>
      <w:r>
        <w:tab/>
        <w:t>under section 97VP, 97XC or 97XQ; or</w:t>
      </w:r>
    </w:p>
    <w:p>
      <w:pPr>
        <w:pStyle w:val="Indenta"/>
      </w:pPr>
      <w:r>
        <w:tab/>
        <w:t>(b)</w:t>
      </w:r>
      <w:r>
        <w:tab/>
        <w:t>in an arbitration under any EEA dispute provision of the kind referred to in section 97UP.</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lastRenderedPageBreak/>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lastRenderedPageBreak/>
        <w:tab/>
        <w:t>[Section 49 amended: No. 121 of 1982 s. 20; No. 94 of 1984 s. 30 and 66; No. 119 of 1987 s. 12; No. 1 of 1995 s. 9; No. 36 of 1999 s. 247; No. 20 of 2002 s. 8 and 125; No. 39 of 2018 s. 28; No. 30 of 2021 s. 76(2) and 78(7); No. 43 of 2024 s. 22.]</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57" w:name="_Toc187907285"/>
      <w:bookmarkStart w:id="158" w:name="_Toc188271501"/>
      <w:bookmarkStart w:id="159" w:name="_Toc188451141"/>
      <w:r>
        <w:rPr>
          <w:rStyle w:val="CharDivNo"/>
        </w:rPr>
        <w:t>Division 2F</w:t>
      </w:r>
      <w:r>
        <w:t xml:space="preserve"> — </w:t>
      </w:r>
      <w:r>
        <w:rPr>
          <w:rStyle w:val="CharDivText"/>
        </w:rPr>
        <w:t>Keeping of and access to employment records and pay slips</w:t>
      </w:r>
      <w:bookmarkEnd w:id="157"/>
      <w:bookmarkEnd w:id="158"/>
      <w:bookmarkEnd w:id="159"/>
    </w:p>
    <w:p>
      <w:pPr>
        <w:pStyle w:val="Footnoteheading"/>
        <w:keepNext/>
        <w:keepLines/>
        <w:tabs>
          <w:tab w:val="left" w:pos="851"/>
        </w:tabs>
      </w:pPr>
      <w:r>
        <w:tab/>
        <w:t>[Heading inserted: No. 20 of 2002 s. 146(1); amended: No. 30 of 2021 s. 19.]</w:t>
      </w:r>
    </w:p>
    <w:p>
      <w:pPr>
        <w:pStyle w:val="Heading5"/>
      </w:pPr>
      <w:bookmarkStart w:id="160" w:name="_Toc188451142"/>
      <w:r>
        <w:rPr>
          <w:rStyle w:val="CharSectno"/>
        </w:rPr>
        <w:t>49D</w:t>
      </w:r>
      <w:r>
        <w:t>.</w:t>
      </w:r>
      <w:r>
        <w:tab/>
        <w:t>Employer’s duties as to employment records</w:t>
      </w:r>
      <w:bookmarkEnd w:id="160"/>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lastRenderedPageBreak/>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lastRenderedPageBreak/>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employment record is retained for not less than 7 years after it is made.</w:t>
      </w:r>
    </w:p>
    <w:p>
      <w:pPr>
        <w:pStyle w:val="Subsection"/>
      </w:pPr>
      <w:r>
        <w:tab/>
        <w:t>(4)</w:t>
      </w:r>
      <w:r>
        <w:tab/>
        <w:t>An employer who enters into an agreement under the MCE Act section 8(1) or (2A) or 32(2) must ensure that a copy of the agreement is kept as an employment record.</w:t>
      </w:r>
    </w:p>
    <w:p>
      <w:pPr>
        <w:pStyle w:val="Subsection"/>
      </w:pPr>
      <w:r>
        <w:lastRenderedPageBreak/>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 No. 43 of 2024 s. 23.]</w:t>
      </w:r>
    </w:p>
    <w:p>
      <w:pPr>
        <w:pStyle w:val="Heading5"/>
      </w:pPr>
      <w:bookmarkStart w:id="161" w:name="_Toc188451143"/>
      <w:r>
        <w:rPr>
          <w:rStyle w:val="CharSectno"/>
        </w:rPr>
        <w:t>49DA</w:t>
      </w:r>
      <w:r>
        <w:t>.</w:t>
      </w:r>
      <w:r>
        <w:tab/>
        <w:t>Employer obligations in relation to pay slips</w:t>
      </w:r>
      <w:bookmarkEnd w:id="161"/>
    </w:p>
    <w:p>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lastRenderedPageBreak/>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lastRenderedPageBreak/>
        <w:tab/>
        <w:t>(ii)</w:t>
      </w:r>
      <w:r>
        <w:tab/>
        <w:t>the amounts of contributions that the employer is liable to make in relation to the period to which the pay slip relates, and the name, or the name and number, of any fund to which the contributions will be made.</w:t>
      </w:r>
    </w:p>
    <w:p>
      <w:pPr>
        <w:pStyle w:val="Subsection"/>
      </w:pPr>
      <w:r>
        <w:tab/>
        <w:t>(2A)</w:t>
      </w:r>
      <w:r>
        <w:tab/>
        <w:t xml:space="preserve">However, a pay slip must not include any information that indicates leave taken by an employee, or to which an employee is entitled, is leave required for reasons relating to family violence (as defined in the </w:t>
      </w:r>
      <w:r>
        <w:rPr>
          <w:i/>
        </w:rPr>
        <w:t>Restraining Orders Act 1997</w:t>
      </w:r>
      <w:r>
        <w:t xml:space="preserve"> section 5A), whether the leave is paid or unpaid.</w:t>
      </w:r>
    </w:p>
    <w:p>
      <w:pPr>
        <w:pStyle w:val="Subsection"/>
      </w:pPr>
      <w:r>
        <w:tab/>
        <w:t>(3)</w:t>
      </w:r>
      <w:r>
        <w:tab/>
        <w:t>An employer must not give a pay slip for the purposes of this section if the pay slip is false or misleading.</w:t>
      </w:r>
    </w:p>
    <w:p>
      <w:pPr>
        <w:pStyle w:val="Subsection"/>
        <w:keepNext/>
      </w:pPr>
      <w:r>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21; amended: No. 43 of 2024 s. 24.]</w:t>
      </w:r>
    </w:p>
    <w:p>
      <w:pPr>
        <w:pStyle w:val="Heading5"/>
        <w:spacing w:before="240"/>
      </w:pPr>
      <w:bookmarkStart w:id="162" w:name="_Toc188451144"/>
      <w:r>
        <w:rPr>
          <w:rStyle w:val="CharSectno"/>
        </w:rPr>
        <w:t>49E</w:t>
      </w:r>
      <w:r>
        <w:t>.</w:t>
      </w:r>
      <w:r>
        <w:tab/>
        <w:t>Access to employment records</w:t>
      </w:r>
      <w:bookmarkEnd w:id="16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tab/>
        <w:t>(b)</w:t>
      </w:r>
      <w:r>
        <w:tab/>
        <w:t>is not affected by the fact that the employee is no longer employed by the employer or that the industrial instrument no longer applies to the employee; and</w:t>
      </w:r>
    </w:p>
    <w:p>
      <w:pPr>
        <w:pStyle w:val="Indenta"/>
        <w:keepNext/>
      </w:pPr>
      <w:r>
        <w:lastRenderedPageBreak/>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163" w:name="_Toc188451145"/>
      <w:r>
        <w:rPr>
          <w:rStyle w:val="CharSectno"/>
        </w:rPr>
        <w:t>49F</w:t>
      </w:r>
      <w:r>
        <w:t>.</w:t>
      </w:r>
      <w:r>
        <w:tab/>
        <w:t>Enforcement of this Division</w:t>
      </w:r>
      <w:bookmarkEnd w:id="163"/>
    </w:p>
    <w:p>
      <w:pPr>
        <w:pStyle w:val="Subsection"/>
      </w:pPr>
      <w:r>
        <w:tab/>
      </w:r>
      <w:r>
        <w:tab/>
        <w:t>A contravention of section 49D(1), (6) or (8), 49DA(1) or (3) or 49E(1) is not an offence but those subsections are civil penalty provisions for the purposes of section 83E.</w:t>
      </w:r>
    </w:p>
    <w:p>
      <w:pPr>
        <w:pStyle w:val="Footnotesection"/>
      </w:pPr>
      <w:r>
        <w:lastRenderedPageBreak/>
        <w:tab/>
        <w:t>[Section 49F inserted: No. 20 of 2002 s. 146(1); amended: No. 30 of 2021 s. 23.]</w:t>
      </w:r>
    </w:p>
    <w:p>
      <w:pPr>
        <w:pStyle w:val="Heading3"/>
        <w:spacing w:before="300"/>
      </w:pPr>
      <w:bookmarkStart w:id="164" w:name="_Toc187907290"/>
      <w:bookmarkStart w:id="165" w:name="_Toc188271506"/>
      <w:bookmarkStart w:id="166" w:name="_Toc188451146"/>
      <w:r>
        <w:rPr>
          <w:rStyle w:val="CharDivNo"/>
        </w:rPr>
        <w:t>Division 2G</w:t>
      </w:r>
      <w:r>
        <w:t xml:space="preserve"> — </w:t>
      </w:r>
      <w:r>
        <w:rPr>
          <w:rStyle w:val="CharDivText"/>
        </w:rPr>
        <w:t>Right of entry and inspection by authorised representatives</w:t>
      </w:r>
      <w:bookmarkEnd w:id="164"/>
      <w:bookmarkEnd w:id="165"/>
      <w:bookmarkEnd w:id="166"/>
    </w:p>
    <w:p>
      <w:pPr>
        <w:pStyle w:val="Footnoteheading"/>
        <w:tabs>
          <w:tab w:val="left" w:pos="851"/>
        </w:tabs>
      </w:pPr>
      <w:r>
        <w:tab/>
        <w:t>[Heading inserted: No. 20 of 2002 s. 146(1).]</w:t>
      </w:r>
    </w:p>
    <w:p>
      <w:pPr>
        <w:pStyle w:val="Heading4"/>
      </w:pPr>
      <w:bookmarkStart w:id="167" w:name="_Toc182397792"/>
      <w:bookmarkStart w:id="168" w:name="_Toc182398106"/>
      <w:bookmarkStart w:id="169" w:name="_Toc182398420"/>
      <w:bookmarkStart w:id="170" w:name="_Toc188271507"/>
      <w:bookmarkStart w:id="171" w:name="_Toc188451147"/>
      <w:r>
        <w:t>Subdivision 1 — Preliminary</w:t>
      </w:r>
      <w:bookmarkEnd w:id="167"/>
      <w:bookmarkEnd w:id="168"/>
      <w:bookmarkEnd w:id="169"/>
      <w:bookmarkEnd w:id="170"/>
      <w:bookmarkEnd w:id="171"/>
    </w:p>
    <w:p>
      <w:pPr>
        <w:pStyle w:val="Footnoteheading"/>
      </w:pPr>
      <w:r>
        <w:tab/>
        <w:t>[Heading inserted: No. 43 of 2024 s. 25.]</w:t>
      </w:r>
    </w:p>
    <w:p>
      <w:pPr>
        <w:pStyle w:val="Heading5"/>
      </w:pPr>
      <w:bookmarkStart w:id="172" w:name="_Toc182398422"/>
      <w:bookmarkStart w:id="173" w:name="_Toc188451148"/>
      <w:r>
        <w:rPr>
          <w:rStyle w:val="CharSectno"/>
        </w:rPr>
        <w:t>49G</w:t>
      </w:r>
      <w:r>
        <w:t>.</w:t>
      </w:r>
      <w:r>
        <w:tab/>
        <w:t>Terms used</w:t>
      </w:r>
      <w:bookmarkEnd w:id="172"/>
      <w:bookmarkEnd w:id="173"/>
    </w:p>
    <w:p>
      <w:pPr>
        <w:pStyle w:val="Subsection"/>
      </w:pPr>
      <w:r>
        <w:tab/>
        <w:t>(1)</w:t>
      </w:r>
      <w:r>
        <w:tab/>
        <w:t xml:space="preserve">In this Division — </w:t>
      </w:r>
    </w:p>
    <w:p>
      <w:pPr>
        <w:pStyle w:val="Defstart"/>
      </w:pPr>
      <w:r>
        <w:tab/>
      </w:r>
      <w:r>
        <w:rPr>
          <w:rStyle w:val="CharDefText"/>
        </w:rPr>
        <w:t>authorised representative</w:t>
      </w:r>
      <w:r>
        <w:t>, of an organisation of employees, means an officer or employee of the organisation who holds a right of entry permit;</w:t>
      </w:r>
    </w:p>
    <w:p>
      <w:pPr>
        <w:pStyle w:val="Defstart"/>
      </w:pPr>
      <w:r>
        <w:tab/>
      </w:r>
      <w:r>
        <w:rPr>
          <w:rStyle w:val="CharDefText"/>
        </w:rPr>
        <w:t>conviction</w:t>
      </w:r>
      <w:r>
        <w:t xml:space="preserve"> — </w:t>
      </w:r>
    </w:p>
    <w:p>
      <w:pPr>
        <w:pStyle w:val="Defpara"/>
      </w:pPr>
      <w:r>
        <w:tab/>
        <w:t>(a)</w:t>
      </w:r>
      <w:r>
        <w:tab/>
        <w:t>means a finding of guilt by a court, or the acceptance of a plea of guilty by a court, whether or not a conviction is recorded; and</w:t>
      </w:r>
    </w:p>
    <w:p>
      <w:pPr>
        <w:pStyle w:val="Defpara"/>
      </w:pPr>
      <w:r>
        <w:tab/>
        <w:t>(b)</w:t>
      </w:r>
      <w:r>
        <w:tab/>
        <w:t xml:space="preserve">includes — </w:t>
      </w:r>
    </w:p>
    <w:p>
      <w:pPr>
        <w:pStyle w:val="Defsubpara"/>
      </w:pPr>
      <w:r>
        <w:tab/>
        <w:t>(i)</w:t>
      </w:r>
      <w:r>
        <w:tab/>
        <w:t xml:space="preserve">a spent conviction as defined in the </w:t>
      </w:r>
      <w:r>
        <w:rPr>
          <w:i/>
          <w:iCs/>
        </w:rPr>
        <w:t>Spent Convictions Act 1988</w:t>
      </w:r>
      <w:r>
        <w:t xml:space="preserve"> section 3(1), regardless of sections 13 and 25 to 27 of that Act; and</w:t>
      </w:r>
    </w:p>
    <w:p>
      <w:pPr>
        <w:pStyle w:val="Defsubpara"/>
      </w:pPr>
      <w:r>
        <w:tab/>
        <w:t>(ii)</w:t>
      </w:r>
      <w:r>
        <w:tab/>
        <w:t>a conviction against a law of another jurisdiction if, under a law of that jurisdiction, the person concerned is permitted not to disclose the fact that the person was convicted or found guilty of the offence;</w:t>
      </w:r>
    </w:p>
    <w:p>
      <w:pPr>
        <w:pStyle w:val="Defstart"/>
      </w:pPr>
      <w:r>
        <w:tab/>
      </w:r>
      <w:r>
        <w:rPr>
          <w:rStyle w:val="CharDefText"/>
        </w:rPr>
        <w:t>expiry day</w:t>
      </w:r>
      <w:r>
        <w:t>, of a right of entry permit, has the meaning given in section 49Q(3);</w:t>
      </w:r>
    </w:p>
    <w:p>
      <w:pPr>
        <w:pStyle w:val="Defstart"/>
      </w:pPr>
      <w:r>
        <w:tab/>
      </w:r>
      <w:r>
        <w:rPr>
          <w:rStyle w:val="CharDefText"/>
        </w:rPr>
        <w:t>federal counterpart</w:t>
      </w:r>
      <w:r>
        <w:t xml:space="preserve">, in relation to an organisation, means a federal organisation that is — </w:t>
      </w:r>
    </w:p>
    <w:p>
      <w:pPr>
        <w:pStyle w:val="Defpara"/>
      </w:pPr>
      <w:r>
        <w:lastRenderedPageBreak/>
        <w:tab/>
        <w:t>(a)</w:t>
      </w:r>
      <w:r>
        <w:tab/>
        <w:t>a federal counterpart (as defined in the FW (Registered Organisations) Act section 9A) of the organisation; or</w:t>
      </w:r>
    </w:p>
    <w:p>
      <w:pPr>
        <w:pStyle w:val="Defpara"/>
      </w:pPr>
      <w:r>
        <w:tab/>
        <w:t>(b)</w:t>
      </w:r>
      <w:r>
        <w:tab/>
        <w:t>prescribed to be a federal counterpart of the organisation by regulations made by the Governor;</w:t>
      </w:r>
    </w:p>
    <w:p>
      <w:pPr>
        <w:pStyle w:val="Defstart"/>
      </w:pPr>
      <w:r>
        <w:tab/>
      </w:r>
      <w:r>
        <w:rPr>
          <w:rStyle w:val="CharDefText"/>
        </w:rPr>
        <w:t>fit and proper person criteria</w:t>
      </w:r>
      <w:r>
        <w:t xml:space="preserve"> has the meaning given in section 49P(2);</w:t>
      </w:r>
    </w:p>
    <w:p>
      <w:pPr>
        <w:pStyle w:val="Defstart"/>
      </w:pPr>
      <w:r>
        <w:tab/>
      </w:r>
      <w:r>
        <w:rPr>
          <w:rStyle w:val="CharDefText"/>
        </w:rPr>
        <w:t>industrial law</w:t>
      </w:r>
      <w:r>
        <w:t xml:space="preserve"> means the following — </w:t>
      </w:r>
    </w:p>
    <w:p>
      <w:pPr>
        <w:pStyle w:val="Defpara"/>
      </w:pPr>
      <w:r>
        <w:tab/>
        <w:t>(a)</w:t>
      </w:r>
      <w:r>
        <w:tab/>
        <w:t>this Act, the LSL Act and the MCE Act;</w:t>
      </w:r>
    </w:p>
    <w:p>
      <w:pPr>
        <w:pStyle w:val="Defpara"/>
      </w:pPr>
      <w:r>
        <w:tab/>
        <w:t>(b)</w:t>
      </w:r>
      <w:r>
        <w:tab/>
        <w:t>the FW Act and the FW (Registered Organisations) Act;</w:t>
      </w:r>
    </w:p>
    <w:p>
      <w:pPr>
        <w:pStyle w:val="Defpara"/>
      </w:pPr>
      <w:r>
        <w:tab/>
        <w:t>(c)</w:t>
      </w:r>
      <w:r>
        <w:tab/>
        <w:t>another law of the Commonwealth, or a law of another State or a Territory, prescribed to be an industrial law by regulations made by the Governor;</w:t>
      </w:r>
    </w:p>
    <w:p>
      <w:pPr>
        <w:pStyle w:val="Defstart"/>
      </w:pPr>
      <w:r>
        <w:tab/>
      </w:r>
      <w:r>
        <w:rPr>
          <w:rStyle w:val="CharDefText"/>
        </w:rPr>
        <w:t>nominated official</w:t>
      </w:r>
      <w:r>
        <w:t>, in relation to an application under section 49N(1), has the meaning given in section 49N(3);</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Defstart"/>
      </w:pPr>
      <w:r>
        <w:tab/>
      </w:r>
      <w:r>
        <w:rPr>
          <w:rStyle w:val="CharDefText"/>
        </w:rPr>
        <w:t>right of entry permit</w:t>
      </w:r>
      <w:r>
        <w:t xml:space="preserve"> means a permit issued by the Commission under Subdivision 3;</w:t>
      </w:r>
    </w:p>
    <w:p>
      <w:pPr>
        <w:pStyle w:val="Defstart"/>
      </w:pPr>
      <w:r>
        <w:tab/>
      </w:r>
      <w:r>
        <w:rPr>
          <w:rStyle w:val="CharDefText"/>
        </w:rPr>
        <w:t>work health and safety law</w:t>
      </w:r>
      <w:r>
        <w:t xml:space="preserve"> means — </w:t>
      </w:r>
    </w:p>
    <w:p>
      <w:pPr>
        <w:pStyle w:val="Defpara"/>
      </w:pPr>
      <w:r>
        <w:tab/>
        <w:t>(a)</w:t>
      </w:r>
      <w:r>
        <w:tab/>
        <w:t xml:space="preserve">the </w:t>
      </w:r>
      <w:r>
        <w:rPr>
          <w:i/>
          <w:iCs/>
        </w:rPr>
        <w:t>Work Health and Safety Act 2020</w:t>
      </w:r>
      <w:r>
        <w:t>; or</w:t>
      </w:r>
    </w:p>
    <w:p>
      <w:pPr>
        <w:pStyle w:val="Defpara"/>
      </w:pPr>
      <w:r>
        <w:tab/>
        <w:t>(b)</w:t>
      </w:r>
      <w:r>
        <w:tab/>
        <w:t>a law of the Commonwealth, another State or a Territory prescribed to be a work health and safety law by regulations made by the Governor.</w:t>
      </w:r>
    </w:p>
    <w:p>
      <w:pPr>
        <w:pStyle w:val="Subsection"/>
      </w:pPr>
      <w:r>
        <w:tab/>
        <w:t>(2)</w:t>
      </w:r>
      <w:r>
        <w:tab/>
        <w:t xml:space="preserve">In this Division, a reference to an officer or employee of an organisation includes a reference to an officer or employee of a federal counterpart of the organisation. </w:t>
      </w:r>
    </w:p>
    <w:p>
      <w:pPr>
        <w:pStyle w:val="Footnotesection"/>
      </w:pPr>
      <w:r>
        <w:tab/>
        <w:t>[Section 49G inserted: No. 43 of 2024 s. 26.]</w:t>
      </w:r>
    </w:p>
    <w:p>
      <w:pPr>
        <w:pStyle w:val="Heading4"/>
      </w:pPr>
      <w:bookmarkStart w:id="174" w:name="_Toc182397796"/>
      <w:bookmarkStart w:id="175" w:name="_Toc182398110"/>
      <w:bookmarkStart w:id="176" w:name="_Toc182398424"/>
      <w:bookmarkStart w:id="177" w:name="_Toc188271509"/>
      <w:bookmarkStart w:id="178" w:name="_Toc188451149"/>
      <w:r>
        <w:lastRenderedPageBreak/>
        <w:t>Subdivision 2 — Right of entry and inspection</w:t>
      </w:r>
      <w:bookmarkEnd w:id="174"/>
      <w:bookmarkEnd w:id="175"/>
      <w:bookmarkEnd w:id="176"/>
      <w:bookmarkEnd w:id="177"/>
      <w:bookmarkEnd w:id="178"/>
    </w:p>
    <w:p>
      <w:pPr>
        <w:pStyle w:val="Footnoteheading"/>
        <w:keepNext/>
        <w:rPr>
          <w:rStyle w:val="CharSectno"/>
        </w:rPr>
      </w:pPr>
      <w:r>
        <w:rPr>
          <w:rStyle w:val="CharSectno"/>
        </w:rPr>
        <w:tab/>
        <w:t>[Heading inserted: No. 43 of 2024 s. 27.]</w:t>
      </w:r>
    </w:p>
    <w:p>
      <w:pPr>
        <w:pStyle w:val="Heading5"/>
      </w:pPr>
      <w:bookmarkStart w:id="179" w:name="_Toc188451150"/>
      <w:r>
        <w:rPr>
          <w:rStyle w:val="CharSectno"/>
        </w:rPr>
        <w:t>49H</w:t>
      </w:r>
      <w:r>
        <w:t>.</w:t>
      </w:r>
      <w:r>
        <w:tab/>
        <w:t>Entry for discussions with employees</w:t>
      </w:r>
      <w:bookmarkEnd w:id="17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80" w:name="_Toc188451151"/>
      <w:r>
        <w:rPr>
          <w:rStyle w:val="CharSectno"/>
        </w:rPr>
        <w:t>49I</w:t>
      </w:r>
      <w:r>
        <w:t>.</w:t>
      </w:r>
      <w:r>
        <w:tab/>
        <w:t>Entry to investigate certain breaches</w:t>
      </w:r>
      <w:bookmarkEnd w:id="180"/>
    </w:p>
    <w:p>
      <w:pPr>
        <w:pStyle w:val="Subsection"/>
      </w:pPr>
      <w:r>
        <w:tab/>
        <w:t>(1)</w:t>
      </w:r>
      <w:r>
        <w:tab/>
        <w:t>An authorised representative of an organisation may enter, during working hours, any premises where relevant employees work, for the purpose of investigating any suspected breach of any of the following —</w:t>
      </w:r>
    </w:p>
    <w:p>
      <w:pPr>
        <w:pStyle w:val="Indenta"/>
      </w:pPr>
      <w:r>
        <w:tab/>
        <w:t>(a)</w:t>
      </w:r>
      <w:r>
        <w:tab/>
        <w:t>this Act, the LSL Act or the MCE Act;</w:t>
      </w:r>
    </w:p>
    <w:p>
      <w:pPr>
        <w:pStyle w:val="Indenta"/>
      </w:pPr>
      <w:r>
        <w:tab/>
        <w:t>(b)</w:t>
      </w:r>
      <w:r>
        <w:tab/>
        <w:t xml:space="preserve">the </w:t>
      </w:r>
      <w:r>
        <w:rPr>
          <w:i/>
        </w:rPr>
        <w:t>Work Health and Safety Act 2020</w:t>
      </w:r>
      <w:r>
        <w:t>;</w:t>
      </w:r>
    </w:p>
    <w:p>
      <w:pPr>
        <w:pStyle w:val="Indenta"/>
      </w:pPr>
      <w:r>
        <w:lastRenderedPageBreak/>
        <w:tab/>
        <w:t>(c)</w:t>
      </w:r>
      <w:r>
        <w:tab/>
        <w:t xml:space="preserve">the </w:t>
      </w:r>
      <w:r>
        <w:rPr>
          <w:i/>
        </w:rPr>
        <w:t>Construction Industry Portable Paid Long Service Leave Act 1985</w:t>
      </w:r>
      <w:r>
        <w:t>;</w:t>
      </w:r>
    </w:p>
    <w:p>
      <w:pPr>
        <w:pStyle w:val="Indenta"/>
      </w:pPr>
      <w:r>
        <w:tab/>
        <w:t>(d)</w:t>
      </w:r>
      <w:r>
        <w:tab/>
        <w:t>a local government long service leave provision;</w:t>
      </w:r>
    </w:p>
    <w:p>
      <w:pPr>
        <w:pStyle w:val="Indenta"/>
      </w:pPr>
      <w:r>
        <w:tab/>
        <w:t>(e)</w:t>
      </w:r>
      <w:r>
        <w:tab/>
        <w:t>an award, order, industrial agreement or employer</w:t>
      </w:r>
      <w:r>
        <w:noBreakHyphen/>
        <w:t>employee agreement that applies to a relevant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lastRenderedPageBreak/>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24; No. 43 of 2024 s. 28.]</w:t>
      </w:r>
    </w:p>
    <w:p>
      <w:pPr>
        <w:pStyle w:val="Ednotesection"/>
      </w:pPr>
      <w:r>
        <w:t>[</w:t>
      </w:r>
      <w:r>
        <w:rPr>
          <w:b/>
          <w:bCs/>
        </w:rPr>
        <w:t>49J</w:t>
      </w:r>
      <w:r>
        <w:t>.</w:t>
      </w:r>
      <w:r>
        <w:tab/>
        <w:t>Deleted: No. 43 of 2024 s. 29.]</w:t>
      </w:r>
    </w:p>
    <w:p>
      <w:pPr>
        <w:pStyle w:val="Heading5"/>
      </w:pPr>
      <w:bookmarkStart w:id="181" w:name="_Toc188451152"/>
      <w:r>
        <w:rPr>
          <w:rStyle w:val="CharSectno"/>
        </w:rPr>
        <w:lastRenderedPageBreak/>
        <w:t>49K</w:t>
      </w:r>
      <w:r>
        <w:t>.</w:t>
      </w:r>
      <w:r>
        <w:tab/>
        <w:t>No entry to premises used for habitation</w:t>
      </w:r>
      <w:bookmarkEnd w:id="181"/>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182" w:name="_Toc188451153"/>
      <w:r>
        <w:rPr>
          <w:rStyle w:val="CharSectno"/>
        </w:rPr>
        <w:t>49L</w:t>
      </w:r>
      <w:r>
        <w:t>.</w:t>
      </w:r>
      <w:r>
        <w:tab/>
        <w:t>Right of entry permit must be shown to occupier on request</w:t>
      </w:r>
      <w:bookmarkEnd w:id="18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the occupier requests the person to show the person’s right of entry permit,</w:t>
      </w:r>
    </w:p>
    <w:p>
      <w:pPr>
        <w:pStyle w:val="Subsection"/>
      </w:pPr>
      <w:r>
        <w:tab/>
      </w:r>
      <w:r>
        <w:tab/>
        <w:t>the person is not entitled under that section to enter or remain on the premises unless the person shows the occupier the right of entry permit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 No. 43 of 2024 s. 30.]</w:t>
      </w:r>
    </w:p>
    <w:p>
      <w:pPr>
        <w:pStyle w:val="Heading5"/>
        <w:spacing w:before="260"/>
      </w:pPr>
      <w:bookmarkStart w:id="183" w:name="_Toc188451154"/>
      <w:r>
        <w:rPr>
          <w:rStyle w:val="CharSectno"/>
        </w:rPr>
        <w:lastRenderedPageBreak/>
        <w:t>49M</w:t>
      </w:r>
      <w:r>
        <w:t>.</w:t>
      </w:r>
      <w:r>
        <w:tab/>
        <w:t>Obstructing etc. rights etc. under this Division etc.</w:t>
      </w:r>
      <w:bookmarkEnd w:id="18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right of entry permit.</w:t>
      </w:r>
    </w:p>
    <w:p>
      <w:pPr>
        <w:pStyle w:val="Subsection"/>
      </w:pPr>
      <w:r>
        <w:tab/>
        <w:t>(4)</w:t>
      </w:r>
      <w:r>
        <w:tab/>
        <w:t>A contravention of subsection (1), (2) or (3) is not an offence but those subsections are civil penalty provisions for the purposes of section 83E.</w:t>
      </w:r>
    </w:p>
    <w:p>
      <w:pPr>
        <w:pStyle w:val="Footnotesection"/>
        <w:keepNext/>
      </w:pPr>
      <w:r>
        <w:tab/>
        <w:t>[Section 49M inserted: No. 20 of 2002 s. 146(1); amended: No. 43 of 2024 s. 31.]</w:t>
      </w:r>
    </w:p>
    <w:p>
      <w:pPr>
        <w:pStyle w:val="Heading4"/>
      </w:pPr>
      <w:bookmarkStart w:id="184" w:name="_Toc182397803"/>
      <w:bookmarkStart w:id="185" w:name="_Toc182398117"/>
      <w:bookmarkStart w:id="186" w:name="_Toc182398431"/>
      <w:bookmarkStart w:id="187" w:name="_Toc188271515"/>
      <w:bookmarkStart w:id="188" w:name="_Toc188451155"/>
      <w:bookmarkStart w:id="189" w:name="_Toc187907300"/>
      <w:r>
        <w:t>Subdivision 3 — Right of entry permits</w:t>
      </w:r>
      <w:bookmarkEnd w:id="184"/>
      <w:bookmarkEnd w:id="185"/>
      <w:bookmarkEnd w:id="186"/>
      <w:bookmarkEnd w:id="187"/>
      <w:bookmarkEnd w:id="188"/>
    </w:p>
    <w:p>
      <w:pPr>
        <w:pStyle w:val="Footnoteheading"/>
      </w:pPr>
      <w:r>
        <w:tab/>
        <w:t>[Heading inserted: No. 43 of 2024 s. 33.]</w:t>
      </w:r>
    </w:p>
    <w:p>
      <w:pPr>
        <w:pStyle w:val="Heading5"/>
      </w:pPr>
      <w:bookmarkStart w:id="190" w:name="_Toc182398432"/>
      <w:bookmarkStart w:id="191" w:name="_Toc188451156"/>
      <w:r>
        <w:rPr>
          <w:rStyle w:val="CharSectno"/>
        </w:rPr>
        <w:t>49N</w:t>
      </w:r>
      <w:r>
        <w:t>.</w:t>
      </w:r>
      <w:r>
        <w:tab/>
        <w:t>Application for right of entry permit</w:t>
      </w:r>
      <w:bookmarkEnd w:id="190"/>
      <w:bookmarkEnd w:id="191"/>
    </w:p>
    <w:p>
      <w:pPr>
        <w:pStyle w:val="Subsection"/>
      </w:pPr>
      <w:r>
        <w:tab/>
        <w:t>(1)</w:t>
      </w:r>
      <w:r>
        <w:tab/>
        <w:t>The secretary of an organisation of employees may apply to the Commission for an officer or employee of the organisation to be issued a right of entry permit.</w:t>
      </w:r>
    </w:p>
    <w:p>
      <w:pPr>
        <w:pStyle w:val="Subsection"/>
      </w:pPr>
      <w:r>
        <w:tab/>
        <w:t>(2)</w:t>
      </w:r>
      <w:r>
        <w:tab/>
        <w:t>The application must comply with any requirements prescribed by the regulations.</w:t>
      </w:r>
    </w:p>
    <w:p>
      <w:pPr>
        <w:pStyle w:val="Subsection"/>
      </w:pPr>
      <w:r>
        <w:tab/>
        <w:t>(3)</w:t>
      </w:r>
      <w:r>
        <w:tab/>
        <w:t xml:space="preserve">The officer or employee named in the application is the </w:t>
      </w:r>
      <w:r>
        <w:rPr>
          <w:rStyle w:val="CharDefText"/>
        </w:rPr>
        <w:t>nominated official</w:t>
      </w:r>
      <w:r>
        <w:t>.</w:t>
      </w:r>
    </w:p>
    <w:p>
      <w:pPr>
        <w:pStyle w:val="Footnotesection"/>
      </w:pPr>
      <w:r>
        <w:tab/>
        <w:t>[Section 49N inserted: No. 43 of 2024 s. 33.]</w:t>
      </w:r>
    </w:p>
    <w:p>
      <w:pPr>
        <w:pStyle w:val="Heading5"/>
      </w:pPr>
      <w:bookmarkStart w:id="192" w:name="_Toc182398433"/>
      <w:bookmarkStart w:id="193" w:name="_Toc188451157"/>
      <w:r>
        <w:rPr>
          <w:rStyle w:val="CharSectno"/>
        </w:rPr>
        <w:lastRenderedPageBreak/>
        <w:t>49O</w:t>
      </w:r>
      <w:r>
        <w:t>.</w:t>
      </w:r>
      <w:r>
        <w:tab/>
        <w:t>Commission may issue right of entry permit</w:t>
      </w:r>
      <w:bookmarkEnd w:id="192"/>
      <w:bookmarkEnd w:id="193"/>
    </w:p>
    <w:p>
      <w:pPr>
        <w:pStyle w:val="Subsection"/>
      </w:pPr>
      <w:r>
        <w:tab/>
        <w:t>(1)</w:t>
      </w:r>
      <w:r>
        <w:tab/>
        <w:t>The Commission may, on an application under section 49N, issue a right of entry permit to the nominated official if satisfied that the official is a fit and proper person to hold the permit.</w:t>
      </w:r>
    </w:p>
    <w:p>
      <w:pPr>
        <w:pStyle w:val="Subsection"/>
      </w:pPr>
      <w:r>
        <w:tab/>
        <w:t>(2)</w:t>
      </w:r>
      <w:r>
        <w:tab/>
        <w:t>The Commission may decide to issue a right of entry permit subject to conditions.</w:t>
      </w:r>
    </w:p>
    <w:p>
      <w:pPr>
        <w:pStyle w:val="Subsection"/>
      </w:pPr>
      <w:r>
        <w:tab/>
        <w:t>(3)</w:t>
      </w:r>
      <w:r>
        <w:tab/>
        <w:t xml:space="preserve">The Commission cannot issue a right of entry permit to the nominated official if, when the Commission is deciding the application — </w:t>
      </w:r>
    </w:p>
    <w:p>
      <w:pPr>
        <w:pStyle w:val="Indenta"/>
      </w:pPr>
      <w:r>
        <w:tab/>
        <w:t>(a)</w:t>
      </w:r>
      <w:r>
        <w:tab/>
        <w:t>a right of entry the official had under an industrial law or work health and safety law is suspended under that law; or</w:t>
      </w:r>
    </w:p>
    <w:p>
      <w:pPr>
        <w:pStyle w:val="Indenta"/>
      </w:pPr>
      <w:r>
        <w:tab/>
        <w:t>(b)</w:t>
      </w:r>
      <w:r>
        <w:tab/>
        <w:t>the official is disqualified under an industrial law or work health and safety law from exercising, or applying for, a right of entry under that law.</w:t>
      </w:r>
    </w:p>
    <w:p>
      <w:pPr>
        <w:pStyle w:val="Footnotesection"/>
      </w:pPr>
      <w:r>
        <w:tab/>
        <w:t>[Section 49O inserted: No. 43 of 2024 s. 33.]</w:t>
      </w:r>
    </w:p>
    <w:p>
      <w:pPr>
        <w:pStyle w:val="Heading5"/>
      </w:pPr>
      <w:bookmarkStart w:id="194" w:name="_Toc182398434"/>
      <w:bookmarkStart w:id="195" w:name="_Toc188451158"/>
      <w:r>
        <w:rPr>
          <w:rStyle w:val="CharSectno"/>
        </w:rPr>
        <w:t>49P</w:t>
      </w:r>
      <w:r>
        <w:t>.</w:t>
      </w:r>
      <w:r>
        <w:tab/>
        <w:t>Deciding whether nominated representative is fit and proper person</w:t>
      </w:r>
      <w:bookmarkEnd w:id="194"/>
      <w:bookmarkEnd w:id="195"/>
    </w:p>
    <w:p>
      <w:pPr>
        <w:pStyle w:val="Subsection"/>
      </w:pPr>
      <w:r>
        <w:tab/>
        <w:t>(1)</w:t>
      </w:r>
      <w:r>
        <w:tab/>
        <w:t xml:space="preserve">In deciding whether a nominated official is a fit and proper person to hold a right of entry permit, the Commission — </w:t>
      </w:r>
    </w:p>
    <w:p>
      <w:pPr>
        <w:pStyle w:val="Indenta"/>
      </w:pPr>
      <w:r>
        <w:tab/>
        <w:t>(a)</w:t>
      </w:r>
      <w:r>
        <w:tab/>
        <w:t xml:space="preserve">must consider the fit and proper person criteria in relation to the official; and </w:t>
      </w:r>
    </w:p>
    <w:p>
      <w:pPr>
        <w:pStyle w:val="Indenta"/>
      </w:pPr>
      <w:r>
        <w:tab/>
        <w:t>(b)</w:t>
      </w:r>
      <w:r>
        <w:tab/>
        <w:t>may consider any other matters the Commission considers relevant.</w:t>
      </w:r>
    </w:p>
    <w:p>
      <w:pPr>
        <w:pStyle w:val="Subsection"/>
      </w:pPr>
      <w:r>
        <w:tab/>
        <w:t>(2)</w:t>
      </w:r>
      <w:r>
        <w:tab/>
        <w:t xml:space="preserve">The following matters are the </w:t>
      </w:r>
      <w:r>
        <w:rPr>
          <w:rStyle w:val="CharDefText"/>
        </w:rPr>
        <w:t>fit and proper person criteria</w:t>
      </w:r>
      <w:r>
        <w:t xml:space="preserve"> in relation to a nominated official — </w:t>
      </w:r>
    </w:p>
    <w:p>
      <w:pPr>
        <w:pStyle w:val="Indenta"/>
      </w:pPr>
      <w:r>
        <w:tab/>
        <w:t>(a)</w:t>
      </w:r>
      <w:r>
        <w:tab/>
        <w:t>whether the official has received appropriate training about the rights and responsibilities of an authorised representative;</w:t>
      </w:r>
    </w:p>
    <w:p>
      <w:pPr>
        <w:pStyle w:val="Indenta"/>
      </w:pPr>
      <w:r>
        <w:tab/>
        <w:t>(b)</w:t>
      </w:r>
      <w:r>
        <w:tab/>
        <w:t>whether the official has ever been convicted of an offence against an industrial law;</w:t>
      </w:r>
    </w:p>
    <w:p>
      <w:pPr>
        <w:pStyle w:val="Indenta"/>
      </w:pPr>
      <w:r>
        <w:lastRenderedPageBreak/>
        <w:tab/>
        <w:t>(c)</w:t>
      </w:r>
      <w:r>
        <w:tab/>
        <w:t xml:space="preserve">whether the official has ever been convicted of an offence against a law of the Commonwealth, a State, a Territory or a foreign country involving — </w:t>
      </w:r>
    </w:p>
    <w:p>
      <w:pPr>
        <w:pStyle w:val="Indenti"/>
      </w:pPr>
      <w:r>
        <w:tab/>
        <w:t>(i)</w:t>
      </w:r>
      <w:r>
        <w:tab/>
        <w:t>entry onto premises; or</w:t>
      </w:r>
    </w:p>
    <w:p>
      <w:pPr>
        <w:pStyle w:val="Indenti"/>
      </w:pPr>
      <w:r>
        <w:tab/>
        <w:t>(ii)</w:t>
      </w:r>
      <w:r>
        <w:tab/>
        <w:t>fraud or dishonesty; or</w:t>
      </w:r>
    </w:p>
    <w:p>
      <w:pPr>
        <w:pStyle w:val="Indenti"/>
      </w:pPr>
      <w:r>
        <w:tab/>
        <w:t>(iii)</w:t>
      </w:r>
      <w:r>
        <w:tab/>
        <w:t>the intentional use of violence against another person; or</w:t>
      </w:r>
    </w:p>
    <w:p>
      <w:pPr>
        <w:pStyle w:val="Indenti"/>
      </w:pPr>
      <w:r>
        <w:tab/>
        <w:t>(iv)</w:t>
      </w:r>
      <w:r>
        <w:tab/>
        <w:t>the intentional damage or destruction of property;</w:t>
      </w:r>
    </w:p>
    <w:p>
      <w:pPr>
        <w:pStyle w:val="Indenta"/>
      </w:pPr>
      <w:r>
        <w:tab/>
        <w:t>(d)</w:t>
      </w:r>
      <w:r>
        <w:tab/>
        <w:t>whether the official, or another person, has ever been ordered to pay a penalty under an industrial law in relation to the actions of the official;</w:t>
      </w:r>
    </w:p>
    <w:p>
      <w:pPr>
        <w:pStyle w:val="Indenta"/>
      </w:pPr>
      <w:r>
        <w:tab/>
        <w:t>(e)</w:t>
      </w:r>
      <w:r>
        <w:tab/>
        <w:t>whether a right of entry permit issued to the official has been revoked, suspended or made subject to conditions;</w:t>
      </w:r>
    </w:p>
    <w:p>
      <w:pPr>
        <w:pStyle w:val="Indenta"/>
      </w:pPr>
      <w:r>
        <w:tab/>
        <w:t>(f)</w:t>
      </w:r>
      <w:r>
        <w:tab/>
        <w:t xml:space="preserve">whether a right of entry for industrial or work health and safety purposes the official had under an industrial law or a work health and safety law has ever been revoked, suspended or had conditions imposed on it; </w:t>
      </w:r>
    </w:p>
    <w:p>
      <w:pPr>
        <w:pStyle w:val="Indenta"/>
      </w:pPr>
      <w:r>
        <w:tab/>
        <w:t>(g)</w:t>
      </w:r>
      <w:r>
        <w:tab/>
        <w:t>whether the official has ever been disqualified under an industrial law or a work health and safety law from exercising, or applying for, a right of entry for industrial or work health and safety purposes under that law.</w:t>
      </w:r>
    </w:p>
    <w:p>
      <w:pPr>
        <w:pStyle w:val="Footnotesection"/>
      </w:pPr>
      <w:r>
        <w:tab/>
        <w:t>[Section 49P inserted: No. 43 of 2024 s. 33.]</w:t>
      </w:r>
    </w:p>
    <w:p>
      <w:pPr>
        <w:pStyle w:val="Heading5"/>
      </w:pPr>
      <w:bookmarkStart w:id="196" w:name="_Toc182398435"/>
      <w:bookmarkStart w:id="197" w:name="_Toc188451159"/>
      <w:r>
        <w:rPr>
          <w:rStyle w:val="CharSectno"/>
        </w:rPr>
        <w:t>49Q</w:t>
      </w:r>
      <w:r>
        <w:t>.</w:t>
      </w:r>
      <w:r>
        <w:tab/>
        <w:t>Form of right of entry permit</w:t>
      </w:r>
      <w:bookmarkEnd w:id="196"/>
      <w:bookmarkEnd w:id="197"/>
    </w:p>
    <w:p>
      <w:pPr>
        <w:pStyle w:val="Subsection"/>
      </w:pPr>
      <w:r>
        <w:tab/>
        <w:t>(1)</w:t>
      </w:r>
      <w:r>
        <w:tab/>
        <w:t>This section applies if the Commission, on an application under section 49N, decides to issue a right of entry permit to the nominated official.</w:t>
      </w:r>
    </w:p>
    <w:p>
      <w:pPr>
        <w:pStyle w:val="Subsection"/>
      </w:pPr>
      <w:r>
        <w:tab/>
        <w:t>(2)</w:t>
      </w:r>
      <w:r>
        <w:tab/>
        <w:t xml:space="preserve">The right of entry permit must state the following information — </w:t>
      </w:r>
    </w:p>
    <w:p>
      <w:pPr>
        <w:pStyle w:val="Indenta"/>
      </w:pPr>
      <w:r>
        <w:tab/>
        <w:t>(a)</w:t>
      </w:r>
      <w:r>
        <w:tab/>
        <w:t>the name of the nominated official;</w:t>
      </w:r>
    </w:p>
    <w:p>
      <w:pPr>
        <w:pStyle w:val="Indenta"/>
      </w:pPr>
      <w:r>
        <w:tab/>
        <w:t>(b)</w:t>
      </w:r>
      <w:r>
        <w:tab/>
        <w:t>the name of the organisation of employees, the secretary of which made the application;</w:t>
      </w:r>
    </w:p>
    <w:p>
      <w:pPr>
        <w:pStyle w:val="Indenta"/>
      </w:pPr>
      <w:r>
        <w:lastRenderedPageBreak/>
        <w:tab/>
        <w:t>(c)</w:t>
      </w:r>
      <w:r>
        <w:tab/>
        <w:t>the conditions, if any, the permit is issued subject to;</w:t>
      </w:r>
    </w:p>
    <w:p>
      <w:pPr>
        <w:pStyle w:val="Indenta"/>
      </w:pPr>
      <w:r>
        <w:tab/>
        <w:t>(d)</w:t>
      </w:r>
      <w:r>
        <w:tab/>
        <w:t>the day on which the permit is issued and its expiry day.</w:t>
      </w:r>
    </w:p>
    <w:p>
      <w:pPr>
        <w:pStyle w:val="Subsection"/>
      </w:pPr>
      <w:r>
        <w:tab/>
        <w:t>(3)</w:t>
      </w:r>
      <w:r>
        <w:tab/>
        <w:t xml:space="preserve">For the purposes of subsection (2)(d), the </w:t>
      </w:r>
      <w:r>
        <w:rPr>
          <w:rStyle w:val="CharDefText"/>
        </w:rPr>
        <w:t>expiry day</w:t>
      </w:r>
      <w:r>
        <w:t xml:space="preserve"> of a right of entry permit is the day that is 3 years after the day on which the permit is issued.</w:t>
      </w:r>
    </w:p>
    <w:p>
      <w:pPr>
        <w:pStyle w:val="Footnotesection"/>
      </w:pPr>
      <w:r>
        <w:tab/>
        <w:t>[Section 49Q inserted: No. 43 of 2024 s. 33.]</w:t>
      </w:r>
    </w:p>
    <w:p>
      <w:pPr>
        <w:pStyle w:val="Heading5"/>
      </w:pPr>
      <w:bookmarkStart w:id="198" w:name="_Toc182398436"/>
      <w:bookmarkStart w:id="199" w:name="_Toc188451160"/>
      <w:r>
        <w:rPr>
          <w:rStyle w:val="CharSectno"/>
        </w:rPr>
        <w:t>49R</w:t>
      </w:r>
      <w:r>
        <w:t>.</w:t>
      </w:r>
      <w:r>
        <w:tab/>
        <w:t>Expiry of right of entry permit</w:t>
      </w:r>
      <w:bookmarkEnd w:id="198"/>
      <w:bookmarkEnd w:id="199"/>
    </w:p>
    <w:p>
      <w:pPr>
        <w:pStyle w:val="Subsection"/>
      </w:pPr>
      <w:r>
        <w:tab/>
        <w:t>(1)</w:t>
      </w:r>
      <w:r>
        <w:tab/>
        <w:t xml:space="preserve">Unless it is earlier revoked, a right of entry permit expires at the earlier of the following times — </w:t>
      </w:r>
    </w:p>
    <w:p>
      <w:pPr>
        <w:pStyle w:val="Indenta"/>
      </w:pPr>
      <w:r>
        <w:tab/>
        <w:t>(a)</w:t>
      </w:r>
      <w:r>
        <w:tab/>
        <w:t>at the end of the day on its expiry day or, if the Commission decides on a later expiry day under section 49S, the later expiry day;</w:t>
      </w:r>
    </w:p>
    <w:p>
      <w:pPr>
        <w:pStyle w:val="Indenta"/>
      </w:pPr>
      <w:r>
        <w:tab/>
        <w:t>(b)</w:t>
      </w:r>
      <w:r>
        <w:tab/>
        <w:t>when the authorised representative stops being an officer or employee of the relevant organisation.</w:t>
      </w:r>
    </w:p>
    <w:p>
      <w:pPr>
        <w:pStyle w:val="Subsection"/>
      </w:pPr>
      <w:r>
        <w:tab/>
        <w:t>(2)</w:t>
      </w:r>
      <w:r>
        <w:tab/>
        <w:t xml:space="preserve">In subsection (1) — </w:t>
      </w:r>
    </w:p>
    <w:p>
      <w:pPr>
        <w:pStyle w:val="Defstart"/>
      </w:pPr>
      <w:r>
        <w:tab/>
      </w:r>
      <w:r>
        <w:rPr>
          <w:rStyle w:val="CharDefText"/>
        </w:rPr>
        <w:t>relevant organisation</w:t>
      </w:r>
      <w:r>
        <w:t xml:space="preserve">, in relation to an authorised representative, means — </w:t>
      </w:r>
    </w:p>
    <w:p>
      <w:pPr>
        <w:pStyle w:val="Defpara"/>
      </w:pPr>
      <w:r>
        <w:tab/>
        <w:t>(a)</w:t>
      </w:r>
      <w:r>
        <w:tab/>
        <w:t>if the authorised representative is an officer or employee of the organisation of employees, the secretary of which applied for the permit — that organisation; or</w:t>
      </w:r>
    </w:p>
    <w:p>
      <w:pPr>
        <w:pStyle w:val="Defpara"/>
      </w:pPr>
      <w:r>
        <w:tab/>
        <w:t>(b)</w:t>
      </w:r>
      <w:r>
        <w:tab/>
        <w:t>if the authorised representative is an officer or employee of a federal counterpart of the organisation referred to in paragraph (a) — the federal counterpart of that organisation.</w:t>
      </w:r>
    </w:p>
    <w:p>
      <w:pPr>
        <w:pStyle w:val="Footnotesection"/>
      </w:pPr>
      <w:r>
        <w:tab/>
        <w:t>[Section 49R inserted: No. 43 of 2024 s. 33.]</w:t>
      </w:r>
    </w:p>
    <w:p>
      <w:pPr>
        <w:pStyle w:val="Heading5"/>
      </w:pPr>
      <w:bookmarkStart w:id="200" w:name="_Toc182398437"/>
      <w:bookmarkStart w:id="201" w:name="_Toc188451161"/>
      <w:r>
        <w:rPr>
          <w:rStyle w:val="CharSectno"/>
        </w:rPr>
        <w:t>49S</w:t>
      </w:r>
      <w:r>
        <w:t>.</w:t>
      </w:r>
      <w:r>
        <w:tab/>
        <w:t>Commission may decide on later expiry day</w:t>
      </w:r>
      <w:bookmarkEnd w:id="200"/>
      <w:bookmarkEnd w:id="201"/>
    </w:p>
    <w:p>
      <w:pPr>
        <w:pStyle w:val="Subsection"/>
      </w:pPr>
      <w:r>
        <w:tab/>
        <w:t>(1)</w:t>
      </w:r>
      <w:r>
        <w:tab/>
        <w:t xml:space="preserve">The Commission may decide on another day (the </w:t>
      </w:r>
      <w:r>
        <w:rPr>
          <w:rStyle w:val="CharDefText"/>
        </w:rPr>
        <w:t>later expiry day</w:t>
      </w:r>
      <w:r>
        <w:t xml:space="preserve">), that is later than the expiry day, on which a right of entry permit expires if — </w:t>
      </w:r>
    </w:p>
    <w:p>
      <w:pPr>
        <w:pStyle w:val="Indenta"/>
      </w:pPr>
      <w:r>
        <w:lastRenderedPageBreak/>
        <w:tab/>
        <w:t>(a)</w:t>
      </w:r>
      <w:r>
        <w:tab/>
        <w:t xml:space="preserve">the secretary of the organisation that applied for the permit has applied for another right of entry permit (the </w:t>
      </w:r>
      <w:r>
        <w:rPr>
          <w:rStyle w:val="CharDefText"/>
        </w:rPr>
        <w:t>new permit</w:t>
      </w:r>
      <w:r>
        <w:t>) for the authorised representative; and</w:t>
      </w:r>
    </w:p>
    <w:p>
      <w:pPr>
        <w:pStyle w:val="Indenta"/>
      </w:pPr>
      <w:r>
        <w:tab/>
        <w:t>(b)</w:t>
      </w:r>
      <w:r>
        <w:tab/>
        <w:t>the application was made at least 1 month before the expiry day of the permit; and</w:t>
      </w:r>
    </w:p>
    <w:p>
      <w:pPr>
        <w:pStyle w:val="Indenta"/>
      </w:pPr>
      <w:r>
        <w:tab/>
        <w:t>(c)</w:t>
      </w:r>
      <w:r>
        <w:tab/>
        <w:t>the Commission is satisfied the permit is likely to expire before the Commission determines the application for the new permit.</w:t>
      </w:r>
    </w:p>
    <w:p>
      <w:pPr>
        <w:pStyle w:val="Subsection"/>
      </w:pPr>
      <w:r>
        <w:tab/>
        <w:t>(2)</w:t>
      </w:r>
      <w:r>
        <w:tab/>
        <w:t>The Commission may act under subsection (1) of its own motion or on application by the secretary of the organisation.</w:t>
      </w:r>
    </w:p>
    <w:p>
      <w:pPr>
        <w:pStyle w:val="Subsection"/>
      </w:pPr>
      <w:r>
        <w:tab/>
        <w:t>(3)</w:t>
      </w:r>
      <w:r>
        <w:tab/>
        <w:t>The later expiry day must not extend the expiry of the permit longer than the period that the Commission considers necessary to determine the application.</w:t>
      </w:r>
    </w:p>
    <w:p>
      <w:pPr>
        <w:pStyle w:val="Subsection"/>
      </w:pPr>
      <w:r>
        <w:tab/>
        <w:t>(4)</w:t>
      </w:r>
      <w:r>
        <w:tab/>
        <w:t xml:space="preserve">The Commission must not decide on a later expiry day under subsection (1) if — </w:t>
      </w:r>
    </w:p>
    <w:p>
      <w:pPr>
        <w:pStyle w:val="Indenta"/>
      </w:pPr>
      <w:r>
        <w:tab/>
        <w:t>(a)</w:t>
      </w:r>
      <w:r>
        <w:tab/>
        <w:t>the Commission has requested or required the secretary of the organisation or authorised representative to provide a document or other information in relation to the application; and</w:t>
      </w:r>
    </w:p>
    <w:p>
      <w:pPr>
        <w:pStyle w:val="Indenta"/>
      </w:pPr>
      <w:r>
        <w:tab/>
        <w:t>(b)</w:t>
      </w:r>
      <w:r>
        <w:tab/>
        <w:t>the secretary or representative has not complied with the request or requirement; and</w:t>
      </w:r>
    </w:p>
    <w:p>
      <w:pPr>
        <w:pStyle w:val="Indenta"/>
      </w:pPr>
      <w:r>
        <w:tab/>
        <w:t>(c)</w:t>
      </w:r>
      <w:r>
        <w:tab/>
        <w:t>the Commission is satisfied the secretary or representative does not have a reasonable excuse.</w:t>
      </w:r>
    </w:p>
    <w:p>
      <w:pPr>
        <w:pStyle w:val="Subsection"/>
      </w:pPr>
      <w:r>
        <w:tab/>
        <w:t>(5)</w:t>
      </w:r>
      <w:r>
        <w:tab/>
        <w:t xml:space="preserve">If the Commission decides on a later expiry day for a right of entry permit — </w:t>
      </w:r>
    </w:p>
    <w:p>
      <w:pPr>
        <w:pStyle w:val="Indenta"/>
      </w:pPr>
      <w:r>
        <w:tab/>
        <w:t>(a)</w:t>
      </w:r>
      <w:r>
        <w:tab/>
        <w:t>the Commission must record the later expiry day on the permit; and</w:t>
      </w:r>
    </w:p>
    <w:p>
      <w:pPr>
        <w:pStyle w:val="Indenta"/>
      </w:pPr>
      <w:r>
        <w:tab/>
        <w:t>(b)</w:t>
      </w:r>
      <w:r>
        <w:tab/>
        <w:t>the permit ceases to have effect from the end of the day on its expiry day until the Commission records the later expiry day under paragraph (a).</w:t>
      </w:r>
    </w:p>
    <w:p>
      <w:pPr>
        <w:pStyle w:val="PermNoteHeading"/>
      </w:pPr>
      <w:r>
        <w:lastRenderedPageBreak/>
        <w:tab/>
        <w:t>Note for this subsection:</w:t>
      </w:r>
    </w:p>
    <w:p>
      <w:pPr>
        <w:pStyle w:val="PermNoteText"/>
      </w:pPr>
      <w:r>
        <w:tab/>
      </w:r>
      <w:r>
        <w:tab/>
        <w:t>See the obligation in section 49W for a right of entry permit to be returned to the Commission if the Commission decides on a later expiry day for the permit.</w:t>
      </w:r>
    </w:p>
    <w:p>
      <w:pPr>
        <w:pStyle w:val="Footnotesection"/>
      </w:pPr>
      <w:r>
        <w:tab/>
        <w:t>[Section 49S inserted: No. 43 of 2024 s. 33.]</w:t>
      </w:r>
    </w:p>
    <w:p>
      <w:pPr>
        <w:pStyle w:val="Heading4"/>
      </w:pPr>
      <w:bookmarkStart w:id="202" w:name="_Toc182397810"/>
      <w:bookmarkStart w:id="203" w:name="_Toc182398124"/>
      <w:bookmarkStart w:id="204" w:name="_Toc182398438"/>
      <w:bookmarkStart w:id="205" w:name="_Toc188271522"/>
      <w:bookmarkStart w:id="206" w:name="_Toc188451162"/>
      <w:r>
        <w:t>Subdivision 4 — Imposing or changing conditions, suspending or revoking right of entry permit</w:t>
      </w:r>
      <w:bookmarkEnd w:id="202"/>
      <w:bookmarkEnd w:id="203"/>
      <w:bookmarkEnd w:id="204"/>
      <w:bookmarkEnd w:id="205"/>
      <w:bookmarkEnd w:id="206"/>
    </w:p>
    <w:p>
      <w:pPr>
        <w:pStyle w:val="Footnoteheading"/>
        <w:keepNext/>
      </w:pPr>
      <w:r>
        <w:tab/>
        <w:t>[Heading inserted: No. 43 of 2024 s. 33.]</w:t>
      </w:r>
    </w:p>
    <w:p>
      <w:pPr>
        <w:pStyle w:val="Heading5"/>
      </w:pPr>
      <w:bookmarkStart w:id="207" w:name="_Toc182398439"/>
      <w:bookmarkStart w:id="208" w:name="_Toc188451163"/>
      <w:r>
        <w:rPr>
          <w:rStyle w:val="CharSectno"/>
        </w:rPr>
        <w:t>49T</w:t>
      </w:r>
      <w:r>
        <w:t>.</w:t>
      </w:r>
      <w:r>
        <w:tab/>
        <w:t>When Commission may impose or change conditions, suspend or revoke right of entry permit</w:t>
      </w:r>
      <w:bookmarkEnd w:id="207"/>
      <w:bookmarkEnd w:id="208"/>
    </w:p>
    <w:p>
      <w:pPr>
        <w:pStyle w:val="Subsection"/>
      </w:pPr>
      <w:r>
        <w:tab/>
        <w:t>(1)</w:t>
      </w:r>
      <w:r>
        <w:tab/>
        <w:t xml:space="preserve">The Commission in Court Session may, by order — </w:t>
      </w:r>
    </w:p>
    <w:p>
      <w:pPr>
        <w:pStyle w:val="Indenta"/>
      </w:pPr>
      <w:r>
        <w:tab/>
        <w:t>(a)</w:t>
      </w:r>
      <w:r>
        <w:tab/>
        <w:t>impose a condition on or change a condition of a right of entry permit; or</w:t>
      </w:r>
    </w:p>
    <w:p>
      <w:pPr>
        <w:pStyle w:val="Indenta"/>
      </w:pPr>
      <w:r>
        <w:tab/>
        <w:t>(b)</w:t>
      </w:r>
      <w:r>
        <w:tab/>
        <w:t>suspend a right of entry permit for a specified period; or</w:t>
      </w:r>
    </w:p>
    <w:p>
      <w:pPr>
        <w:pStyle w:val="Indenta"/>
      </w:pPr>
      <w:r>
        <w:tab/>
        <w:t>(c)</w:t>
      </w:r>
      <w:r>
        <w:tab/>
        <w:t>revoke a right of entry permit.</w:t>
      </w:r>
    </w:p>
    <w:p>
      <w:pPr>
        <w:pStyle w:val="Subsection"/>
      </w:pPr>
      <w:r>
        <w:tab/>
        <w:t>(2)</w:t>
      </w:r>
      <w:r>
        <w:tab/>
        <w:t>The Commission may act under subsection (1) of its own motion, on application of the Registrar or on application by any person.</w:t>
      </w:r>
    </w:p>
    <w:p>
      <w:pPr>
        <w:pStyle w:val="Subsection"/>
      </w:pPr>
      <w:r>
        <w:tab/>
        <w:t>(3)</w:t>
      </w:r>
      <w:r>
        <w:tab/>
        <w:t>An application for the Commission to act under subsection (1) must state the grounds on which it is made.</w:t>
      </w:r>
    </w:p>
    <w:p>
      <w:pPr>
        <w:pStyle w:val="Subsection"/>
      </w:pPr>
      <w:r>
        <w:tab/>
        <w:t>(4)</w:t>
      </w:r>
      <w:r>
        <w:tab/>
        <w:t xml:space="preserve">In deciding whether to take action under subsection (1), the Commission must take into account — </w:t>
      </w:r>
    </w:p>
    <w:p>
      <w:pPr>
        <w:pStyle w:val="Indenta"/>
      </w:pPr>
      <w:r>
        <w:tab/>
        <w:t>(a)</w:t>
      </w:r>
      <w:r>
        <w:tab/>
        <w:t>the fit and proper person criteria, applied as if a reference in the criteria to a nominated official were a reference to the authorised representative; and</w:t>
      </w:r>
    </w:p>
    <w:p>
      <w:pPr>
        <w:pStyle w:val="Indenta"/>
      </w:pPr>
      <w:r>
        <w:tab/>
        <w:t>(b)</w:t>
      </w:r>
      <w:r>
        <w:tab/>
        <w:t xml:space="preserve">whether the authorised representative — </w:t>
      </w:r>
    </w:p>
    <w:p>
      <w:pPr>
        <w:pStyle w:val="Indenti"/>
      </w:pPr>
      <w:r>
        <w:tab/>
        <w:t>(i)</w:t>
      </w:r>
      <w:r>
        <w:tab/>
        <w:t>has acted improperly in exercising a power under Subdivision 2; or</w:t>
      </w:r>
    </w:p>
    <w:p>
      <w:pPr>
        <w:pStyle w:val="Indenti"/>
      </w:pPr>
      <w:r>
        <w:lastRenderedPageBreak/>
        <w:tab/>
        <w:t>(ii)</w:t>
      </w:r>
      <w:r>
        <w:tab/>
        <w:t xml:space="preserve">has intentionally and unduly hindered an employer or employees during their working time; </w:t>
      </w:r>
    </w:p>
    <w:p>
      <w:pPr>
        <w:pStyle w:val="Indenta"/>
      </w:pPr>
      <w:r>
        <w:tab/>
      </w:r>
      <w:r>
        <w:tab/>
        <w:t>and</w:t>
      </w:r>
    </w:p>
    <w:p>
      <w:pPr>
        <w:pStyle w:val="Indenta"/>
      </w:pPr>
      <w:r>
        <w:tab/>
        <w:t>(c)</w:t>
      </w:r>
      <w:r>
        <w:tab/>
        <w:t>any other matters the Commission considers relevant.</w:t>
      </w:r>
    </w:p>
    <w:p>
      <w:pPr>
        <w:pStyle w:val="Subsection"/>
      </w:pPr>
      <w:r>
        <w:tab/>
        <w:t>(5)</w:t>
      </w:r>
      <w:r>
        <w:tab/>
        <w:t xml:space="preserve">If the Commission makes an order imposing a condition on or changing a condition of a right of entry permit — </w:t>
      </w:r>
    </w:p>
    <w:p>
      <w:pPr>
        <w:pStyle w:val="Indenta"/>
      </w:pPr>
      <w:r>
        <w:tab/>
        <w:t>(a)</w:t>
      </w:r>
      <w:r>
        <w:tab/>
        <w:t>the Commission must record the new or changed condition on the permit; and</w:t>
      </w:r>
    </w:p>
    <w:p>
      <w:pPr>
        <w:pStyle w:val="Indenta"/>
      </w:pPr>
      <w:r>
        <w:tab/>
        <w:t>(b)</w:t>
      </w:r>
      <w:r>
        <w:tab/>
        <w:t>the permit ceases to have effect until the Commission records the new or changed condition under paragraph (a).</w:t>
      </w:r>
    </w:p>
    <w:p>
      <w:pPr>
        <w:pStyle w:val="PermNoteHeading"/>
      </w:pPr>
      <w:r>
        <w:tab/>
        <w:t>Note for this subsection:</w:t>
      </w:r>
    </w:p>
    <w:p>
      <w:pPr>
        <w:pStyle w:val="PermNoteText"/>
      </w:pPr>
      <w:r>
        <w:tab/>
      </w:r>
      <w:r>
        <w:tab/>
        <w:t>See the obligation in section 49W for a right of entry permit to be returned to the Commission if a condition is imposed on the permit or changed after it is issued.</w:t>
      </w:r>
    </w:p>
    <w:p>
      <w:pPr>
        <w:pStyle w:val="Footnotesection"/>
      </w:pPr>
      <w:r>
        <w:tab/>
        <w:t>[Section 49T inserted: No. 43 of 2024 s. 33.]</w:t>
      </w:r>
    </w:p>
    <w:p>
      <w:pPr>
        <w:pStyle w:val="Heading5"/>
      </w:pPr>
      <w:bookmarkStart w:id="209" w:name="_Toc182398440"/>
      <w:bookmarkStart w:id="210" w:name="_Toc188451164"/>
      <w:r>
        <w:rPr>
          <w:rStyle w:val="CharSectno"/>
        </w:rPr>
        <w:t>49U</w:t>
      </w:r>
      <w:r>
        <w:t>.</w:t>
      </w:r>
      <w:r>
        <w:tab/>
        <w:t>When right of entry permit is suspended</w:t>
      </w:r>
      <w:bookmarkEnd w:id="209"/>
      <w:bookmarkEnd w:id="210"/>
    </w:p>
    <w:p>
      <w:pPr>
        <w:pStyle w:val="Subsection"/>
      </w:pPr>
      <w:r>
        <w:tab/>
      </w:r>
      <w:r>
        <w:tab/>
        <w:t xml:space="preserve">The suspension of a right of entry permit does not — </w:t>
      </w:r>
    </w:p>
    <w:p>
      <w:pPr>
        <w:pStyle w:val="Indenta"/>
      </w:pPr>
      <w:r>
        <w:tab/>
        <w:t>(a)</w:t>
      </w:r>
      <w:r>
        <w:tab/>
        <w:t>prevent conditions being imposed on the permit or changed, or the permit being revoked, during the period of the suspension; or</w:t>
      </w:r>
    </w:p>
    <w:p>
      <w:pPr>
        <w:pStyle w:val="Indenta"/>
      </w:pPr>
      <w:r>
        <w:tab/>
        <w:t>(b)</w:t>
      </w:r>
      <w:r>
        <w:tab/>
        <w:t>alter the day on which the permit would otherwise expire.</w:t>
      </w:r>
    </w:p>
    <w:p>
      <w:pPr>
        <w:pStyle w:val="Footnotesection"/>
      </w:pPr>
      <w:r>
        <w:tab/>
        <w:t>[Section 49U inserted: No. 43 of 2024 s. 33.]</w:t>
      </w:r>
    </w:p>
    <w:p>
      <w:pPr>
        <w:pStyle w:val="Heading5"/>
      </w:pPr>
      <w:bookmarkStart w:id="211" w:name="_Toc182398441"/>
      <w:bookmarkStart w:id="212" w:name="_Toc188451165"/>
      <w:r>
        <w:rPr>
          <w:rStyle w:val="CharSectno"/>
        </w:rPr>
        <w:t>49V</w:t>
      </w:r>
      <w:r>
        <w:t>.</w:t>
      </w:r>
      <w:r>
        <w:tab/>
        <w:t>Revocation of right of entry permit on application of secretary of organisation</w:t>
      </w:r>
      <w:bookmarkEnd w:id="211"/>
      <w:bookmarkEnd w:id="212"/>
    </w:p>
    <w:p>
      <w:pPr>
        <w:pStyle w:val="Subsection"/>
      </w:pPr>
      <w:r>
        <w:tab/>
        <w:t>(1)</w:t>
      </w:r>
      <w:r>
        <w:tab/>
        <w:t>The secretary of an organisation of employees may apply to the Commission for a right of entry permit issued to an officer or employee of the organisation to be revoked.</w:t>
      </w:r>
    </w:p>
    <w:p>
      <w:pPr>
        <w:pStyle w:val="Subsection"/>
      </w:pPr>
      <w:r>
        <w:lastRenderedPageBreak/>
        <w:tab/>
        <w:t>(2)</w:t>
      </w:r>
      <w:r>
        <w:tab/>
        <w:t>The Commission must revoke the right of entry permit unless subsection (3) applies.</w:t>
      </w:r>
    </w:p>
    <w:p>
      <w:pPr>
        <w:pStyle w:val="Subsection"/>
      </w:pPr>
      <w:r>
        <w:tab/>
        <w:t>(3)</w:t>
      </w:r>
      <w:r>
        <w:tab/>
        <w:t xml:space="preserve">The Commission must not revoke the right of entry permit if — </w:t>
      </w:r>
    </w:p>
    <w:p>
      <w:pPr>
        <w:pStyle w:val="Indenta"/>
      </w:pPr>
      <w:r>
        <w:tab/>
        <w:t>(a)</w:t>
      </w:r>
      <w:r>
        <w:tab/>
        <w:t>proceedings in relation to the permit are commenced under section 49T and are not finally determined or otherwise ended; or</w:t>
      </w:r>
    </w:p>
    <w:p>
      <w:pPr>
        <w:pStyle w:val="Indenta"/>
      </w:pPr>
      <w:r>
        <w:tab/>
        <w:t>(b)</w:t>
      </w:r>
      <w:r>
        <w:tab/>
        <w:t xml:space="preserve">a decision is made under section 49T in relation to the permit and either — </w:t>
      </w:r>
    </w:p>
    <w:p>
      <w:pPr>
        <w:pStyle w:val="Indenti"/>
      </w:pPr>
      <w:r>
        <w:tab/>
        <w:t>(i)</w:t>
      </w:r>
      <w:r>
        <w:tab/>
        <w:t>the time for instituting an appeal against the decision has not ended; or</w:t>
      </w:r>
    </w:p>
    <w:p>
      <w:pPr>
        <w:pStyle w:val="Indenti"/>
      </w:pPr>
      <w:r>
        <w:tab/>
        <w:t>(ii)</w:t>
      </w:r>
      <w:r>
        <w:tab/>
        <w:t>an appeal is instituted against the decision and has not been finally decided or withdrawn.</w:t>
      </w:r>
    </w:p>
    <w:p>
      <w:pPr>
        <w:pStyle w:val="Footnotesection"/>
      </w:pPr>
      <w:r>
        <w:tab/>
        <w:t>[Section 49V inserted: No. 43 of 2024 s. 33.]</w:t>
      </w:r>
    </w:p>
    <w:p>
      <w:pPr>
        <w:pStyle w:val="Heading4"/>
      </w:pPr>
      <w:bookmarkStart w:id="213" w:name="_Toc182397814"/>
      <w:bookmarkStart w:id="214" w:name="_Toc182398128"/>
      <w:bookmarkStart w:id="215" w:name="_Toc182398442"/>
      <w:bookmarkStart w:id="216" w:name="_Toc188271526"/>
      <w:bookmarkStart w:id="217" w:name="_Toc188451166"/>
      <w:r>
        <w:t>Subdivision 5 — Miscellaneous</w:t>
      </w:r>
      <w:bookmarkEnd w:id="213"/>
      <w:bookmarkEnd w:id="214"/>
      <w:bookmarkEnd w:id="215"/>
      <w:bookmarkEnd w:id="216"/>
      <w:bookmarkEnd w:id="217"/>
    </w:p>
    <w:p>
      <w:pPr>
        <w:pStyle w:val="Footnoteheading"/>
      </w:pPr>
      <w:r>
        <w:tab/>
        <w:t>[Heading inserted: No. 43 of 2024 s. 33.]</w:t>
      </w:r>
    </w:p>
    <w:p>
      <w:pPr>
        <w:pStyle w:val="Heading5"/>
      </w:pPr>
      <w:bookmarkStart w:id="218" w:name="_Toc182398443"/>
      <w:bookmarkStart w:id="219" w:name="_Toc188451167"/>
      <w:r>
        <w:rPr>
          <w:rStyle w:val="CharSectno"/>
        </w:rPr>
        <w:t>49W</w:t>
      </w:r>
      <w:r>
        <w:t>.</w:t>
      </w:r>
      <w:r>
        <w:tab/>
        <w:t>Return of right of entry permit</w:t>
      </w:r>
      <w:bookmarkEnd w:id="218"/>
      <w:bookmarkEnd w:id="219"/>
    </w:p>
    <w:p>
      <w:pPr>
        <w:pStyle w:val="Subsection"/>
      </w:pPr>
      <w:r>
        <w:tab/>
        <w:t>(1)</w:t>
      </w:r>
      <w:r>
        <w:tab/>
        <w:t xml:space="preserve">An authorised representative must return a right of entry permit to the Commission within 7 days after any of the following things happen — </w:t>
      </w:r>
    </w:p>
    <w:p>
      <w:pPr>
        <w:pStyle w:val="Indenta"/>
      </w:pPr>
      <w:r>
        <w:tab/>
        <w:t>(a)</w:t>
      </w:r>
      <w:r>
        <w:tab/>
        <w:t>the permit is revoked or suspended;</w:t>
      </w:r>
    </w:p>
    <w:p>
      <w:pPr>
        <w:pStyle w:val="Indenta"/>
      </w:pPr>
      <w:r>
        <w:tab/>
        <w:t>(b)</w:t>
      </w:r>
      <w:r>
        <w:tab/>
        <w:t>a condition is imposed on the permit or changed after it is issued;</w:t>
      </w:r>
    </w:p>
    <w:p>
      <w:pPr>
        <w:pStyle w:val="Indenta"/>
      </w:pPr>
      <w:r>
        <w:tab/>
        <w:t>(c)</w:t>
      </w:r>
      <w:r>
        <w:tab/>
        <w:t>the permit expires;</w:t>
      </w:r>
    </w:p>
    <w:p>
      <w:pPr>
        <w:pStyle w:val="Indenta"/>
      </w:pPr>
      <w:r>
        <w:tab/>
        <w:t>(d)</w:t>
      </w:r>
      <w:r>
        <w:tab/>
        <w:t>the Commission decides on a later expiry day for the permit.</w:t>
      </w:r>
    </w:p>
    <w:p>
      <w:pPr>
        <w:pStyle w:val="Subsection"/>
      </w:pPr>
      <w:r>
        <w:tab/>
        <w:t>(2)</w:t>
      </w:r>
      <w:r>
        <w:tab/>
        <w:t>A contravention of subsection (1) is not an offence but that subsection is a civil penalty provision for the purposes of section 83E.</w:t>
      </w:r>
    </w:p>
    <w:p>
      <w:pPr>
        <w:pStyle w:val="Subsection"/>
      </w:pPr>
      <w:r>
        <w:lastRenderedPageBreak/>
        <w:tab/>
        <w:t>(3)</w:t>
      </w:r>
      <w:r>
        <w:tab/>
        <w:t xml:space="preserve">After the end of a suspension period, the Commission must return a right of entry permit to the authorised representative if — </w:t>
      </w:r>
    </w:p>
    <w:p>
      <w:pPr>
        <w:pStyle w:val="Indenta"/>
      </w:pPr>
      <w:r>
        <w:tab/>
        <w:t>(a)</w:t>
      </w:r>
      <w:r>
        <w:tab/>
        <w:t>the authorised representative, or the secretary of the organisation that applied for the permit, applies to the Commission for the return of the permit; and</w:t>
      </w:r>
    </w:p>
    <w:p>
      <w:pPr>
        <w:pStyle w:val="Indenta"/>
      </w:pPr>
      <w:r>
        <w:tab/>
        <w:t>(b)</w:t>
      </w:r>
      <w:r>
        <w:tab/>
        <w:t>the permit has not expired.</w:t>
      </w:r>
    </w:p>
    <w:p>
      <w:pPr>
        <w:pStyle w:val="Footnotesection"/>
      </w:pPr>
      <w:r>
        <w:tab/>
        <w:t>[Section 49W inserted: No. 43 of 2024 s. 33.]</w:t>
      </w:r>
    </w:p>
    <w:p>
      <w:pPr>
        <w:pStyle w:val="Heading5"/>
      </w:pPr>
      <w:bookmarkStart w:id="220" w:name="_Toc182398444"/>
      <w:bookmarkStart w:id="221" w:name="_Toc188451168"/>
      <w:r>
        <w:rPr>
          <w:rStyle w:val="CharSectno"/>
        </w:rPr>
        <w:t>49X</w:t>
      </w:r>
      <w:r>
        <w:t>.</w:t>
      </w:r>
      <w:r>
        <w:tab/>
        <w:t>Commission’s powers on dispute about right of entry or investigation</w:t>
      </w:r>
      <w:bookmarkEnd w:id="220"/>
      <w:bookmarkEnd w:id="221"/>
    </w:p>
    <w:p>
      <w:pPr>
        <w:pStyle w:val="Subsection"/>
      </w:pPr>
      <w:r>
        <w:tab/>
        <w:t>(1)</w:t>
      </w:r>
      <w:r>
        <w:tab/>
        <w:t>This section applies if the Commission is exercising its jurisdiction under section 44 in relation to a dispute about the exercise of a power under Subdivision 2 by an authorised representative.</w:t>
      </w:r>
    </w:p>
    <w:p>
      <w:pPr>
        <w:pStyle w:val="Subsection"/>
      </w:pPr>
      <w:r>
        <w:tab/>
        <w:t>(2)</w:t>
      </w:r>
      <w:r>
        <w:tab/>
        <w:t>The Commission may, by order, impose a condition on or change a condition of the right of entry permit held by the authorised representative.</w:t>
      </w:r>
    </w:p>
    <w:p>
      <w:pPr>
        <w:pStyle w:val="Subsection"/>
      </w:pPr>
      <w:r>
        <w:tab/>
        <w:t>(3)</w:t>
      </w:r>
      <w:r>
        <w:tab/>
        <w:t>Section 49T(4) applies to the Commission in deciding whether to make an order under subsection (2).</w:t>
      </w:r>
    </w:p>
    <w:p>
      <w:pPr>
        <w:pStyle w:val="Subsection"/>
      </w:pPr>
      <w:r>
        <w:tab/>
        <w:t>(4)</w:t>
      </w:r>
      <w:r>
        <w:tab/>
        <w:t xml:space="preserve">If the Commission makes an order imposing a condition on or changing a condition of a right of entry permit — </w:t>
      </w:r>
    </w:p>
    <w:p>
      <w:pPr>
        <w:pStyle w:val="Indenta"/>
      </w:pPr>
      <w:r>
        <w:tab/>
        <w:t>(a)</w:t>
      </w:r>
      <w:r>
        <w:tab/>
        <w:t>the Commission must record the new or changed condition on the permit; and</w:t>
      </w:r>
    </w:p>
    <w:p>
      <w:pPr>
        <w:pStyle w:val="Indenta"/>
      </w:pPr>
      <w:r>
        <w:tab/>
        <w:t>(b)</w:t>
      </w:r>
      <w:r>
        <w:tab/>
        <w:t>the permit ceases to have effect until the Commission records the new or changed condition under paragraph (a).</w:t>
      </w:r>
    </w:p>
    <w:p>
      <w:pPr>
        <w:pStyle w:val="PermNoteHeading"/>
      </w:pPr>
      <w:r>
        <w:tab/>
        <w:t>Note for this subsection:</w:t>
      </w:r>
    </w:p>
    <w:p>
      <w:pPr>
        <w:pStyle w:val="PermNoteText"/>
      </w:pPr>
      <w:r>
        <w:tab/>
      </w:r>
      <w:r>
        <w:tab/>
        <w:t>See the obligation in section 49W for a right of entry permit to be returned to the Commission if a condition is imposed on the permit or changed after it is issued.</w:t>
      </w:r>
    </w:p>
    <w:p>
      <w:pPr>
        <w:pStyle w:val="Footnotesection"/>
      </w:pPr>
      <w:r>
        <w:tab/>
        <w:t>[Section 49X inserted: No. 43 of 2024 s. 33.]</w:t>
      </w:r>
    </w:p>
    <w:p>
      <w:pPr>
        <w:pStyle w:val="Heading5"/>
      </w:pPr>
      <w:bookmarkStart w:id="222" w:name="_Toc182398445"/>
      <w:bookmarkStart w:id="223" w:name="_Toc188451169"/>
      <w:r>
        <w:rPr>
          <w:rStyle w:val="CharSectno"/>
        </w:rPr>
        <w:lastRenderedPageBreak/>
        <w:t>49Y</w:t>
      </w:r>
      <w:r>
        <w:t>.</w:t>
      </w:r>
      <w:r>
        <w:tab/>
        <w:t>Limit on Commission’s jurisdiction in relation to awards, orders and agreements</w:t>
      </w:r>
      <w:bookmarkEnd w:id="222"/>
      <w:bookmarkEnd w:id="223"/>
    </w:p>
    <w:p>
      <w:pPr>
        <w:pStyle w:val="Subsection"/>
      </w:pPr>
      <w:r>
        <w:tab/>
        <w:t>(1)</w:t>
      </w:r>
      <w:r>
        <w:tab/>
        <w:t xml:space="preserve">The Commission cannot make an award or order, or register an agreement, that — </w:t>
      </w:r>
    </w:p>
    <w:p>
      <w:pPr>
        <w:pStyle w:val="Indenta"/>
      </w:pPr>
      <w:r>
        <w:tab/>
        <w:t>(a)</w:t>
      </w:r>
      <w:r>
        <w:tab/>
        <w:t>confers a power of entry or inspection that is in addition to, or inconsistent with, the powers of entry and inspection under Division 2F and this Division; or</w:t>
      </w:r>
    </w:p>
    <w:p>
      <w:pPr>
        <w:pStyle w:val="Indenta"/>
      </w:pPr>
      <w:r>
        <w:tab/>
        <w:t>(b)</w:t>
      </w:r>
      <w:r>
        <w:tab/>
        <w:t>provides for the exercise of a power of entry or inspection in a way that is in addition to, or inconsistent with, the provisions of those Divisions about the exercise of those powers.</w:t>
      </w:r>
    </w:p>
    <w:p>
      <w:pPr>
        <w:pStyle w:val="Subsection"/>
      </w:pPr>
      <w:r>
        <w:tab/>
        <w:t>(2)</w:t>
      </w:r>
      <w:r>
        <w:tab/>
        <w:t>Subsection (1) does not apply to an award, order or agreement to the extent that it specifies the period of notice an authorised representative is required to give an employer before entering premises where relevant employees work.</w:t>
      </w:r>
    </w:p>
    <w:p>
      <w:pPr>
        <w:pStyle w:val="Subsection"/>
      </w:pPr>
      <w:r>
        <w:tab/>
        <w:t>(3)</w:t>
      </w:r>
      <w:r>
        <w:tab/>
        <w:t>If a provision of an award, order or industrial agreement contravenes subsection (1), the provision has no effect to the extent of the inconsistency.</w:t>
      </w:r>
    </w:p>
    <w:p>
      <w:pPr>
        <w:pStyle w:val="Footnotesection"/>
      </w:pPr>
      <w:r>
        <w:tab/>
        <w:t>[Section 49Y inserted: No. 43 of 2024 s. 33.]</w:t>
      </w:r>
    </w:p>
    <w:p>
      <w:pPr>
        <w:pStyle w:val="Heading3"/>
        <w:keepLines/>
        <w:spacing w:before="280"/>
      </w:pPr>
      <w:bookmarkStart w:id="224" w:name="_Toc188271530"/>
      <w:bookmarkStart w:id="225" w:name="_Toc188451170"/>
      <w:r>
        <w:rPr>
          <w:rStyle w:val="CharDivNo"/>
        </w:rPr>
        <w:t>Division 3</w:t>
      </w:r>
      <w:r>
        <w:rPr>
          <w:snapToGrid w:val="0"/>
        </w:rPr>
        <w:t> — </w:t>
      </w:r>
      <w:r>
        <w:rPr>
          <w:rStyle w:val="CharDivText"/>
        </w:rPr>
        <w:t>General Orders</w:t>
      </w:r>
      <w:bookmarkEnd w:id="189"/>
      <w:bookmarkEnd w:id="224"/>
      <w:bookmarkEnd w:id="225"/>
    </w:p>
    <w:p>
      <w:pPr>
        <w:pStyle w:val="Heading5"/>
        <w:rPr>
          <w:snapToGrid w:val="0"/>
        </w:rPr>
      </w:pPr>
      <w:bookmarkStart w:id="226" w:name="_Toc188451171"/>
      <w:r>
        <w:rPr>
          <w:rStyle w:val="CharSectno"/>
        </w:rPr>
        <w:t>50</w:t>
      </w:r>
      <w:r>
        <w:rPr>
          <w:snapToGrid w:val="0"/>
        </w:rPr>
        <w:t>.</w:t>
      </w:r>
      <w:r>
        <w:rPr>
          <w:snapToGrid w:val="0"/>
        </w:rPr>
        <w:tab/>
        <w:t>General Orders, nature of and making</w:t>
      </w:r>
      <w:bookmarkEnd w:id="226"/>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xml:space="preserve">, the </w:t>
      </w:r>
      <w:r>
        <w:t>Chamber</w:t>
      </w:r>
      <w:r>
        <w:rPr>
          <w:snapToGrid w:val="0"/>
        </w:rPr>
        <w:t xml:space="preserve">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lastRenderedPageBreak/>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 xml:space="preserve">[Section 50 amended: No. 94 of 1984 s. 32 and 66; No. 15 of 1993 s. 18 and 31; No. 20 of 2002 s. 179 and 190(4); No. 36 of </w:t>
      </w:r>
      <w:r>
        <w:lastRenderedPageBreak/>
        <w:t>2006 s. 13; No. 53 of 2011 s. 48; No. 30 of 2021 s. 26 and 76(2) and (8); No. 43 of 2024 s. 91.]</w:t>
      </w:r>
    </w:p>
    <w:p>
      <w:pPr>
        <w:pStyle w:val="Heading5"/>
      </w:pPr>
      <w:bookmarkStart w:id="227" w:name="_Toc188451172"/>
      <w:r>
        <w:rPr>
          <w:rStyle w:val="CharSectno"/>
        </w:rPr>
        <w:t>50A</w:t>
      </w:r>
      <w:r>
        <w:t>.</w:t>
      </w:r>
      <w:r>
        <w:tab/>
        <w:t>Rates of pay etc. for MCE Act and awards, annual State Wage order as to</w:t>
      </w:r>
      <w:bookmarkEnd w:id="227"/>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tab/>
        <w:t>(b)</w:t>
      </w:r>
      <w:r>
        <w:tab/>
        <w:t>whose productive capacity has been assessed under the SWS as being reduced because of a disability; and</w:t>
      </w:r>
    </w:p>
    <w:p>
      <w:pPr>
        <w:pStyle w:val="Defpara"/>
      </w:pPr>
      <w:r>
        <w:tab/>
        <w:t>(c)</w:t>
      </w:r>
      <w:r>
        <w:tab/>
        <w:t>who is not employed by a supported employment service; and</w:t>
      </w:r>
    </w:p>
    <w:p>
      <w:pPr>
        <w:pStyle w:val="Defpara"/>
      </w:pPr>
      <w:r>
        <w:tab/>
        <w:t>(d)</w:t>
      </w:r>
      <w:r>
        <w:tab/>
        <w:t>who is being paid a weekly rate of pay determined by the SWS under the SWIIP;</w:t>
      </w:r>
    </w:p>
    <w:p>
      <w:pPr>
        <w:pStyle w:val="Defstart"/>
      </w:pPr>
      <w:r>
        <w:tab/>
      </w:r>
      <w:r>
        <w:rPr>
          <w:rStyle w:val="CharDefText"/>
        </w:rPr>
        <w:t>supported employment service</w:t>
      </w:r>
      <w:r>
        <w:t xml:space="preserve"> means a service to support the paid employment of persons with disability, being persons — </w:t>
      </w:r>
    </w:p>
    <w:p>
      <w:pPr>
        <w:pStyle w:val="Defpara"/>
      </w:pPr>
      <w:r>
        <w:tab/>
        <w:t>(a)</w:t>
      </w:r>
      <w:r>
        <w:tab/>
        <w:t>for whom competitive employment at or above the wage payable under the relevant award is unlikely; and</w:t>
      </w:r>
    </w:p>
    <w:p>
      <w:pPr>
        <w:pStyle w:val="Defpara"/>
      </w:pPr>
      <w:r>
        <w:tab/>
        <w:t>(b)</w:t>
      </w:r>
      <w:r>
        <w:tab/>
        <w:t>who, because of their disability, need substantial ongoing support to obtain or retain paid employment.</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lastRenderedPageBreak/>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keepNext/>
      </w:pPr>
      <w:r>
        <w:lastRenderedPageBreak/>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lastRenderedPageBreak/>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lastRenderedPageBreak/>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 No. 43 of 2024 s. 34.]</w:t>
      </w:r>
    </w:p>
    <w:p>
      <w:pPr>
        <w:pStyle w:val="Heading5"/>
        <w:spacing w:before="260"/>
      </w:pPr>
      <w:bookmarkStart w:id="228" w:name="_Toc188451173"/>
      <w:r>
        <w:rPr>
          <w:rStyle w:val="CharSectno"/>
        </w:rPr>
        <w:t>50B</w:t>
      </w:r>
      <w:r>
        <w:t>.</w:t>
      </w:r>
      <w:r>
        <w:tab/>
        <w:t>Apprentices, matters relevant to setting rates for in State Wage order</w:t>
      </w:r>
      <w:bookmarkEnd w:id="228"/>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keepNext/>
      </w:pPr>
      <w:r>
        <w:tab/>
        <w:t>(4)</w:t>
      </w:r>
      <w:r>
        <w:tab/>
        <w:t xml:space="preserve">In setting a minimum weekly rate of pay in relation to apprentices generally or in relation to apprentices who belong to a particular class of apprentice, the Commission may use such </w:t>
      </w:r>
      <w:r>
        <w:lastRenderedPageBreak/>
        <w:t>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t>[</w:t>
      </w:r>
      <w:r>
        <w:rPr>
          <w:b/>
        </w:rPr>
        <w:t>51.</w:t>
      </w:r>
      <w:r>
        <w:tab/>
        <w:t>Deleted: No. 36 of 2006 s. 15.]</w:t>
      </w:r>
    </w:p>
    <w:p>
      <w:pPr>
        <w:pStyle w:val="Heading5"/>
        <w:rPr>
          <w:snapToGrid w:val="0"/>
        </w:rPr>
      </w:pPr>
      <w:bookmarkStart w:id="229" w:name="_Toc188451174"/>
      <w:r>
        <w:rPr>
          <w:rStyle w:val="CharSectno"/>
        </w:rPr>
        <w:t>51A</w:t>
      </w:r>
      <w:r>
        <w:rPr>
          <w:snapToGrid w:val="0"/>
        </w:rPr>
        <w:t>.</w:t>
      </w:r>
      <w:r>
        <w:rPr>
          <w:snapToGrid w:val="0"/>
        </w:rPr>
        <w:tab/>
        <w:t>Public sector discipline, General Orders as to</w:t>
      </w:r>
      <w:bookmarkEnd w:id="229"/>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lastRenderedPageBreak/>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230" w:name="_Toc188451175"/>
      <w:r>
        <w:rPr>
          <w:rStyle w:val="CharSectno"/>
        </w:rPr>
        <w:lastRenderedPageBreak/>
        <w:t>51B</w:t>
      </w:r>
      <w:r>
        <w:t>.</w:t>
      </w:r>
      <w:r>
        <w:tab/>
        <w:t>General Order not to set minimum condition set by MCE Act</w:t>
      </w:r>
      <w:bookmarkEnd w:id="23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31" w:name="_Toc188451176"/>
      <w:r>
        <w:rPr>
          <w:rStyle w:val="CharSectno"/>
        </w:rPr>
        <w:t>51BA</w:t>
      </w:r>
      <w:r>
        <w:t>.</w:t>
      </w:r>
      <w:r>
        <w:tab/>
        <w:t>Notice of hearing to make General Order</w:t>
      </w:r>
      <w:bookmarkEnd w:id="231"/>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given by written notice to UnionsWA, the Chamber,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 No. 30 of 2021 s. 76(2); No. 43 of 2024 s. 91.]</w:t>
      </w:r>
    </w:p>
    <w:p>
      <w:pPr>
        <w:pStyle w:val="Heading5"/>
        <w:keepLines w:val="0"/>
        <w:spacing w:before="260"/>
      </w:pPr>
      <w:bookmarkStart w:id="232" w:name="_Toc188451177"/>
      <w:r>
        <w:rPr>
          <w:rStyle w:val="CharSectno"/>
        </w:rPr>
        <w:lastRenderedPageBreak/>
        <w:t>51BB</w:t>
      </w:r>
      <w:r>
        <w:t>.</w:t>
      </w:r>
      <w:r>
        <w:tab/>
        <w:t>Right to be heard before General Order made</w:t>
      </w:r>
      <w:bookmarkEnd w:id="232"/>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233" w:name="_Toc188451178"/>
      <w:r>
        <w:rPr>
          <w:rStyle w:val="CharSectno"/>
        </w:rPr>
        <w:t>51BC</w:t>
      </w:r>
      <w:r>
        <w:t>.</w:t>
      </w:r>
      <w:r>
        <w:tab/>
        <w:t>Commissioner may deal with certain proceedings</w:t>
      </w:r>
      <w:bookmarkEnd w:id="23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34" w:name="_Toc188451179"/>
      <w:r>
        <w:rPr>
          <w:rStyle w:val="CharSectno"/>
        </w:rPr>
        <w:t>51BD</w:t>
      </w:r>
      <w:r>
        <w:t>.</w:t>
      </w:r>
      <w:r>
        <w:tab/>
        <w:t>Awards etc. affected by General Order, publication of</w:t>
      </w:r>
      <w:bookmarkEnd w:id="23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35" w:name="_Toc188451180"/>
      <w:r>
        <w:rPr>
          <w:rStyle w:val="CharSectno"/>
        </w:rPr>
        <w:t>51BE</w:t>
      </w:r>
      <w:r>
        <w:t>.</w:t>
      </w:r>
      <w:r>
        <w:tab/>
        <w:t>Publication of order</w:t>
      </w:r>
      <w:bookmarkEnd w:id="235"/>
    </w:p>
    <w:p>
      <w:pPr>
        <w:pStyle w:val="Subsection"/>
      </w:pPr>
      <w:r>
        <w:tab/>
      </w:r>
      <w:r>
        <w:tab/>
        <w:t>The Registrar must publish in the required manner any General Order made under this Division.</w:t>
      </w:r>
    </w:p>
    <w:p>
      <w:pPr>
        <w:pStyle w:val="Footnotesection"/>
      </w:pPr>
      <w:r>
        <w:lastRenderedPageBreak/>
        <w:tab/>
        <w:t>[Section 51BE inserted: No. 36 of 2006 s. 17; amended: No. 30 of 2021 s. 76(2).]</w:t>
      </w:r>
    </w:p>
    <w:p>
      <w:pPr>
        <w:pStyle w:val="Heading3"/>
      </w:pPr>
      <w:bookmarkStart w:id="236" w:name="_Toc182397820"/>
      <w:bookmarkStart w:id="237" w:name="_Toc182398134"/>
      <w:bookmarkStart w:id="238" w:name="_Toc182398448"/>
      <w:bookmarkStart w:id="239" w:name="_Toc188271541"/>
      <w:bookmarkStart w:id="240" w:name="_Toc188451181"/>
      <w:bookmarkStart w:id="241" w:name="_Toc187907311"/>
      <w:r>
        <w:rPr>
          <w:rStyle w:val="CharDivNo"/>
        </w:rPr>
        <w:t>Division 3AA</w:t>
      </w:r>
      <w:r>
        <w:t> — </w:t>
      </w:r>
      <w:r>
        <w:rPr>
          <w:rStyle w:val="CharDivText"/>
        </w:rPr>
        <w:t>Bullying at work and sexual harassment in connection with work</w:t>
      </w:r>
      <w:bookmarkEnd w:id="236"/>
      <w:bookmarkEnd w:id="237"/>
      <w:bookmarkEnd w:id="238"/>
      <w:bookmarkEnd w:id="239"/>
      <w:bookmarkEnd w:id="240"/>
    </w:p>
    <w:p>
      <w:pPr>
        <w:pStyle w:val="Footnoteheading"/>
      </w:pPr>
      <w:r>
        <w:tab/>
        <w:t>[Heading inserted: No. 43 of 2024 s. 35.]</w:t>
      </w:r>
    </w:p>
    <w:p>
      <w:pPr>
        <w:pStyle w:val="Heading4"/>
      </w:pPr>
      <w:bookmarkStart w:id="242" w:name="_Toc182397822"/>
      <w:bookmarkStart w:id="243" w:name="_Toc182398136"/>
      <w:bookmarkStart w:id="244" w:name="_Toc182398450"/>
      <w:bookmarkStart w:id="245" w:name="_Toc188271542"/>
      <w:bookmarkStart w:id="246" w:name="_Toc188451182"/>
      <w:bookmarkEnd w:id="241"/>
      <w:r>
        <w:t>Subdivision 1 — Preliminary</w:t>
      </w:r>
      <w:bookmarkEnd w:id="242"/>
      <w:bookmarkEnd w:id="243"/>
      <w:bookmarkEnd w:id="244"/>
      <w:bookmarkEnd w:id="245"/>
      <w:bookmarkEnd w:id="246"/>
    </w:p>
    <w:p>
      <w:pPr>
        <w:pStyle w:val="Footnoteheading"/>
      </w:pPr>
      <w:r>
        <w:tab/>
        <w:t>[Heading inserted: No. 43 of 2024 s. 36.]</w:t>
      </w:r>
    </w:p>
    <w:p>
      <w:pPr>
        <w:pStyle w:val="Heading5"/>
      </w:pPr>
      <w:bookmarkStart w:id="247" w:name="_Toc188451183"/>
      <w:r>
        <w:rPr>
          <w:rStyle w:val="CharSectno"/>
        </w:rPr>
        <w:t>51BF</w:t>
      </w:r>
      <w:r>
        <w:t>.</w:t>
      </w:r>
      <w:r>
        <w:tab/>
        <w:t>Terms used</w:t>
      </w:r>
      <w:bookmarkEnd w:id="247"/>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pPr>
      <w:r>
        <w:tab/>
      </w:r>
      <w:r>
        <w:rPr>
          <w:rStyle w:val="CharDefText"/>
        </w:rPr>
        <w:t>sexual harassment proceeding</w:t>
      </w:r>
      <w:r>
        <w:t xml:space="preserve"> means, as the case requires, a stop sexual harassment application, a sexual harassment referral, or both;</w:t>
      </w:r>
    </w:p>
    <w:p>
      <w:pPr>
        <w:pStyle w:val="Defstart"/>
      </w:pPr>
      <w:r>
        <w:tab/>
      </w:r>
      <w:r>
        <w:rPr>
          <w:rStyle w:val="CharDefText"/>
        </w:rPr>
        <w:t>sexual harassment referral</w:t>
      </w:r>
      <w:r>
        <w:t xml:space="preserve"> has the meaning given in section 51BT(1)(b);</w:t>
      </w:r>
    </w:p>
    <w:p>
      <w:pPr>
        <w:pStyle w:val="Defstart"/>
      </w:pPr>
      <w:r>
        <w:tab/>
      </w:r>
      <w:r>
        <w:rPr>
          <w:rStyle w:val="CharDefText"/>
        </w:rPr>
        <w:t>stop bullying application</w:t>
      </w:r>
      <w:r>
        <w:t xml:space="preserve"> has the meaning given in section 51BJ(1);</w:t>
      </w:r>
    </w:p>
    <w:p>
      <w:pPr>
        <w:pStyle w:val="Defstart"/>
      </w:pPr>
      <w:r>
        <w:tab/>
      </w:r>
      <w:r>
        <w:rPr>
          <w:rStyle w:val="CharDefText"/>
        </w:rPr>
        <w:t>stop bullying order</w:t>
      </w:r>
      <w:r>
        <w:t xml:space="preserve"> has the meaning given in section 51BM(2);</w:t>
      </w:r>
    </w:p>
    <w:p>
      <w:pPr>
        <w:pStyle w:val="Defstart"/>
      </w:pPr>
      <w:r>
        <w:tab/>
      </w:r>
      <w:r>
        <w:rPr>
          <w:rStyle w:val="CharDefText"/>
        </w:rPr>
        <w:t>stop sexual harassment application</w:t>
      </w:r>
      <w:r>
        <w:t xml:space="preserve"> has the meaning given in section 51BT(1)(a);</w:t>
      </w:r>
    </w:p>
    <w:p>
      <w:pPr>
        <w:pStyle w:val="Defstart"/>
      </w:pPr>
      <w:r>
        <w:tab/>
      </w:r>
      <w:r>
        <w:rPr>
          <w:rStyle w:val="CharDefText"/>
        </w:rPr>
        <w:t>stop sexual harassment order</w:t>
      </w:r>
      <w:r>
        <w:t xml:space="preserve"> has the meaning given in section 51BX(2);</w:t>
      </w:r>
    </w:p>
    <w:p>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r>
        <w:rPr>
          <w:iCs/>
        </w:rPr>
        <w:t>.</w:t>
      </w:r>
    </w:p>
    <w:p>
      <w:pPr>
        <w:pStyle w:val="Footnotesection"/>
      </w:pPr>
      <w:r>
        <w:lastRenderedPageBreak/>
        <w:tab/>
        <w:t>[Section 51BF inserted: No. 30 of 2021 s. 29; amended: No. 43 of 2024 s. 37.]</w:t>
      </w:r>
    </w:p>
    <w:p>
      <w:pPr>
        <w:pStyle w:val="Heading5"/>
      </w:pPr>
      <w:bookmarkStart w:id="248" w:name="_Toc188451184"/>
      <w:r>
        <w:rPr>
          <w:rStyle w:val="CharSectno"/>
        </w:rPr>
        <w:t>51BG</w:t>
      </w:r>
      <w:r>
        <w:t>.</w:t>
      </w:r>
      <w:r>
        <w:tab/>
        <w:t>Person conducting a business or undertaking</w:t>
      </w:r>
      <w:bookmarkEnd w:id="248"/>
    </w:p>
    <w:p>
      <w:pPr>
        <w:pStyle w:val="Subsection"/>
      </w:pPr>
      <w:r>
        <w:tab/>
        <w:t>(1)</w:t>
      </w:r>
      <w:r>
        <w:tab/>
        <w:t xml:space="preserve">A reference in section 51BH to a person conducting a business or undertaking includes a reference to the following — </w:t>
      </w:r>
    </w:p>
    <w:p>
      <w:pPr>
        <w:pStyle w:val="Indenta"/>
      </w:pPr>
      <w:r>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pPr>
        <w:pStyle w:val="Footnotesection"/>
      </w:pPr>
      <w:r>
        <w:tab/>
        <w:t>[Section 51BG inserted: No. 30 of 2021 s. 29.]</w:t>
      </w:r>
    </w:p>
    <w:p>
      <w:pPr>
        <w:pStyle w:val="Heading5"/>
      </w:pPr>
      <w:bookmarkStart w:id="249" w:name="_Toc188451185"/>
      <w:r>
        <w:rPr>
          <w:rStyle w:val="CharSectno"/>
        </w:rPr>
        <w:lastRenderedPageBreak/>
        <w:t>51BH</w:t>
      </w:r>
      <w:r>
        <w:t>.</w:t>
      </w:r>
      <w:r>
        <w:tab/>
        <w:t>Worker</w:t>
      </w:r>
      <w:bookmarkEnd w:id="249"/>
    </w:p>
    <w:p>
      <w:pPr>
        <w:pStyle w:val="Subsection"/>
      </w:pPr>
      <w:r>
        <w:tab/>
        <w:t>(1A)</w:t>
      </w:r>
      <w:r>
        <w:tab/>
        <w:t xml:space="preserve">In this section — </w:t>
      </w:r>
    </w:p>
    <w:p>
      <w:pPr>
        <w:pStyle w:val="Defstart"/>
      </w:pPr>
      <w:r>
        <w:tab/>
      </w:r>
      <w:r>
        <w:rPr>
          <w:rStyle w:val="CharDefText"/>
        </w:rPr>
        <w:t>outworker</w:t>
      </w:r>
      <w:r>
        <w:t xml:space="preserve"> means an individual who performs work at residential premises or at other premises that would not conventionally be regarded as being business premises, either —</w:t>
      </w:r>
    </w:p>
    <w:p>
      <w:pPr>
        <w:pStyle w:val="Defpara"/>
      </w:pPr>
      <w:r>
        <w:tab/>
        <w:t>(a)</w:t>
      </w:r>
      <w:r>
        <w:tab/>
        <w:t>as an employee who performs the work for the purpose of the business of the individual’s employer; or</w:t>
      </w:r>
    </w:p>
    <w:p>
      <w:pPr>
        <w:pStyle w:val="Defpara"/>
      </w:pPr>
      <w:r>
        <w:tab/>
        <w:t>(b)</w:t>
      </w:r>
      <w:r>
        <w:tab/>
        <w:t>as an individual who performs the work in the textile, clothing or footwear industry under a contract for the provision of services.</w:t>
      </w:r>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lastRenderedPageBreak/>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r>
        <w:tab/>
        <w:t>[Section 51BH inserted: No. 30 of 2021 s. 29; amended: No. 43 of 2024 s. 38.]</w:t>
      </w:r>
    </w:p>
    <w:p>
      <w:pPr>
        <w:pStyle w:val="Heading4"/>
      </w:pPr>
      <w:bookmarkStart w:id="250" w:name="_Toc182397827"/>
      <w:bookmarkStart w:id="251" w:name="_Toc182398141"/>
      <w:bookmarkStart w:id="252" w:name="_Toc182398455"/>
      <w:bookmarkStart w:id="253" w:name="_Toc188271546"/>
      <w:bookmarkStart w:id="254" w:name="_Toc188451186"/>
      <w:r>
        <w:t>Subdivision 2 — Bullying at work</w:t>
      </w:r>
      <w:bookmarkEnd w:id="250"/>
      <w:bookmarkEnd w:id="251"/>
      <w:bookmarkEnd w:id="252"/>
      <w:bookmarkEnd w:id="253"/>
      <w:bookmarkEnd w:id="254"/>
    </w:p>
    <w:p>
      <w:pPr>
        <w:pStyle w:val="Footnoteheading"/>
      </w:pPr>
      <w:r>
        <w:tab/>
        <w:t>[Heading inserted: No. 43 of 2024 s. 40.]</w:t>
      </w:r>
    </w:p>
    <w:p>
      <w:pPr>
        <w:pStyle w:val="Heading5"/>
      </w:pPr>
      <w:bookmarkStart w:id="255" w:name="_Toc182398456"/>
      <w:bookmarkStart w:id="256" w:name="_Toc188451187"/>
      <w:r>
        <w:rPr>
          <w:rStyle w:val="CharSectno"/>
        </w:rPr>
        <w:t>51BI</w:t>
      </w:r>
      <w:r>
        <w:t>.</w:t>
      </w:r>
      <w:r>
        <w:tab/>
        <w:t>Worker bullied at work</w:t>
      </w:r>
      <w:bookmarkEnd w:id="255"/>
      <w:bookmarkEnd w:id="256"/>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t xml:space="preserve">a person, whether as an individual or as part of a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that behaviour creates a risk to the health or safety of the worker.</w:t>
      </w:r>
    </w:p>
    <w:p>
      <w:pPr>
        <w:pStyle w:val="Subsection"/>
      </w:pPr>
      <w:r>
        <w:tab/>
        <w:t>(2)</w:t>
      </w:r>
      <w:r>
        <w:tab/>
        <w:t>Subsection (1) does not apply to reasonable management action carried out in a reasonable manner.</w:t>
      </w:r>
    </w:p>
    <w:p>
      <w:pPr>
        <w:pStyle w:val="Footnotesection"/>
      </w:pPr>
      <w:r>
        <w:tab/>
        <w:t>[Section 51BI inserted: No. 43 of 2024 s. 40.]</w:t>
      </w:r>
    </w:p>
    <w:p>
      <w:pPr>
        <w:pStyle w:val="Heading5"/>
      </w:pPr>
      <w:bookmarkStart w:id="257" w:name="_Toc182398457"/>
      <w:bookmarkStart w:id="258" w:name="_Toc188451188"/>
      <w:r>
        <w:rPr>
          <w:rStyle w:val="CharSectno"/>
        </w:rPr>
        <w:t>51BJ</w:t>
      </w:r>
      <w:r>
        <w:t>.</w:t>
      </w:r>
      <w:r>
        <w:tab/>
        <w:t>Worker may make stop bullying application</w:t>
      </w:r>
      <w:bookmarkEnd w:id="257"/>
      <w:bookmarkEnd w:id="258"/>
    </w:p>
    <w:p>
      <w:pPr>
        <w:pStyle w:val="Subsection"/>
      </w:pPr>
      <w:r>
        <w:tab/>
        <w:t>(1)</w:t>
      </w:r>
      <w:r>
        <w:tab/>
        <w:t xml:space="preserve">A worker who reasonably believes that the worker has been bullied at work may make an application (a </w:t>
      </w:r>
      <w:r>
        <w:rPr>
          <w:rStyle w:val="CharDefText"/>
        </w:rPr>
        <w:t>stop bullying application</w:t>
      </w:r>
      <w:r>
        <w:t>) to the Commission for a stop bullying order.</w:t>
      </w:r>
    </w:p>
    <w:p>
      <w:pPr>
        <w:pStyle w:val="Subsection"/>
      </w:pPr>
      <w:r>
        <w:tab/>
        <w:t>(2)</w:t>
      </w:r>
      <w:r>
        <w:tab/>
        <w:t xml:space="preserve">The </w:t>
      </w:r>
      <w:r>
        <w:rPr>
          <w:i/>
        </w:rPr>
        <w:t>Work Health and Safety Act 2020</w:t>
      </w:r>
      <w:r>
        <w:t xml:space="preserve"> section 115 does not apply in relation to a stop bullying application.</w:t>
      </w:r>
    </w:p>
    <w:p>
      <w:pPr>
        <w:pStyle w:val="Footnotesection"/>
      </w:pPr>
      <w:r>
        <w:tab/>
        <w:t>[Section 51BJ inserted: No. 43 of 2024 s. 40.]</w:t>
      </w:r>
    </w:p>
    <w:p>
      <w:pPr>
        <w:pStyle w:val="Heading5"/>
      </w:pPr>
      <w:bookmarkStart w:id="259" w:name="_Toc182398458"/>
      <w:bookmarkStart w:id="260" w:name="_Toc188451189"/>
      <w:r>
        <w:rPr>
          <w:rStyle w:val="CharSectno"/>
        </w:rPr>
        <w:lastRenderedPageBreak/>
        <w:t>51BK</w:t>
      </w:r>
      <w:r>
        <w:t>.</w:t>
      </w:r>
      <w:r>
        <w:tab/>
        <w:t>Dealing with stop bullying application</w:t>
      </w:r>
      <w:bookmarkEnd w:id="259"/>
      <w:bookmarkEnd w:id="260"/>
    </w:p>
    <w:p>
      <w:pPr>
        <w:pStyle w:val="Subsection"/>
      </w:pPr>
      <w:r>
        <w:tab/>
        <w:t>(1)</w:t>
      </w:r>
      <w:r>
        <w:tab/>
        <w:t>The Commission must start to deal with a stop bullying application within 14 days after the application is made.</w:t>
      </w:r>
    </w:p>
    <w:p>
      <w:pPr>
        <w:pStyle w:val="PermNoteHeading"/>
      </w:pPr>
      <w:r>
        <w:tab/>
        <w:t xml:space="preserve">Note for this subsection: </w:t>
      </w:r>
    </w:p>
    <w:p>
      <w:pPr>
        <w:pStyle w:val="PermNoteText"/>
      </w:pPr>
      <w:r>
        <w:tab/>
      </w:r>
      <w:r>
        <w:tab/>
        <w:t xml:space="preserve">See Part II Division 2 for the Commission’s general jurisdiction and powers in relation to a stop bullying application. </w:t>
      </w:r>
    </w:p>
    <w:p>
      <w:pPr>
        <w:pStyle w:val="Subsection"/>
      </w:pPr>
      <w:r>
        <w:tab/>
        <w:t>(2)</w:t>
      </w:r>
      <w:r>
        <w:tab/>
        <w:t>Section 44 does not apply to a stop bullying application.</w:t>
      </w:r>
    </w:p>
    <w:p>
      <w:pPr>
        <w:pStyle w:val="Subsection"/>
      </w:pPr>
      <w:r>
        <w:tab/>
        <w:t>(3)</w:t>
      </w:r>
      <w:r>
        <w:tab/>
        <w:t>Section 48A(2) or any other written law providing for the resolution of a grievance or dispute by workers does not limit the Commission’s power to deal with a stop bullying application.</w:t>
      </w:r>
    </w:p>
    <w:p>
      <w:pPr>
        <w:pStyle w:val="Footnotesection"/>
      </w:pPr>
      <w:r>
        <w:tab/>
        <w:t>[Section 51BK inserted: No. 43 of 2024 s. 40.]</w:t>
      </w:r>
    </w:p>
    <w:p>
      <w:pPr>
        <w:pStyle w:val="Heading5"/>
      </w:pPr>
      <w:bookmarkStart w:id="261" w:name="_Toc182398459"/>
      <w:bookmarkStart w:id="262" w:name="_Toc188451190"/>
      <w:r>
        <w:rPr>
          <w:rStyle w:val="CharSectno"/>
        </w:rPr>
        <w:t>51BL</w:t>
      </w:r>
      <w:r>
        <w:t>.</w:t>
      </w:r>
      <w:r>
        <w:tab/>
        <w:t>Power to dismiss stop bullying applications involving covert operations</w:t>
      </w:r>
      <w:bookmarkEnd w:id="261"/>
      <w:bookmarkEnd w:id="262"/>
    </w:p>
    <w:p>
      <w:pPr>
        <w:pStyle w:val="Subsection"/>
      </w:pPr>
      <w:r>
        <w:tab/>
      </w:r>
      <w:r>
        <w:tab/>
        <w:t xml:space="preserve">The Commission may dismiss a stop bullying application if the Commission considers that the application might involve matters that relate to a police officer performing a function in circumstances in which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performance of the function is secret or confidential, it would be likely that — </w:t>
      </w:r>
    </w:p>
    <w:p>
      <w:pPr>
        <w:pStyle w:val="Indenti"/>
      </w:pPr>
      <w:r>
        <w:tab/>
        <w:t>(i)</w:t>
      </w:r>
      <w:r>
        <w:tab/>
        <w:t>the effectiveness of the performance of the function is reduced; or</w:t>
      </w:r>
    </w:p>
    <w:p>
      <w:pPr>
        <w:pStyle w:val="Indenti"/>
      </w:pPr>
      <w:r>
        <w:tab/>
        <w:t>(ii)</w:t>
      </w:r>
      <w:r>
        <w:tab/>
        <w:t>a person is exposed to the danger of physical harm arising from the actions of another person.</w:t>
      </w:r>
    </w:p>
    <w:p>
      <w:pPr>
        <w:pStyle w:val="Footnotesection"/>
      </w:pPr>
      <w:r>
        <w:tab/>
        <w:t>[Section 51BL inserted: No. 43 of 2024 s. 40.]</w:t>
      </w:r>
    </w:p>
    <w:p>
      <w:pPr>
        <w:pStyle w:val="Heading5"/>
      </w:pPr>
      <w:bookmarkStart w:id="263" w:name="_Toc182398460"/>
      <w:bookmarkStart w:id="264" w:name="_Toc188451191"/>
      <w:r>
        <w:rPr>
          <w:rStyle w:val="CharSectno"/>
        </w:rPr>
        <w:lastRenderedPageBreak/>
        <w:t>51BM</w:t>
      </w:r>
      <w:r>
        <w:t>.</w:t>
      </w:r>
      <w:r>
        <w:tab/>
        <w:t>Commission may make stop bullying order</w:t>
      </w:r>
      <w:bookmarkEnd w:id="263"/>
      <w:bookmarkEnd w:id="264"/>
    </w:p>
    <w:p>
      <w:pPr>
        <w:pStyle w:val="Subsection"/>
        <w:keepNext/>
      </w:pPr>
      <w:r>
        <w:tab/>
        <w:t>(1)</w:t>
      </w:r>
      <w:r>
        <w:tab/>
        <w:t xml:space="preserve">This section applies if — </w:t>
      </w:r>
    </w:p>
    <w:p>
      <w:pPr>
        <w:pStyle w:val="Indenta"/>
      </w:pPr>
      <w:r>
        <w:tab/>
        <w:t>(a)</w:t>
      </w:r>
      <w:r>
        <w:tab/>
        <w:t>a worker makes a stop bullying application; and</w:t>
      </w:r>
    </w:p>
    <w:p>
      <w:pPr>
        <w:pStyle w:val="Indenta"/>
      </w:pPr>
      <w:r>
        <w:tab/>
        <w:t>(b)</w:t>
      </w:r>
      <w:r>
        <w:tab/>
        <w:t xml:space="preserve">the Commission is satisfied that — </w:t>
      </w:r>
    </w:p>
    <w:p>
      <w:pPr>
        <w:pStyle w:val="Indenti"/>
      </w:pPr>
      <w:r>
        <w:tab/>
        <w:t>(i)</w:t>
      </w:r>
      <w:r>
        <w:tab/>
        <w:t>a person bullied the worker at work; and</w:t>
      </w:r>
    </w:p>
    <w:p>
      <w:pPr>
        <w:pStyle w:val="Indenti"/>
      </w:pPr>
      <w:r>
        <w:tab/>
        <w:t>(ii)</w:t>
      </w:r>
      <w:r>
        <w:tab/>
        <w:t>there is a risk the person will continue to do so.</w:t>
      </w:r>
    </w:p>
    <w:p>
      <w:pPr>
        <w:pStyle w:val="Subsection"/>
      </w:pPr>
      <w:r>
        <w:tab/>
        <w:t>(2)</w:t>
      </w:r>
      <w:r>
        <w:tab/>
        <w:t xml:space="preserve">The Commission may make an order (a </w:t>
      </w:r>
      <w:r>
        <w:rPr>
          <w:rStyle w:val="CharDefText"/>
        </w:rPr>
        <w:t>stop bullying order</w:t>
      </w:r>
      <w:r>
        <w:t>) it considers appropriate to prevent the person bullying the worker at work.</w:t>
      </w:r>
    </w:p>
    <w:p>
      <w:pPr>
        <w:pStyle w:val="Subsection"/>
      </w:pPr>
      <w:r>
        <w:tab/>
        <w:t>(3)</w:t>
      </w:r>
      <w:r>
        <w:tab/>
        <w:t>Despite subsection (2), the Commission cannot make an order requiring the payment of compensation to the worker.</w:t>
      </w:r>
    </w:p>
    <w:p>
      <w:pPr>
        <w:pStyle w:val="Footnotesection"/>
      </w:pPr>
      <w:r>
        <w:tab/>
        <w:t>[Section 51BM inserted: No. 43 of 2024 s. 40.]</w:t>
      </w:r>
    </w:p>
    <w:p>
      <w:pPr>
        <w:pStyle w:val="Heading5"/>
      </w:pPr>
      <w:bookmarkStart w:id="265" w:name="_Toc182398461"/>
      <w:bookmarkStart w:id="266" w:name="_Toc188451192"/>
      <w:r>
        <w:rPr>
          <w:rStyle w:val="CharSectno"/>
        </w:rPr>
        <w:t>51BN</w:t>
      </w:r>
      <w:r>
        <w:t>.</w:t>
      </w:r>
      <w:r>
        <w:tab/>
        <w:t>Matters to be taken into account in considering terms of stop bullying order</w:t>
      </w:r>
      <w:bookmarkEnd w:id="265"/>
      <w:bookmarkEnd w:id="266"/>
    </w:p>
    <w:p>
      <w:pPr>
        <w:pStyle w:val="Subsection"/>
      </w:pPr>
      <w:r>
        <w:tab/>
        <w:t>(1)</w:t>
      </w:r>
      <w:r>
        <w:tab/>
        <w:t xml:space="preserve">In considering the terms of a stop bullying order under section 51BM(2) in relation to the bullying of a worker, the Commission must, to the extent the Commission is aware of the following matters, take them into account — </w:t>
      </w:r>
    </w:p>
    <w:p>
      <w:pPr>
        <w:pStyle w:val="Indenta"/>
      </w:pPr>
      <w:r>
        <w:tab/>
        <w:t>(a)</w:t>
      </w:r>
      <w:r>
        <w:tab/>
        <w:t>the final or interim outcomes of any investigation into the bullying that is being, or has been, undertaken by another person or body;</w:t>
      </w:r>
    </w:p>
    <w:p>
      <w:pPr>
        <w:pStyle w:val="Indenta"/>
      </w:pPr>
      <w:r>
        <w:tab/>
        <w:t>(b)</w:t>
      </w:r>
      <w:r>
        <w:tab/>
        <w:t>any procedure available to the worker to resolve grievances or disputes;</w:t>
      </w:r>
    </w:p>
    <w:p>
      <w:pPr>
        <w:pStyle w:val="Indenta"/>
      </w:pPr>
      <w:r>
        <w:tab/>
        <w:t>(c)</w:t>
      </w:r>
      <w:r>
        <w:tab/>
        <w:t>the final or interim outcomes arising out of any procedure referred to in paragraph (b) in relation to the bullying.</w:t>
      </w:r>
    </w:p>
    <w:p>
      <w:pPr>
        <w:pStyle w:val="Subsection"/>
      </w:pPr>
      <w:r>
        <w:tab/>
        <w:t>(2)</w:t>
      </w:r>
      <w:r>
        <w:tab/>
        <w:t>The Commission may also take into account any other matter the Commission considers relevant.</w:t>
      </w:r>
    </w:p>
    <w:p>
      <w:pPr>
        <w:pStyle w:val="Footnotesection"/>
      </w:pPr>
      <w:r>
        <w:tab/>
        <w:t>[Section 51BN inserted: No. 43 of 2024 s. 40.]</w:t>
      </w:r>
    </w:p>
    <w:p>
      <w:pPr>
        <w:pStyle w:val="Heading5"/>
      </w:pPr>
      <w:bookmarkStart w:id="267" w:name="_Toc182398462"/>
      <w:bookmarkStart w:id="268" w:name="_Toc188451193"/>
      <w:r>
        <w:rPr>
          <w:rStyle w:val="CharSectno"/>
        </w:rPr>
        <w:lastRenderedPageBreak/>
        <w:t>51BO</w:t>
      </w:r>
      <w:r>
        <w:t>.</w:t>
      </w:r>
      <w:r>
        <w:tab/>
        <w:t>Person must comply with stop bullying order</w:t>
      </w:r>
      <w:bookmarkEnd w:id="267"/>
      <w:bookmarkEnd w:id="268"/>
    </w:p>
    <w:p>
      <w:pPr>
        <w:pStyle w:val="Subsection"/>
      </w:pPr>
      <w:r>
        <w:tab/>
        <w:t>(1)</w:t>
      </w:r>
      <w:r>
        <w:tab/>
        <w:t>A person to whom a stop bullying order applies must comply with the order.</w:t>
      </w:r>
    </w:p>
    <w:p>
      <w:pPr>
        <w:pStyle w:val="Subsection"/>
      </w:pPr>
      <w:r>
        <w:tab/>
        <w:t>(2)</w:t>
      </w:r>
      <w:r>
        <w:tab/>
        <w:t>A contravention of subsection (1) is not an offence but that subsection is a civil penalty provision for the purposes of section 83E.</w:t>
      </w:r>
    </w:p>
    <w:p>
      <w:pPr>
        <w:pStyle w:val="Footnotesection"/>
      </w:pPr>
      <w:r>
        <w:tab/>
        <w:t>[Section 51BO inserted: No. 43 of 2024 s. 40.]</w:t>
      </w:r>
    </w:p>
    <w:p>
      <w:pPr>
        <w:pStyle w:val="Heading5"/>
      </w:pPr>
      <w:bookmarkStart w:id="269" w:name="_Toc182398463"/>
      <w:bookmarkStart w:id="270" w:name="_Toc188451194"/>
      <w:r>
        <w:rPr>
          <w:rStyle w:val="CharSectno"/>
        </w:rPr>
        <w:t>51BP</w:t>
      </w:r>
      <w:r>
        <w:t>.</w:t>
      </w:r>
      <w:r>
        <w:tab/>
        <w:t>Enforcement of contravention of stop bullying order</w:t>
      </w:r>
      <w:bookmarkEnd w:id="269"/>
      <w:bookmarkEnd w:id="270"/>
    </w:p>
    <w:p>
      <w:pPr>
        <w:pStyle w:val="Subsection"/>
      </w:pPr>
      <w:r>
        <w:tab/>
        <w:t>(1)</w:t>
      </w:r>
      <w:r>
        <w:tab/>
        <w:t xml:space="preserve">This section applies if, on an application under section 83E, the industrial magistrate’s court determines that a person contravened a stop bullying order made in relation to the bullying of a worker. </w:t>
      </w:r>
    </w:p>
    <w:p>
      <w:pPr>
        <w:pStyle w:val="Subsection"/>
      </w:pPr>
      <w:r>
        <w:tab/>
        <w:t>(2)</w:t>
      </w:r>
      <w:r>
        <w:tab/>
        <w:t xml:space="preserve">The court may make 1 or more of the following orders — </w:t>
      </w:r>
    </w:p>
    <w:p>
      <w:pPr>
        <w:pStyle w:val="Indenta"/>
      </w:pPr>
      <w:r>
        <w:tab/>
        <w:t>(a)</w:t>
      </w:r>
      <w:r>
        <w:tab/>
        <w:t xml:space="preserve">an order that the person pay the worker compensation for loss or injury suffered as a result of the contravention; </w:t>
      </w:r>
    </w:p>
    <w:p>
      <w:pPr>
        <w:pStyle w:val="Indenta"/>
      </w:pPr>
      <w:r>
        <w:tab/>
        <w:t>(b)</w:t>
      </w:r>
      <w:r>
        <w:tab/>
        <w:t xml:space="preserve">an order that the person do a thing or cease an activity specified in the stop bullying order; </w:t>
      </w:r>
    </w:p>
    <w:p>
      <w:pPr>
        <w:pStyle w:val="Indenta"/>
      </w:pPr>
      <w:r>
        <w:tab/>
        <w:t>(c)</w:t>
      </w:r>
      <w:r>
        <w:tab/>
        <w:t>any other order the court considers appropriate.</w:t>
      </w:r>
    </w:p>
    <w:p>
      <w:pPr>
        <w:pStyle w:val="Subsection"/>
      </w:pPr>
      <w:r>
        <w:tab/>
        <w:t>(3)</w:t>
      </w:r>
      <w:r>
        <w:tab/>
        <w:t>The industrial magistrate’s court may make an order under this section in addition to imposing a penalty, or making another order, under section 83E.</w:t>
      </w:r>
    </w:p>
    <w:p>
      <w:pPr>
        <w:pStyle w:val="Subsection"/>
      </w:pPr>
      <w:r>
        <w:tab/>
        <w:t>(4)</w:t>
      </w:r>
      <w:r>
        <w:tab/>
        <w:t>A person must comply with an order made against the person under subsection (2).</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51BP inserted: No. 43 of 2024 s. 40.]</w:t>
      </w:r>
    </w:p>
    <w:p>
      <w:pPr>
        <w:pStyle w:val="Heading4"/>
      </w:pPr>
      <w:bookmarkStart w:id="271" w:name="_Toc182397836"/>
      <w:bookmarkStart w:id="272" w:name="_Toc182398150"/>
      <w:bookmarkStart w:id="273" w:name="_Toc182398464"/>
      <w:bookmarkStart w:id="274" w:name="_Toc188271555"/>
      <w:bookmarkStart w:id="275" w:name="_Toc188451195"/>
      <w:r>
        <w:lastRenderedPageBreak/>
        <w:t>Subdivision 3 — Sexual harassment in connection with work</w:t>
      </w:r>
      <w:bookmarkEnd w:id="271"/>
      <w:bookmarkEnd w:id="272"/>
      <w:bookmarkEnd w:id="273"/>
      <w:bookmarkEnd w:id="274"/>
      <w:bookmarkEnd w:id="275"/>
    </w:p>
    <w:p>
      <w:pPr>
        <w:pStyle w:val="Footnoteheading"/>
      </w:pPr>
      <w:r>
        <w:tab/>
        <w:t>[Heading inserted: No. 43 of 2024 s. 40.]</w:t>
      </w:r>
    </w:p>
    <w:p>
      <w:pPr>
        <w:pStyle w:val="Heading5"/>
      </w:pPr>
      <w:bookmarkStart w:id="276" w:name="_Toc182398465"/>
      <w:bookmarkStart w:id="277" w:name="_Toc188451196"/>
      <w:r>
        <w:rPr>
          <w:rStyle w:val="CharSectno"/>
        </w:rPr>
        <w:t>51BQ</w:t>
      </w:r>
      <w:r>
        <w:t>.</w:t>
      </w:r>
      <w:r>
        <w:tab/>
        <w:t>Meaning of sexually harasses</w:t>
      </w:r>
      <w:bookmarkEnd w:id="276"/>
      <w:bookmarkEnd w:id="277"/>
    </w:p>
    <w:p>
      <w:pPr>
        <w:pStyle w:val="Subsection"/>
      </w:pPr>
      <w:r>
        <w:tab/>
        <w:t>(1)</w:t>
      </w:r>
      <w:r>
        <w:tab/>
        <w:t xml:space="preserve">A person (the </w:t>
      </w:r>
      <w:r>
        <w:rPr>
          <w:rStyle w:val="CharDefText"/>
        </w:rPr>
        <w:t>first person</w:t>
      </w:r>
      <w:r>
        <w:t xml:space="preserve">) </w:t>
      </w:r>
      <w:r>
        <w:rPr>
          <w:rStyle w:val="CharDefText"/>
        </w:rPr>
        <w:t>sexually harasses</w:t>
      </w:r>
      <w:r>
        <w:t xml:space="preserve"> another person (the </w:t>
      </w:r>
      <w:r>
        <w:rPr>
          <w:rStyle w:val="CharDefText"/>
        </w:rPr>
        <w:t>second person</w:t>
      </w:r>
      <w:r>
        <w:t>) if the first person, whether as an individual or as part of a group of individuals —</w:t>
      </w:r>
    </w:p>
    <w:p>
      <w:pPr>
        <w:pStyle w:val="Indenta"/>
      </w:pPr>
      <w:r>
        <w:tab/>
        <w:t>(a)</w:t>
      </w:r>
      <w:r>
        <w:tab/>
        <w:t>makes an unwelcome sexual advance, or an unwelcome request for sexual favours, to the second person in circumstances a reasonable person, having regard to all the circumstances, would have anticipated the possibility that the second person would be offended, humiliated or intimidated; or</w:t>
      </w:r>
    </w:p>
    <w:p>
      <w:pPr>
        <w:pStyle w:val="Indenta"/>
      </w:pPr>
      <w:r>
        <w:tab/>
        <w:t>(b)</w:t>
      </w:r>
      <w:r>
        <w:tab/>
        <w:t>engages in other unwelcome conduct of a sexual nature in relation to the second person in circumstances a reasonable person, having regard to all the circumstances, would have anticipated the possibility that the second person would be offended, humiliated or intimidated.</w:t>
      </w:r>
    </w:p>
    <w:p>
      <w:pPr>
        <w:pStyle w:val="Subsection"/>
      </w:pPr>
      <w:r>
        <w:tab/>
        <w:t>(2)</w:t>
      </w:r>
      <w:r>
        <w:tab/>
        <w:t xml:space="preserve">In subsection (1)(b) — </w:t>
      </w:r>
    </w:p>
    <w:p>
      <w:pPr>
        <w:pStyle w:val="Defstart"/>
      </w:pPr>
      <w:r>
        <w:tab/>
      </w:r>
      <w:r>
        <w:rPr>
          <w:rStyle w:val="CharDefText"/>
        </w:rPr>
        <w:t>conduct of a sexual nature</w:t>
      </w:r>
      <w:r>
        <w:t>, of the first person in relation to the second person, includes —</w:t>
      </w:r>
    </w:p>
    <w:p>
      <w:pPr>
        <w:pStyle w:val="Defpara"/>
      </w:pPr>
      <w:r>
        <w:tab/>
        <w:t>(a)</w:t>
      </w:r>
      <w:r>
        <w:tab/>
        <w:t>making to, or in the presence of, the second person or another person a statement of a sexual nature concerning the second person, whether by visual, oral, written or electronic communication; or</w:t>
      </w:r>
    </w:p>
    <w:p>
      <w:pPr>
        <w:pStyle w:val="Defpara"/>
      </w:pPr>
      <w:r>
        <w:tab/>
        <w:t>(b)</w:t>
      </w:r>
      <w:r>
        <w:tab/>
        <w:t>publishing a statement of a sexual nature concerning the second person on the Internet or in any other form of communication.</w:t>
      </w:r>
    </w:p>
    <w:p>
      <w:pPr>
        <w:pStyle w:val="Footnotesection"/>
      </w:pPr>
      <w:r>
        <w:tab/>
        <w:t>[Section 51BQ inserted: No. 43 of 2024 s. 40.]</w:t>
      </w:r>
    </w:p>
    <w:p>
      <w:pPr>
        <w:pStyle w:val="Heading5"/>
      </w:pPr>
      <w:bookmarkStart w:id="278" w:name="_Toc182398466"/>
      <w:bookmarkStart w:id="279" w:name="_Toc188451197"/>
      <w:r>
        <w:rPr>
          <w:rStyle w:val="CharSectno"/>
        </w:rPr>
        <w:lastRenderedPageBreak/>
        <w:t>51BR</w:t>
      </w:r>
      <w:r>
        <w:t>.</w:t>
      </w:r>
      <w:r>
        <w:tab/>
        <w:t>Sexual harassment in connection with work prohibited</w:t>
      </w:r>
      <w:bookmarkEnd w:id="278"/>
      <w:bookmarkEnd w:id="279"/>
    </w:p>
    <w:p>
      <w:pPr>
        <w:pStyle w:val="Subsection"/>
      </w:pPr>
      <w:r>
        <w:tab/>
        <w:t>(1)</w:t>
      </w:r>
      <w:r>
        <w:tab/>
        <w:t xml:space="preserve">A person must not sexually harass another person (the </w:t>
      </w:r>
      <w:r>
        <w:rPr>
          <w:rStyle w:val="CharDefText"/>
        </w:rPr>
        <w:t>person</w:t>
      </w:r>
      <w:r>
        <w:t xml:space="preserve">) in connection with the person — </w:t>
      </w:r>
    </w:p>
    <w:p>
      <w:pPr>
        <w:pStyle w:val="Indenta"/>
      </w:pPr>
      <w:r>
        <w:tab/>
        <w:t>(a)</w:t>
      </w:r>
      <w:r>
        <w:tab/>
        <w:t>being a worker; or</w:t>
      </w:r>
    </w:p>
    <w:p>
      <w:pPr>
        <w:pStyle w:val="Indenta"/>
      </w:pPr>
      <w:r>
        <w:tab/>
        <w:t>(b)</w:t>
      </w:r>
      <w:r>
        <w:tab/>
        <w:t>seeking to become a worker in a particular business or undertaking.</w:t>
      </w:r>
    </w:p>
    <w:p>
      <w:pPr>
        <w:pStyle w:val="Subsection"/>
      </w:pPr>
      <w:r>
        <w:tab/>
        <w:t>(2)</w:t>
      </w:r>
      <w:r>
        <w:tab/>
        <w:t xml:space="preserve">Sexual harassment that happens in connection with the circumstances in subsection (1) is sexual harassment </w:t>
      </w:r>
      <w:r>
        <w:rPr>
          <w:rStyle w:val="CharDefText"/>
        </w:rPr>
        <w:t>in connection with work</w:t>
      </w:r>
      <w:r>
        <w:t>.</w:t>
      </w:r>
    </w:p>
    <w:p>
      <w:pPr>
        <w:pStyle w:val="Subsection"/>
      </w:pPr>
      <w:r>
        <w:tab/>
        <w:t>(3)</w:t>
      </w:r>
      <w:r>
        <w:tab/>
        <w:t>A contravention of subsection (1) is not an offence but that subsection is a civil penalty provision for the purposes of section 83E.</w:t>
      </w:r>
    </w:p>
    <w:p>
      <w:pPr>
        <w:pStyle w:val="Footnotesection"/>
      </w:pPr>
      <w:r>
        <w:tab/>
        <w:t>[Section 51BR inserted: No. 43 of 2024 s. 40.]</w:t>
      </w:r>
    </w:p>
    <w:p>
      <w:pPr>
        <w:pStyle w:val="Heading5"/>
      </w:pPr>
      <w:bookmarkStart w:id="280" w:name="_Toc182398467"/>
      <w:bookmarkStart w:id="281" w:name="_Toc188451198"/>
      <w:r>
        <w:rPr>
          <w:rStyle w:val="CharSectno"/>
        </w:rPr>
        <w:t>51BS</w:t>
      </w:r>
      <w:r>
        <w:t>.</w:t>
      </w:r>
      <w:r>
        <w:tab/>
        <w:t>Vicarious liability for sexual harassment in connection with work</w:t>
      </w:r>
      <w:bookmarkEnd w:id="280"/>
      <w:bookmarkEnd w:id="281"/>
    </w:p>
    <w:p>
      <w:pPr>
        <w:pStyle w:val="Subsection"/>
      </w:pPr>
      <w:r>
        <w:tab/>
        <w:t>(1)</w:t>
      </w:r>
      <w:r>
        <w:tab/>
        <w:t xml:space="preserve">In this section — </w:t>
      </w:r>
    </w:p>
    <w:p>
      <w:pPr>
        <w:pStyle w:val="Defstart"/>
      </w:pPr>
      <w:r>
        <w:tab/>
      </w:r>
      <w:r>
        <w:rPr>
          <w:rStyle w:val="CharDefText"/>
        </w:rPr>
        <w:t>principal</w:t>
      </w:r>
      <w:r>
        <w:t xml:space="preserve"> means a person who — </w:t>
      </w:r>
    </w:p>
    <w:p>
      <w:pPr>
        <w:pStyle w:val="Defpara"/>
      </w:pPr>
      <w:r>
        <w:tab/>
        <w:t>(a)</w:t>
      </w:r>
      <w:r>
        <w:tab/>
        <w:t>employs an employee; or</w:t>
      </w:r>
    </w:p>
    <w:p>
      <w:pPr>
        <w:pStyle w:val="Defpara"/>
      </w:pPr>
      <w:r>
        <w:tab/>
        <w:t>(b)</w:t>
      </w:r>
      <w:r>
        <w:tab/>
        <w:t>engages another person as an agent.</w:t>
      </w:r>
    </w:p>
    <w:p>
      <w:pPr>
        <w:pStyle w:val="Subsection"/>
      </w:pPr>
      <w:r>
        <w:tab/>
        <w:t>(2)</w:t>
      </w:r>
      <w:r>
        <w:tab/>
        <w:t>If an employee or agent, in connection with the employee’s employment or with the agent’s duties, sexually harasses a person in connection with work, this Act applies in relation to the principal of the employee or agent as if the principal had also sexually harassed that person.</w:t>
      </w:r>
    </w:p>
    <w:p>
      <w:pPr>
        <w:pStyle w:val="Subsection"/>
      </w:pPr>
      <w:r>
        <w:tab/>
        <w:t>(3)</w:t>
      </w:r>
      <w:r>
        <w:tab/>
        <w:t>Subsection (2) does not apply if the principal proves that the principal took all reasonable steps to prevent the employee or agent doing acts that would contravene section 51BR.</w:t>
      </w:r>
    </w:p>
    <w:p>
      <w:pPr>
        <w:pStyle w:val="Subsection"/>
      </w:pPr>
      <w:r>
        <w:tab/>
        <w:t>(4)</w:t>
      </w:r>
      <w:r>
        <w:tab/>
        <w:t>Subsection (2) does not limit section 83E(1A) or (1B).</w:t>
      </w:r>
    </w:p>
    <w:p>
      <w:pPr>
        <w:pStyle w:val="Footnotesection"/>
      </w:pPr>
      <w:r>
        <w:tab/>
        <w:t>[Section 51BS inserted: No. 43 of 2024 s. 40.]</w:t>
      </w:r>
    </w:p>
    <w:p>
      <w:pPr>
        <w:pStyle w:val="Heading5"/>
      </w:pPr>
      <w:bookmarkStart w:id="282" w:name="_Toc182398468"/>
      <w:bookmarkStart w:id="283" w:name="_Toc188451199"/>
      <w:r>
        <w:rPr>
          <w:rStyle w:val="CharSectno"/>
        </w:rPr>
        <w:lastRenderedPageBreak/>
        <w:t>51BT</w:t>
      </w:r>
      <w:r>
        <w:t>.</w:t>
      </w:r>
      <w:r>
        <w:tab/>
        <w:t>Aggrieved person may commence sexual harassment proceeding</w:t>
      </w:r>
      <w:bookmarkEnd w:id="282"/>
      <w:bookmarkEnd w:id="283"/>
    </w:p>
    <w:p>
      <w:pPr>
        <w:pStyle w:val="Subsection"/>
      </w:pPr>
      <w:r>
        <w:tab/>
        <w:t>(1)</w:t>
      </w:r>
      <w:r>
        <w:tab/>
        <w:t xml:space="preserve">If a person (the </w:t>
      </w:r>
      <w:r>
        <w:rPr>
          <w:rStyle w:val="CharDefText"/>
        </w:rPr>
        <w:t>aggrieved person</w:t>
      </w:r>
      <w:r>
        <w:t xml:space="preserve">) alleges they have been sexually harassed in connection with work by 1 or more other persons, the aggrieved person may do either or both of the following — </w:t>
      </w:r>
    </w:p>
    <w:p>
      <w:pPr>
        <w:pStyle w:val="Indenta"/>
      </w:pPr>
      <w:r>
        <w:tab/>
        <w:t>(a)</w:t>
      </w:r>
      <w:r>
        <w:tab/>
        <w:t xml:space="preserve">make an application to the Commission for a stop sexual harassment order (a </w:t>
      </w:r>
      <w:r>
        <w:rPr>
          <w:rStyle w:val="CharDefText"/>
        </w:rPr>
        <w:t>stop sexual harassment application</w:t>
      </w:r>
      <w:r>
        <w:t>);</w:t>
      </w:r>
    </w:p>
    <w:p>
      <w:pPr>
        <w:pStyle w:val="Indenta"/>
      </w:pPr>
      <w:r>
        <w:tab/>
        <w:t>(b)</w:t>
      </w:r>
      <w:r>
        <w:tab/>
        <w:t xml:space="preserve">refer the matter to the Commission under section 29 (a </w:t>
      </w:r>
      <w:r>
        <w:rPr>
          <w:rStyle w:val="CharDefText"/>
        </w:rPr>
        <w:t>sexual harassment referral</w:t>
      </w:r>
      <w:r>
        <w:t>).</w:t>
      </w:r>
    </w:p>
    <w:p>
      <w:pPr>
        <w:pStyle w:val="PermNoteHeading"/>
      </w:pPr>
      <w:r>
        <w:tab/>
        <w:t>Note for this subsection:</w:t>
      </w:r>
    </w:p>
    <w:p>
      <w:pPr>
        <w:pStyle w:val="PermNoteText"/>
      </w:pPr>
      <w:r>
        <w:tab/>
      </w:r>
      <w:r>
        <w:tab/>
        <w:t>See section 51BZD for the restriction on also commencing proceedings under section 83E in relation to a contravention of section 51BR(1), or under anti</w:t>
      </w:r>
      <w:r>
        <w:noBreakHyphen/>
        <w:t>discrimination legislation as defined in that section, in relation to the same allegation of sexual harassment in connection with work.</w:t>
      </w:r>
    </w:p>
    <w:p>
      <w:pPr>
        <w:pStyle w:val="Subsection"/>
      </w:pPr>
      <w:r>
        <w:tab/>
        <w:t>(2)</w:t>
      </w:r>
      <w:r>
        <w:tab/>
        <w:t>Two or more aggrieved persons may act jointly under subsection (1) in relation to the same or a related allegation of sexual harassment in connection with work.</w:t>
      </w:r>
    </w:p>
    <w:p>
      <w:pPr>
        <w:pStyle w:val="Subsection"/>
      </w:pPr>
      <w:r>
        <w:tab/>
        <w:t>(3)</w:t>
      </w:r>
      <w:r>
        <w:tab/>
        <w:t xml:space="preserve">The </w:t>
      </w:r>
      <w:r>
        <w:rPr>
          <w:i/>
        </w:rPr>
        <w:t>Work Health and Safety Act 2020</w:t>
      </w:r>
      <w:r>
        <w:t xml:space="preserve"> section 115 does not apply in relation to a stop sexual harassment application.</w:t>
      </w:r>
    </w:p>
    <w:p>
      <w:pPr>
        <w:pStyle w:val="Subsection"/>
      </w:pPr>
      <w:r>
        <w:tab/>
        <w:t>(4)</w:t>
      </w:r>
      <w:r>
        <w:tab/>
        <w:t>Subsection (3) applies whether or not the aggrieved person has also made a sexual harassment referral in relation to the same or a related allegation of sexual harassment in connection with work.</w:t>
      </w:r>
    </w:p>
    <w:p>
      <w:pPr>
        <w:pStyle w:val="Footnotesection"/>
      </w:pPr>
      <w:r>
        <w:tab/>
        <w:t>[Section 51BT inserted: No. 43 of 2024 s. 40.]</w:t>
      </w:r>
    </w:p>
    <w:p>
      <w:pPr>
        <w:pStyle w:val="Heading5"/>
      </w:pPr>
      <w:bookmarkStart w:id="284" w:name="_Toc182398469"/>
      <w:bookmarkStart w:id="285" w:name="_Toc188451200"/>
      <w:r>
        <w:rPr>
          <w:rStyle w:val="CharSectno"/>
        </w:rPr>
        <w:t>51BU</w:t>
      </w:r>
      <w:r>
        <w:t>.</w:t>
      </w:r>
      <w:r>
        <w:tab/>
        <w:t>Time for commencing sexual harassment proceeding</w:t>
      </w:r>
      <w:bookmarkEnd w:id="284"/>
      <w:bookmarkEnd w:id="285"/>
    </w:p>
    <w:p>
      <w:pPr>
        <w:pStyle w:val="Subsection"/>
      </w:pPr>
      <w:r>
        <w:tab/>
      </w:r>
      <w:r>
        <w:tab/>
        <w:t>The Commission may dismiss a sexual harassment proceeding commenced more than 24 months after an alleged instance, or the last alleged instance, of sexual harassment in connection with work that is the subject of the proceeding.</w:t>
      </w:r>
    </w:p>
    <w:p>
      <w:pPr>
        <w:pStyle w:val="Footnotesection"/>
      </w:pPr>
      <w:r>
        <w:lastRenderedPageBreak/>
        <w:tab/>
        <w:t>[Section 51BU inserted: No. 43 of 2024 s. 40.]</w:t>
      </w:r>
    </w:p>
    <w:p>
      <w:pPr>
        <w:pStyle w:val="Heading5"/>
      </w:pPr>
      <w:bookmarkStart w:id="286" w:name="_Toc182398470"/>
      <w:bookmarkStart w:id="287" w:name="_Toc188451201"/>
      <w:r>
        <w:rPr>
          <w:rStyle w:val="CharSectno"/>
        </w:rPr>
        <w:t>51BV</w:t>
      </w:r>
      <w:r>
        <w:t>.</w:t>
      </w:r>
      <w:r>
        <w:tab/>
        <w:t>Dealing with sexual harassment proceeding</w:t>
      </w:r>
      <w:bookmarkEnd w:id="286"/>
      <w:bookmarkEnd w:id="287"/>
    </w:p>
    <w:p>
      <w:pPr>
        <w:pStyle w:val="Subsection"/>
      </w:pPr>
      <w:r>
        <w:tab/>
        <w:t>(1)</w:t>
      </w:r>
      <w:r>
        <w:tab/>
        <w:t>The Commission must start to deal with a stop sexual harassment application within 14 days after the application is made.</w:t>
      </w:r>
    </w:p>
    <w:p>
      <w:pPr>
        <w:pStyle w:val="PermNoteHeading"/>
      </w:pPr>
      <w:r>
        <w:tab/>
        <w:t xml:space="preserve">Note for this subsection: </w:t>
      </w:r>
    </w:p>
    <w:p>
      <w:pPr>
        <w:pStyle w:val="PermNoteText"/>
      </w:pPr>
      <w:r>
        <w:tab/>
      </w:r>
      <w:r>
        <w:tab/>
        <w:t xml:space="preserve">See Part II Division 2 for the Commission’s general jurisdiction and powers in relation to a sexual harassment referral. </w:t>
      </w:r>
    </w:p>
    <w:p>
      <w:pPr>
        <w:pStyle w:val="Subsection"/>
      </w:pPr>
      <w:r>
        <w:tab/>
        <w:t>(2)</w:t>
      </w:r>
      <w:r>
        <w:tab/>
        <w:t>Section 44 does not apply to a sexual harassment proceeding.</w:t>
      </w:r>
    </w:p>
    <w:p>
      <w:pPr>
        <w:pStyle w:val="Subsection"/>
      </w:pPr>
      <w:r>
        <w:tab/>
        <w:t>(3)</w:t>
      </w:r>
      <w:r>
        <w:tab/>
        <w:t>Section 48A(2) or any other written law providing for the resolution of a grievance or dispute by workers does not limit the Commission’s power to deal with a sexual harassment proceeding.</w:t>
      </w:r>
    </w:p>
    <w:p>
      <w:pPr>
        <w:pStyle w:val="Footnotesection"/>
      </w:pPr>
      <w:r>
        <w:tab/>
        <w:t>[Section 51BV inserted: No. 43 of 2024 s. 40.]</w:t>
      </w:r>
    </w:p>
    <w:p>
      <w:pPr>
        <w:pStyle w:val="Heading5"/>
      </w:pPr>
      <w:bookmarkStart w:id="288" w:name="_Toc182398471"/>
      <w:bookmarkStart w:id="289" w:name="_Toc188451202"/>
      <w:r>
        <w:rPr>
          <w:rStyle w:val="CharSectno"/>
        </w:rPr>
        <w:t>51BW</w:t>
      </w:r>
      <w:r>
        <w:t>.</w:t>
      </w:r>
      <w:r>
        <w:tab/>
        <w:t>Power to dismiss stop sexual harassment application involving covert operations</w:t>
      </w:r>
      <w:bookmarkEnd w:id="288"/>
      <w:bookmarkEnd w:id="289"/>
    </w:p>
    <w:p>
      <w:pPr>
        <w:pStyle w:val="Subsection"/>
      </w:pPr>
      <w:r>
        <w:tab/>
      </w:r>
      <w:r>
        <w:tab/>
        <w:t xml:space="preserve">The Commission may dismiss a stop sexual harassment application if the Commission considers that the application might involve matters that relate to a police officer performing a function in circumstances in which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performance of the function is secret or confidential, it would be likely that — </w:t>
      </w:r>
    </w:p>
    <w:p>
      <w:pPr>
        <w:pStyle w:val="Indenti"/>
      </w:pPr>
      <w:r>
        <w:tab/>
        <w:t>(i)</w:t>
      </w:r>
      <w:r>
        <w:tab/>
        <w:t>the effectiveness of the performance of the function is reduced; or</w:t>
      </w:r>
    </w:p>
    <w:p>
      <w:pPr>
        <w:pStyle w:val="Indenti"/>
      </w:pPr>
      <w:r>
        <w:tab/>
        <w:t>(ii)</w:t>
      </w:r>
      <w:r>
        <w:tab/>
        <w:t>a person is exposed to the danger of physical harm arising from the actions of another person.</w:t>
      </w:r>
    </w:p>
    <w:p>
      <w:pPr>
        <w:pStyle w:val="Footnotesection"/>
      </w:pPr>
      <w:r>
        <w:tab/>
        <w:t>[Section 51BW inserted: No. 43 of 2024 s. 40.]</w:t>
      </w:r>
    </w:p>
    <w:p>
      <w:pPr>
        <w:pStyle w:val="Heading5"/>
      </w:pPr>
      <w:bookmarkStart w:id="290" w:name="_Toc182398472"/>
      <w:bookmarkStart w:id="291" w:name="_Toc188451203"/>
      <w:r>
        <w:rPr>
          <w:rStyle w:val="CharSectno"/>
        </w:rPr>
        <w:lastRenderedPageBreak/>
        <w:t>51BX</w:t>
      </w:r>
      <w:r>
        <w:t>.</w:t>
      </w:r>
      <w:r>
        <w:tab/>
        <w:t>Commission may make stop sexual harassment order</w:t>
      </w:r>
      <w:bookmarkEnd w:id="290"/>
      <w:bookmarkEnd w:id="291"/>
    </w:p>
    <w:p>
      <w:pPr>
        <w:pStyle w:val="Subsection"/>
      </w:pPr>
      <w:r>
        <w:tab/>
        <w:t>(1)</w:t>
      </w:r>
      <w:r>
        <w:tab/>
        <w:t xml:space="preserve">This section applies if — </w:t>
      </w:r>
    </w:p>
    <w:p>
      <w:pPr>
        <w:pStyle w:val="Indenta"/>
      </w:pPr>
      <w:r>
        <w:tab/>
        <w:t>(a)</w:t>
      </w:r>
      <w:r>
        <w:tab/>
        <w:t xml:space="preserve">a person (the </w:t>
      </w:r>
      <w:r>
        <w:rPr>
          <w:rStyle w:val="CharDefText"/>
        </w:rPr>
        <w:t>aggrieved person</w:t>
      </w:r>
      <w:r>
        <w:t xml:space="preserve">) makes a stop sexual harassment application; and </w:t>
      </w:r>
    </w:p>
    <w:p>
      <w:pPr>
        <w:pStyle w:val="Indenta"/>
      </w:pPr>
      <w:r>
        <w:tab/>
        <w:t>(b)</w:t>
      </w:r>
      <w:r>
        <w:tab/>
        <w:t xml:space="preserve">the Commission is satisfied that — </w:t>
      </w:r>
    </w:p>
    <w:p>
      <w:pPr>
        <w:pStyle w:val="Indenti"/>
      </w:pPr>
      <w:r>
        <w:tab/>
        <w:t>(i)</w:t>
      </w:r>
      <w:r>
        <w:tab/>
        <w:t xml:space="preserve">a person (the </w:t>
      </w:r>
      <w:r>
        <w:rPr>
          <w:rStyle w:val="CharDefText"/>
        </w:rPr>
        <w:t>respondent</w:t>
      </w:r>
      <w:r>
        <w:t>) sexually harassed the aggrieved person in connection with work; and</w:t>
      </w:r>
    </w:p>
    <w:p>
      <w:pPr>
        <w:pStyle w:val="Indenti"/>
      </w:pPr>
      <w:r>
        <w:tab/>
        <w:t>(ii)</w:t>
      </w:r>
      <w:r>
        <w:tab/>
        <w:t>there is a risk that the respondent will continue to do so.</w:t>
      </w:r>
    </w:p>
    <w:p>
      <w:pPr>
        <w:pStyle w:val="Subsection"/>
      </w:pPr>
      <w:r>
        <w:tab/>
        <w:t>(2)</w:t>
      </w:r>
      <w:r>
        <w:tab/>
        <w:t xml:space="preserve">The Commission may make an order (a </w:t>
      </w:r>
      <w:r>
        <w:rPr>
          <w:rStyle w:val="CharDefText"/>
        </w:rPr>
        <w:t>stop sexual harassment order</w:t>
      </w:r>
      <w:r>
        <w:t>) it considers appropriate to prevent the respondent sexually harassing the aggrieved person in connection with work.</w:t>
      </w:r>
    </w:p>
    <w:p>
      <w:pPr>
        <w:pStyle w:val="Subsection"/>
      </w:pPr>
      <w:r>
        <w:tab/>
        <w:t>(3)</w:t>
      </w:r>
      <w:r>
        <w:tab/>
        <w:t>Despite subsection (2), the Commission cannot make an order requiring the payment of compensation to the aggrieved person.</w:t>
      </w:r>
    </w:p>
    <w:p>
      <w:pPr>
        <w:pStyle w:val="Footnotesection"/>
      </w:pPr>
      <w:r>
        <w:tab/>
        <w:t>[Section 51BX inserted: No. 43 of 2024 s. 40.]</w:t>
      </w:r>
    </w:p>
    <w:p>
      <w:pPr>
        <w:pStyle w:val="Heading5"/>
      </w:pPr>
      <w:bookmarkStart w:id="292" w:name="_Toc182398473"/>
      <w:bookmarkStart w:id="293" w:name="_Toc188451204"/>
      <w:r>
        <w:rPr>
          <w:rStyle w:val="CharSectno"/>
        </w:rPr>
        <w:t>51BY</w:t>
      </w:r>
      <w:r>
        <w:t>.</w:t>
      </w:r>
      <w:r>
        <w:tab/>
        <w:t>Matters to be taken into account in considering terms of stop sexual harassment order</w:t>
      </w:r>
      <w:bookmarkEnd w:id="292"/>
      <w:bookmarkEnd w:id="293"/>
    </w:p>
    <w:p>
      <w:pPr>
        <w:pStyle w:val="Subsection"/>
      </w:pPr>
      <w:r>
        <w:tab/>
        <w:t>(1)</w:t>
      </w:r>
      <w:r>
        <w:tab/>
        <w:t xml:space="preserve">In considering the terms of a stop sexual harassment order under section 51BX(2) in relation to the sexual harassment of a person in connection with work, the Commission must, to the extent the Commission is aware of the following matters, take them into account — </w:t>
      </w:r>
    </w:p>
    <w:p>
      <w:pPr>
        <w:pStyle w:val="Indenta"/>
      </w:pPr>
      <w:r>
        <w:tab/>
        <w:t>(a)</w:t>
      </w:r>
      <w:r>
        <w:tab/>
        <w:t>the final or interim outcomes of any investigation into the sexual harassment that is being, or has been, undertaken by another person or body;</w:t>
      </w:r>
    </w:p>
    <w:p>
      <w:pPr>
        <w:pStyle w:val="Indenta"/>
      </w:pPr>
      <w:r>
        <w:tab/>
        <w:t>(b)</w:t>
      </w:r>
      <w:r>
        <w:tab/>
        <w:t>any procedure available to the person to resolve grievances or disputes;</w:t>
      </w:r>
    </w:p>
    <w:p>
      <w:pPr>
        <w:pStyle w:val="Indenta"/>
      </w:pPr>
      <w:r>
        <w:tab/>
        <w:t>(c)</w:t>
      </w:r>
      <w:r>
        <w:tab/>
        <w:t>the final or interim outcomes arising out of a procedure referred to in paragraph (b) in relation to the sexual harassment.</w:t>
      </w:r>
    </w:p>
    <w:p>
      <w:pPr>
        <w:pStyle w:val="Subsection"/>
      </w:pPr>
      <w:r>
        <w:lastRenderedPageBreak/>
        <w:tab/>
        <w:t>(2)</w:t>
      </w:r>
      <w:r>
        <w:tab/>
        <w:t>The Commission may also take into account any other matters the Commission considers relevant.</w:t>
      </w:r>
    </w:p>
    <w:p>
      <w:pPr>
        <w:pStyle w:val="Footnotesection"/>
      </w:pPr>
      <w:r>
        <w:tab/>
        <w:t>[Section 51BY inserted: No. 43 of 2024 s. 40.]</w:t>
      </w:r>
    </w:p>
    <w:p>
      <w:pPr>
        <w:pStyle w:val="Heading5"/>
      </w:pPr>
      <w:bookmarkStart w:id="294" w:name="_Toc182398474"/>
      <w:bookmarkStart w:id="295" w:name="_Toc188451205"/>
      <w:r>
        <w:rPr>
          <w:rStyle w:val="CharSectno"/>
        </w:rPr>
        <w:t>51BZ</w:t>
      </w:r>
      <w:r>
        <w:t>.</w:t>
      </w:r>
      <w:r>
        <w:tab/>
        <w:t>Commission may make declarations and orders for referrals</w:t>
      </w:r>
      <w:bookmarkEnd w:id="294"/>
      <w:bookmarkEnd w:id="295"/>
    </w:p>
    <w:p>
      <w:pPr>
        <w:pStyle w:val="Subsection"/>
      </w:pPr>
      <w:r>
        <w:tab/>
        <w:t>(1)</w:t>
      </w:r>
      <w:r>
        <w:tab/>
        <w:t xml:space="preserve">This section applies if — </w:t>
      </w:r>
    </w:p>
    <w:p>
      <w:pPr>
        <w:pStyle w:val="Indenta"/>
      </w:pPr>
      <w:r>
        <w:tab/>
        <w:t>(a)</w:t>
      </w:r>
      <w:r>
        <w:tab/>
        <w:t xml:space="preserve">a referral (including a sexual harassment referral) has been made to the Commission under section 29 in relation to an allegation that a person (the </w:t>
      </w:r>
      <w:r>
        <w:rPr>
          <w:rStyle w:val="CharDefText"/>
        </w:rPr>
        <w:t>respondent</w:t>
      </w:r>
      <w:r>
        <w:t xml:space="preserve">) sexually harassed another person (the </w:t>
      </w:r>
      <w:r>
        <w:rPr>
          <w:rStyle w:val="CharDefText"/>
        </w:rPr>
        <w:t>aggrieved person</w:t>
      </w:r>
      <w:r>
        <w:t>) in connection with work; and</w:t>
      </w:r>
    </w:p>
    <w:p>
      <w:pPr>
        <w:pStyle w:val="Indenta"/>
      </w:pPr>
      <w:r>
        <w:tab/>
        <w:t>(b)</w:t>
      </w:r>
      <w:r>
        <w:tab/>
        <w:t>on the referral, the Commission determines the respondent sexually harassed the aggrieved person in connection with work.</w:t>
      </w:r>
    </w:p>
    <w:p>
      <w:pPr>
        <w:pStyle w:val="Subsection"/>
      </w:pPr>
      <w:r>
        <w:tab/>
        <w:t>(2)</w:t>
      </w:r>
      <w:r>
        <w:tab/>
        <w:t>The Commission may make 1 or more of the following orders —</w:t>
      </w:r>
    </w:p>
    <w:p>
      <w:pPr>
        <w:pStyle w:val="Indenta"/>
      </w:pPr>
      <w:r>
        <w:tab/>
        <w:t>(a)</w:t>
      </w:r>
      <w:r>
        <w:tab/>
        <w:t>an order that the respondent or another person pay compensation to the aggrieved person for loss or injury the aggrieved person suffered because of the sexual harassment;</w:t>
      </w:r>
    </w:p>
    <w:p>
      <w:pPr>
        <w:pStyle w:val="Indenta"/>
      </w:pPr>
      <w:r>
        <w:tab/>
        <w:t>(b)</w:t>
      </w:r>
      <w:r>
        <w:tab/>
        <w:t>an order that the respondent or another person pay an amount to an aggrieved person for remuneration lost, or likely to have been lost, by the aggrieved person because of the sexual harassment;</w:t>
      </w:r>
    </w:p>
    <w:p>
      <w:pPr>
        <w:pStyle w:val="Indenta"/>
      </w:pPr>
      <w:r>
        <w:tab/>
        <w:t>(c)</w:t>
      </w:r>
      <w:r>
        <w:tab/>
        <w:t xml:space="preserve">an order requiring the respondent or another person to do a specified thing or cease a specified activity to redress loss or injury suffered by the aggrieved person because of the sexual harassment; </w:t>
      </w:r>
    </w:p>
    <w:p>
      <w:pPr>
        <w:pStyle w:val="Indenta"/>
      </w:pPr>
      <w:r>
        <w:tab/>
        <w:t>(d)</w:t>
      </w:r>
      <w:r>
        <w:tab/>
        <w:t>an order the Commission considers appropriate to prevent any future sexual harassment of the aggrieved person in connection with work by the respondent or another person;</w:t>
      </w:r>
    </w:p>
    <w:p>
      <w:pPr>
        <w:pStyle w:val="Indenta"/>
      </w:pPr>
      <w:r>
        <w:tab/>
        <w:t>(e)</w:t>
      </w:r>
      <w:r>
        <w:tab/>
        <w:t>any other order the Commission thinks appropriate.</w:t>
      </w:r>
    </w:p>
    <w:p>
      <w:pPr>
        <w:pStyle w:val="Subsection"/>
      </w:pPr>
      <w:r>
        <w:lastRenderedPageBreak/>
        <w:tab/>
        <w:t>(3)</w:t>
      </w:r>
      <w:r>
        <w:tab/>
        <w:t>The Commission may make either or both of the following declarations —</w:t>
      </w:r>
    </w:p>
    <w:p>
      <w:pPr>
        <w:pStyle w:val="Indenta"/>
      </w:pPr>
      <w:r>
        <w:tab/>
        <w:t>(a)</w:t>
      </w:r>
      <w:r>
        <w:tab/>
        <w:t>a declaration that the respondent sexually harassed the aggrieved person in connection with work;</w:t>
      </w:r>
    </w:p>
    <w:p>
      <w:pPr>
        <w:pStyle w:val="Indenta"/>
      </w:pPr>
      <w:r>
        <w:tab/>
        <w:t>(b)</w:t>
      </w:r>
      <w:r>
        <w:tab/>
        <w:t xml:space="preserve">a declaration that the respondent sexually harassed the aggrieved person in connection with work because of the operation of section 51BS. </w:t>
      </w:r>
    </w:p>
    <w:p>
      <w:pPr>
        <w:pStyle w:val="Subsection"/>
      </w:pPr>
      <w:r>
        <w:tab/>
        <w:t>(4)</w:t>
      </w:r>
      <w:r>
        <w:tab/>
        <w:t>In enquiring into and dealing with a sexual harassment referral, the Commission may make a declaration that it would be inappropriate for any further action to be taken in the matter.</w:t>
      </w:r>
    </w:p>
    <w:p>
      <w:pPr>
        <w:pStyle w:val="Footnotesection"/>
      </w:pPr>
      <w:r>
        <w:tab/>
        <w:t>[Section 51BZ inserted: No. 43 of 2024 s. 40.]</w:t>
      </w:r>
    </w:p>
    <w:p>
      <w:pPr>
        <w:pStyle w:val="Heading5"/>
      </w:pPr>
      <w:bookmarkStart w:id="296" w:name="_Toc182398475"/>
      <w:bookmarkStart w:id="297" w:name="_Toc188451206"/>
      <w:r>
        <w:rPr>
          <w:rStyle w:val="CharSectno"/>
        </w:rPr>
        <w:t>51BZA</w:t>
      </w:r>
      <w:r>
        <w:t>.</w:t>
      </w:r>
      <w:r>
        <w:tab/>
        <w:t>Person must comply with order made by Commission</w:t>
      </w:r>
      <w:bookmarkEnd w:id="296"/>
      <w:bookmarkEnd w:id="297"/>
    </w:p>
    <w:p>
      <w:pPr>
        <w:pStyle w:val="Subsection"/>
      </w:pPr>
      <w:r>
        <w:tab/>
        <w:t>(1)</w:t>
      </w:r>
      <w:r>
        <w:tab/>
        <w:t>A person to whom a stop sexual harassment order or an order made under section 51BZ(2) applies must comply with the order.</w:t>
      </w:r>
    </w:p>
    <w:p>
      <w:pPr>
        <w:pStyle w:val="Subsection"/>
      </w:pPr>
      <w:r>
        <w:tab/>
        <w:t>(2)</w:t>
      </w:r>
      <w:r>
        <w:tab/>
        <w:t>A contravention of subsection (1) is not an offence but that subsection is a civil penalty provision for the purposes of section 83E.</w:t>
      </w:r>
    </w:p>
    <w:p>
      <w:pPr>
        <w:pStyle w:val="Footnotesection"/>
      </w:pPr>
      <w:r>
        <w:tab/>
        <w:t>[Section 51BZA inserted: No. 43 of 2024 s. 40.]</w:t>
      </w:r>
    </w:p>
    <w:p>
      <w:pPr>
        <w:pStyle w:val="Heading5"/>
      </w:pPr>
      <w:bookmarkStart w:id="298" w:name="_Toc182398476"/>
      <w:bookmarkStart w:id="299" w:name="_Toc188451207"/>
      <w:r>
        <w:rPr>
          <w:rStyle w:val="CharSectno"/>
        </w:rPr>
        <w:t>51BZB</w:t>
      </w:r>
      <w:r>
        <w:t>.</w:t>
      </w:r>
      <w:r>
        <w:tab/>
        <w:t>Enforcement of contravention of order</w:t>
      </w:r>
      <w:bookmarkEnd w:id="298"/>
      <w:bookmarkEnd w:id="299"/>
    </w:p>
    <w:p>
      <w:pPr>
        <w:pStyle w:val="Subsection"/>
      </w:pPr>
      <w:r>
        <w:tab/>
        <w:t>(1)</w:t>
      </w:r>
      <w:r>
        <w:tab/>
        <w:t xml:space="preserve">This section applies if, on an application under section 83E, the industrial magistrate’s court determines that a person (the </w:t>
      </w:r>
      <w:r>
        <w:rPr>
          <w:rStyle w:val="CharDefText"/>
        </w:rPr>
        <w:t>first person</w:t>
      </w:r>
      <w:r>
        <w:t xml:space="preserve">) contravened — </w:t>
      </w:r>
    </w:p>
    <w:p>
      <w:pPr>
        <w:pStyle w:val="Indenta"/>
      </w:pPr>
      <w:r>
        <w:tab/>
        <w:t>(a)</w:t>
      </w:r>
      <w:r>
        <w:tab/>
        <w:t>a stop sexual harassment order; or</w:t>
      </w:r>
    </w:p>
    <w:p>
      <w:pPr>
        <w:pStyle w:val="Indenta"/>
      </w:pPr>
      <w:r>
        <w:tab/>
        <w:t>(b)</w:t>
      </w:r>
      <w:r>
        <w:tab/>
        <w:t>an order made under section 51BZ(2).</w:t>
      </w:r>
    </w:p>
    <w:p>
      <w:pPr>
        <w:pStyle w:val="Subsection"/>
      </w:pPr>
      <w:r>
        <w:tab/>
        <w:t>(2)</w:t>
      </w:r>
      <w:r>
        <w:tab/>
        <w:t xml:space="preserve">The industrial magistrate’s court may make 1 or more of the following orders — </w:t>
      </w:r>
    </w:p>
    <w:p>
      <w:pPr>
        <w:pStyle w:val="Indenta"/>
      </w:pPr>
      <w:r>
        <w:tab/>
        <w:t>(a)</w:t>
      </w:r>
      <w:r>
        <w:tab/>
        <w:t xml:space="preserve">an order that the first person pay compensation to a person (the </w:t>
      </w:r>
      <w:r>
        <w:rPr>
          <w:rStyle w:val="CharDefText"/>
        </w:rPr>
        <w:t>second person</w:t>
      </w:r>
      <w:r>
        <w:t xml:space="preserve">) for loss or injury the second </w:t>
      </w:r>
      <w:r>
        <w:lastRenderedPageBreak/>
        <w:t>person suffered in relation to the contravention of the order;</w:t>
      </w:r>
    </w:p>
    <w:p>
      <w:pPr>
        <w:pStyle w:val="Indenta"/>
      </w:pPr>
      <w:r>
        <w:tab/>
        <w:t>(b)</w:t>
      </w:r>
      <w:r>
        <w:tab/>
        <w:t>an order that the first person do a thing or cease an activity specified in the order contravened;</w:t>
      </w:r>
    </w:p>
    <w:p>
      <w:pPr>
        <w:pStyle w:val="Indenta"/>
      </w:pPr>
      <w:r>
        <w:tab/>
        <w:t>(c)</w:t>
      </w:r>
      <w:r>
        <w:tab/>
        <w:t>any other order the court considers appropriate.</w:t>
      </w:r>
    </w:p>
    <w:p>
      <w:pPr>
        <w:pStyle w:val="Subsection"/>
      </w:pPr>
      <w:r>
        <w:tab/>
        <w:t>(3)</w:t>
      </w:r>
      <w:r>
        <w:tab/>
        <w:t>The industrial magistrate’s court may make an order under this section in addition to imposing a penalty, or making another order, under section 83E.</w:t>
      </w:r>
    </w:p>
    <w:p>
      <w:pPr>
        <w:pStyle w:val="Subsection"/>
      </w:pPr>
      <w:r>
        <w:tab/>
        <w:t>(4)</w:t>
      </w:r>
      <w:r>
        <w:tab/>
        <w:t>A person to whom an order made under subsection (2) applies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51BZB inserted: No. 43 of 2024 s. 40.]</w:t>
      </w:r>
    </w:p>
    <w:p>
      <w:pPr>
        <w:pStyle w:val="Heading5"/>
      </w:pPr>
      <w:bookmarkStart w:id="300" w:name="_Toc182398477"/>
      <w:bookmarkStart w:id="301" w:name="_Toc188451208"/>
      <w:r>
        <w:rPr>
          <w:rStyle w:val="CharSectno"/>
        </w:rPr>
        <w:t>51BZC</w:t>
      </w:r>
      <w:r>
        <w:t>.</w:t>
      </w:r>
      <w:r>
        <w:tab/>
        <w:t>Enforcement of contravention of prohibition on sexual harassment</w:t>
      </w:r>
      <w:bookmarkEnd w:id="300"/>
      <w:bookmarkEnd w:id="301"/>
      <w:r>
        <w:t xml:space="preserve"> </w:t>
      </w:r>
    </w:p>
    <w:p>
      <w:pPr>
        <w:pStyle w:val="Subsection"/>
      </w:pPr>
      <w:r>
        <w:tab/>
        <w:t>(1)</w:t>
      </w:r>
      <w:r>
        <w:tab/>
        <w:t xml:space="preserve">This section applies if — </w:t>
      </w:r>
    </w:p>
    <w:p>
      <w:pPr>
        <w:pStyle w:val="Indenta"/>
      </w:pPr>
      <w:r>
        <w:tab/>
        <w:t>(a)</w:t>
      </w:r>
      <w:r>
        <w:tab/>
        <w:t>a person or organisation makes an application under section 83E to enforce a contravention of section 51BR(1) as a civil penalty provision; and</w:t>
      </w:r>
    </w:p>
    <w:p>
      <w:pPr>
        <w:pStyle w:val="Indenta"/>
      </w:pPr>
      <w:r>
        <w:tab/>
        <w:t>(b)</w:t>
      </w:r>
      <w:r>
        <w:tab/>
        <w:t xml:space="preserve">on the application, the industrial magistrate’s court determines that a person (the </w:t>
      </w:r>
      <w:r>
        <w:rPr>
          <w:rStyle w:val="CharDefText"/>
        </w:rPr>
        <w:t>respondent</w:t>
      </w:r>
      <w:r>
        <w:t xml:space="preserve">) sexually harassed another person (the </w:t>
      </w:r>
      <w:r>
        <w:rPr>
          <w:rStyle w:val="CharDefText"/>
        </w:rPr>
        <w:t>aggrieved person</w:t>
      </w:r>
      <w:r>
        <w:t>) in connection with work.</w:t>
      </w:r>
    </w:p>
    <w:p>
      <w:pPr>
        <w:pStyle w:val="PermNoteHeading"/>
      </w:pPr>
      <w:r>
        <w:tab/>
        <w:t>Note for this subsection:</w:t>
      </w:r>
    </w:p>
    <w:p>
      <w:pPr>
        <w:pStyle w:val="PermNoteText"/>
      </w:pPr>
      <w:r>
        <w:tab/>
      </w:r>
      <w:r>
        <w:tab/>
        <w:t>See section 51BZD for the restriction on also commencing proceedings under section 29 in relation to a contravention of section 51BR(1), or under anti</w:t>
      </w:r>
      <w:r>
        <w:noBreakHyphen/>
        <w:t>discrimination legislation as defined in that section, in relation to the same allegation of sexual harassment in connection with work.</w:t>
      </w:r>
    </w:p>
    <w:p>
      <w:pPr>
        <w:pStyle w:val="Subsection"/>
      </w:pPr>
      <w:r>
        <w:lastRenderedPageBreak/>
        <w:tab/>
        <w:t>(2)</w:t>
      </w:r>
      <w:r>
        <w:tab/>
        <w:t xml:space="preserve">In addition to imposing a penalty or making an order under section 83E, the court may make 1 or more of the following orders — </w:t>
      </w:r>
    </w:p>
    <w:p>
      <w:pPr>
        <w:pStyle w:val="Indenta"/>
      </w:pPr>
      <w:r>
        <w:tab/>
        <w:t>(a)</w:t>
      </w:r>
      <w:r>
        <w:tab/>
        <w:t xml:space="preserve">an order that the respondent or another person pay compensation to the aggrieved person for loss or injury suffered because of the contravention; </w:t>
      </w:r>
    </w:p>
    <w:p>
      <w:pPr>
        <w:pStyle w:val="Indenta"/>
      </w:pPr>
      <w:r>
        <w:tab/>
        <w:t>(b)</w:t>
      </w:r>
      <w:r>
        <w:tab/>
        <w:t xml:space="preserve">an order that the respondent or another person pay an amount to the aggrieved person for remuneration lost, or likely to have been lost, by the aggrieved person because of the contravention; </w:t>
      </w:r>
    </w:p>
    <w:p>
      <w:pPr>
        <w:pStyle w:val="Indenta"/>
      </w:pPr>
      <w:r>
        <w:tab/>
        <w:t>(c)</w:t>
      </w:r>
      <w:r>
        <w:tab/>
        <w:t xml:space="preserve">an order requiring the respondent or another person to do a specified thing or cease a specified activity to redress loss or injury suffered by the aggrieved person because of the contravention; </w:t>
      </w:r>
    </w:p>
    <w:p>
      <w:pPr>
        <w:pStyle w:val="Indenta"/>
      </w:pPr>
      <w:r>
        <w:tab/>
        <w:t>(d)</w:t>
      </w:r>
      <w:r>
        <w:tab/>
        <w:t xml:space="preserve">an order the industrial magistrate’s court considers appropriate to prevent any future contravention in relation to the aggrieved person by the respondent or another person; </w:t>
      </w:r>
    </w:p>
    <w:p>
      <w:pPr>
        <w:pStyle w:val="Indenta"/>
      </w:pPr>
      <w:r>
        <w:tab/>
        <w:t>(e)</w:t>
      </w:r>
      <w:r>
        <w:tab/>
        <w:t>any other order the court considers appropriate.</w:t>
      </w:r>
    </w:p>
    <w:p>
      <w:pPr>
        <w:pStyle w:val="Subsection"/>
      </w:pPr>
      <w:r>
        <w:tab/>
        <w:t>(3)</w:t>
      </w:r>
      <w:r>
        <w:tab/>
        <w:t>A person to whom an order made under subsection (2) applies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51BZC inserted: No. 43 of 2024 s. 40.]</w:t>
      </w:r>
    </w:p>
    <w:p>
      <w:pPr>
        <w:pStyle w:val="Heading5"/>
      </w:pPr>
      <w:bookmarkStart w:id="302" w:name="_Toc182398478"/>
      <w:bookmarkStart w:id="303" w:name="_Toc188451209"/>
      <w:r>
        <w:rPr>
          <w:rStyle w:val="CharSectno"/>
        </w:rPr>
        <w:t>51BZD</w:t>
      </w:r>
      <w:r>
        <w:t>.</w:t>
      </w:r>
      <w:r>
        <w:tab/>
        <w:t>Restrictions on multiple actions</w:t>
      </w:r>
      <w:bookmarkEnd w:id="302"/>
      <w:bookmarkEnd w:id="303"/>
    </w:p>
    <w:p>
      <w:pPr>
        <w:pStyle w:val="Subsection"/>
      </w:pPr>
      <w:r>
        <w:tab/>
        <w:t>(1)</w:t>
      </w:r>
      <w:r>
        <w:tab/>
        <w:t xml:space="preserve">In this section — </w:t>
      </w:r>
    </w:p>
    <w:p>
      <w:pPr>
        <w:pStyle w:val="Defstart"/>
      </w:pPr>
      <w:r>
        <w:tab/>
      </w:r>
      <w:r>
        <w:rPr>
          <w:rStyle w:val="CharDefText"/>
        </w:rPr>
        <w:t>anti</w:t>
      </w:r>
      <w:r>
        <w:rPr>
          <w:rStyle w:val="CharDefText"/>
        </w:rPr>
        <w:noBreakHyphen/>
        <w:t>discrimination legislation</w:t>
      </w:r>
      <w:r>
        <w:t xml:space="preserve"> means any of the following — </w:t>
      </w:r>
    </w:p>
    <w:p>
      <w:pPr>
        <w:pStyle w:val="Defpara"/>
      </w:pPr>
      <w:r>
        <w:tab/>
        <w:t>(a)</w:t>
      </w:r>
      <w:r>
        <w:tab/>
        <w:t xml:space="preserve">the </w:t>
      </w:r>
      <w:r>
        <w:rPr>
          <w:i/>
          <w:iCs/>
        </w:rPr>
        <w:t>Anti</w:t>
      </w:r>
      <w:r>
        <w:rPr>
          <w:i/>
          <w:iCs/>
        </w:rPr>
        <w:noBreakHyphen/>
        <w:t>Discrimination Act 1977</w:t>
      </w:r>
      <w:r>
        <w:t xml:space="preserve"> (New South Wales);</w:t>
      </w:r>
    </w:p>
    <w:p>
      <w:pPr>
        <w:pStyle w:val="Defpara"/>
      </w:pPr>
      <w:r>
        <w:tab/>
        <w:t>(b)</w:t>
      </w:r>
      <w:r>
        <w:tab/>
        <w:t xml:space="preserve">the </w:t>
      </w:r>
      <w:r>
        <w:rPr>
          <w:i/>
          <w:iCs/>
        </w:rPr>
        <w:t>Anti</w:t>
      </w:r>
      <w:r>
        <w:rPr>
          <w:i/>
          <w:iCs/>
        </w:rPr>
        <w:noBreakHyphen/>
        <w:t>Discrimination Act 1991</w:t>
      </w:r>
      <w:r>
        <w:t xml:space="preserve"> (Queensland);</w:t>
      </w:r>
    </w:p>
    <w:p>
      <w:pPr>
        <w:pStyle w:val="Defpara"/>
      </w:pPr>
      <w:r>
        <w:lastRenderedPageBreak/>
        <w:tab/>
        <w:t>(c)</w:t>
      </w:r>
      <w:r>
        <w:tab/>
        <w:t xml:space="preserve">the </w:t>
      </w:r>
      <w:r>
        <w:rPr>
          <w:i/>
          <w:iCs/>
        </w:rPr>
        <w:t>Anti</w:t>
      </w:r>
      <w:r>
        <w:rPr>
          <w:i/>
          <w:iCs/>
        </w:rPr>
        <w:noBreakHyphen/>
        <w:t>Discrimination Act 1992</w:t>
      </w:r>
      <w:r>
        <w:t xml:space="preserve"> (Northern Territory);</w:t>
      </w:r>
    </w:p>
    <w:p>
      <w:pPr>
        <w:pStyle w:val="Defpara"/>
      </w:pPr>
      <w:r>
        <w:tab/>
        <w:t>(d)</w:t>
      </w:r>
      <w:r>
        <w:tab/>
        <w:t xml:space="preserve">the </w:t>
      </w:r>
      <w:r>
        <w:rPr>
          <w:i/>
          <w:iCs/>
        </w:rPr>
        <w:t>Anti</w:t>
      </w:r>
      <w:r>
        <w:rPr>
          <w:i/>
          <w:iCs/>
        </w:rPr>
        <w:noBreakHyphen/>
        <w:t>Discrimination Act 1998</w:t>
      </w:r>
      <w:r>
        <w:t xml:space="preserve"> (Tasmania);</w:t>
      </w:r>
    </w:p>
    <w:p>
      <w:pPr>
        <w:pStyle w:val="Defpara"/>
      </w:pPr>
      <w:r>
        <w:tab/>
        <w:t>(e)</w:t>
      </w:r>
      <w:r>
        <w:tab/>
        <w:t xml:space="preserve">the </w:t>
      </w:r>
      <w:r>
        <w:rPr>
          <w:i/>
          <w:iCs/>
        </w:rPr>
        <w:t>Australian Human Rights Commission Act 1986</w:t>
      </w:r>
      <w:r>
        <w:t xml:space="preserve"> (Commonwealth);</w:t>
      </w:r>
    </w:p>
    <w:p>
      <w:pPr>
        <w:pStyle w:val="Defpara"/>
      </w:pPr>
      <w:r>
        <w:tab/>
        <w:t>(f)</w:t>
      </w:r>
      <w:r>
        <w:tab/>
        <w:t xml:space="preserve">the </w:t>
      </w:r>
      <w:r>
        <w:rPr>
          <w:i/>
          <w:iCs/>
        </w:rPr>
        <w:t>Discrimination Act 1991</w:t>
      </w:r>
      <w:r>
        <w:t xml:space="preserve"> (Australian Capital Territory);</w:t>
      </w:r>
    </w:p>
    <w:p>
      <w:pPr>
        <w:pStyle w:val="Defpara"/>
      </w:pPr>
      <w:r>
        <w:tab/>
        <w:t>(g)</w:t>
      </w:r>
      <w:r>
        <w:tab/>
        <w:t xml:space="preserve">the </w:t>
      </w:r>
      <w:r>
        <w:rPr>
          <w:i/>
          <w:iCs/>
        </w:rPr>
        <w:t>Equal Opportunity Act 1984</w:t>
      </w:r>
      <w:r>
        <w:t>;</w:t>
      </w:r>
    </w:p>
    <w:p>
      <w:pPr>
        <w:pStyle w:val="Defpara"/>
      </w:pPr>
      <w:r>
        <w:tab/>
        <w:t>(h)</w:t>
      </w:r>
      <w:r>
        <w:tab/>
        <w:t xml:space="preserve">the </w:t>
      </w:r>
      <w:r>
        <w:rPr>
          <w:i/>
          <w:iCs/>
        </w:rPr>
        <w:t>Equal Opportunity Act 1984</w:t>
      </w:r>
      <w:r>
        <w:t xml:space="preserve"> (South Australia);</w:t>
      </w:r>
    </w:p>
    <w:p>
      <w:pPr>
        <w:pStyle w:val="Defpara"/>
      </w:pPr>
      <w:r>
        <w:tab/>
        <w:t>(i)</w:t>
      </w:r>
      <w:r>
        <w:tab/>
        <w:t xml:space="preserve">the </w:t>
      </w:r>
      <w:r>
        <w:rPr>
          <w:i/>
          <w:iCs/>
        </w:rPr>
        <w:t>Equal Opportunity Act 2010</w:t>
      </w:r>
      <w:r>
        <w:t xml:space="preserve"> (Victoria);</w:t>
      </w:r>
    </w:p>
    <w:p>
      <w:pPr>
        <w:pStyle w:val="Defpara"/>
      </w:pPr>
      <w:r>
        <w:tab/>
        <w:t>(j)</w:t>
      </w:r>
      <w:r>
        <w:tab/>
        <w:t xml:space="preserve">the </w:t>
      </w:r>
      <w:r>
        <w:rPr>
          <w:i/>
          <w:iCs/>
        </w:rPr>
        <w:t>Fair Work Act 2009</w:t>
      </w:r>
      <w:r>
        <w:t xml:space="preserve"> (Commonwealth);</w:t>
      </w:r>
    </w:p>
    <w:p>
      <w:pPr>
        <w:pStyle w:val="Defpara"/>
      </w:pPr>
      <w:r>
        <w:tab/>
        <w:t>(k)</w:t>
      </w:r>
      <w:r>
        <w:tab/>
        <w:t xml:space="preserve">the </w:t>
      </w:r>
      <w:r>
        <w:rPr>
          <w:i/>
          <w:iCs/>
        </w:rPr>
        <w:t>Sex Discrimination Act 1984</w:t>
      </w:r>
      <w:r>
        <w:t xml:space="preserve"> (Commonwealth);</w:t>
      </w:r>
    </w:p>
    <w:p>
      <w:pPr>
        <w:pStyle w:val="Defstart"/>
      </w:pPr>
      <w:r>
        <w:tab/>
      </w:r>
      <w:r>
        <w:rPr>
          <w:rStyle w:val="CharDefText"/>
        </w:rPr>
        <w:t>particular allegation</w:t>
      </w:r>
      <w:r>
        <w:t xml:space="preserve"> means a particular allegation by a person that the person was sexually harassed in connection with work.</w:t>
      </w:r>
    </w:p>
    <w:p>
      <w:pPr>
        <w:pStyle w:val="Subsection"/>
      </w:pPr>
      <w:r>
        <w:tab/>
        <w:t>(2)</w:t>
      </w:r>
      <w:r>
        <w:tab/>
        <w:t xml:space="preserve">A referral cannot be made under section 29 in relation to a particular allegation — </w:t>
      </w:r>
    </w:p>
    <w:p>
      <w:pPr>
        <w:pStyle w:val="Indenta"/>
      </w:pPr>
      <w:r>
        <w:tab/>
        <w:t>(a)</w:t>
      </w:r>
      <w:r>
        <w:tab/>
        <w:t>if the allegation is the subject of an application made under section 83E to enforce a contravention of section 51BR(1); and</w:t>
      </w:r>
    </w:p>
    <w:p>
      <w:pPr>
        <w:pStyle w:val="Indenta"/>
      </w:pPr>
      <w:r>
        <w:tab/>
        <w:t>(b)</w:t>
      </w:r>
      <w:r>
        <w:tab/>
        <w:t>unless the application is withdrawn or fails for want of jurisdiction.</w:t>
      </w:r>
    </w:p>
    <w:p>
      <w:pPr>
        <w:pStyle w:val="Subsection"/>
      </w:pPr>
      <w:r>
        <w:tab/>
        <w:t>(3)</w:t>
      </w:r>
      <w:r>
        <w:tab/>
        <w:t xml:space="preserve">An application cannot be made under section 83E to enforce a contravention of section 51BR(1) as a civil penalty provision in relation to a particular allegation — </w:t>
      </w:r>
    </w:p>
    <w:p>
      <w:pPr>
        <w:pStyle w:val="Indenta"/>
      </w:pPr>
      <w:r>
        <w:tab/>
        <w:t>(a)</w:t>
      </w:r>
      <w:r>
        <w:tab/>
        <w:t>if a referral has been made under section 29 in relation to the allegation; and</w:t>
      </w:r>
    </w:p>
    <w:p>
      <w:pPr>
        <w:pStyle w:val="Indenta"/>
      </w:pPr>
      <w:r>
        <w:tab/>
        <w:t>(b)</w:t>
      </w:r>
      <w:r>
        <w:tab/>
        <w:t>unless the referral is withdrawn or fails for want of jurisdiction.</w:t>
      </w:r>
    </w:p>
    <w:p>
      <w:pPr>
        <w:pStyle w:val="Subsection"/>
      </w:pPr>
      <w:r>
        <w:tab/>
        <w:t>(4)</w:t>
      </w:r>
      <w:r>
        <w:tab/>
        <w:t xml:space="preserve">A referral under section 29, or an application under section 83E to enforce a contravention of section 51BR(1) as a civil penalty provision, cannot be made in relation to a particular allegation — </w:t>
      </w:r>
    </w:p>
    <w:p>
      <w:pPr>
        <w:pStyle w:val="Indenta"/>
      </w:pPr>
      <w:r>
        <w:lastRenderedPageBreak/>
        <w:tab/>
        <w:t>(a)</w:t>
      </w:r>
      <w:r>
        <w:tab/>
        <w:t>if a complaint or application has been made under any anti</w:t>
      </w:r>
      <w:r>
        <w:noBreakHyphen/>
        <w:t>discrimination legislation in relation to the allegation; and</w:t>
      </w:r>
    </w:p>
    <w:p>
      <w:pPr>
        <w:pStyle w:val="Indenta"/>
      </w:pPr>
      <w:r>
        <w:tab/>
        <w:t>(b)</w:t>
      </w:r>
      <w:r>
        <w:tab/>
        <w:t>unless the complaint or application is withdrawn or fails for want of jurisdiction.</w:t>
      </w:r>
    </w:p>
    <w:p>
      <w:pPr>
        <w:pStyle w:val="Subsection"/>
      </w:pPr>
      <w:r>
        <w:tab/>
        <w:t>(5)</w:t>
      </w:r>
      <w:r>
        <w:tab/>
        <w:t>This section applies despite any other provision of this Act.</w:t>
      </w:r>
    </w:p>
    <w:p>
      <w:pPr>
        <w:pStyle w:val="Footnotesection"/>
      </w:pPr>
      <w:r>
        <w:tab/>
        <w:t>[Section 51BZD inserted: No. 43 of 2024 s. 40.]</w:t>
      </w:r>
    </w:p>
    <w:p>
      <w:pPr>
        <w:pStyle w:val="Heading5"/>
      </w:pPr>
      <w:bookmarkStart w:id="304" w:name="_Toc182398479"/>
      <w:bookmarkStart w:id="305" w:name="_Toc188451210"/>
      <w:r>
        <w:rPr>
          <w:rStyle w:val="CharSectno"/>
        </w:rPr>
        <w:t>51BZE</w:t>
      </w:r>
      <w:r>
        <w:t>.</w:t>
      </w:r>
      <w:r>
        <w:tab/>
        <w:t>Other laws not excluded or limited</w:t>
      </w:r>
      <w:bookmarkEnd w:id="304"/>
      <w:bookmarkEnd w:id="305"/>
    </w:p>
    <w:p>
      <w:pPr>
        <w:pStyle w:val="Subsection"/>
      </w:pPr>
      <w:r>
        <w:tab/>
        <w:t>(1)</w:t>
      </w:r>
      <w:r>
        <w:tab/>
        <w:t xml:space="preserve">This Subdivision does not exclude or limit the operation of other written laws or a law of the Commonwealth, another State or a Territory that is capable of operating concurrently with this Subdivision, including a law that — </w:t>
      </w:r>
    </w:p>
    <w:p>
      <w:pPr>
        <w:pStyle w:val="Indenta"/>
      </w:pPr>
      <w:r>
        <w:tab/>
        <w:t>(a)</w:t>
      </w:r>
      <w:r>
        <w:tab/>
        <w:t>makes an act or omission an offence or subject to a civil penalty and that (or any similar) act or omission constitutes a contravention of a civil penalty provision in this Subdivision; or</w:t>
      </w:r>
    </w:p>
    <w:p>
      <w:pPr>
        <w:pStyle w:val="Indenta"/>
      </w:pPr>
      <w:r>
        <w:tab/>
        <w:t>(b)</w:t>
      </w:r>
      <w:r>
        <w:tab/>
        <w:t xml:space="preserve">allows for an application to be made to a person, court or body for an order or other direction (however described) — </w:t>
      </w:r>
    </w:p>
    <w:p>
      <w:pPr>
        <w:pStyle w:val="Indenti"/>
      </w:pPr>
      <w:r>
        <w:tab/>
        <w:t>(i)</w:t>
      </w:r>
      <w:r>
        <w:tab/>
        <w:t xml:space="preserve">to prevent a person from being sexually harassed in connection with work; or </w:t>
      </w:r>
    </w:p>
    <w:p>
      <w:pPr>
        <w:pStyle w:val="Indenti"/>
      </w:pPr>
      <w:r>
        <w:tab/>
        <w:t>(ii)</w:t>
      </w:r>
      <w:r>
        <w:tab/>
        <w:t>to deal with a dispute relating to an allegation that a person has been sexually harassed in connection with work (whether or not by arbitration).</w:t>
      </w:r>
    </w:p>
    <w:p>
      <w:pPr>
        <w:pStyle w:val="Subsection"/>
      </w:pPr>
      <w:r>
        <w:tab/>
        <w:t>(2)</w:t>
      </w:r>
      <w:r>
        <w:tab/>
        <w:t xml:space="preserve">For the purposes of subsection (1), it is irrelevant whether — </w:t>
      </w:r>
    </w:p>
    <w:p>
      <w:pPr>
        <w:pStyle w:val="Indenta"/>
      </w:pPr>
      <w:r>
        <w:tab/>
        <w:t>(a)</w:t>
      </w:r>
      <w:r>
        <w:tab/>
        <w:t>sexual harassment in connection with work has a different meaning for the purposes of the law to the meaning it has for the purposes of this Act; or</w:t>
      </w:r>
    </w:p>
    <w:p>
      <w:pPr>
        <w:pStyle w:val="Indenta"/>
      </w:pPr>
      <w:r>
        <w:tab/>
        <w:t>(b)</w:t>
      </w:r>
      <w:r>
        <w:tab/>
        <w:t>the law describes the conduct prevented, or to which the dispute relates, as sexual harassment in connection with work.</w:t>
      </w:r>
    </w:p>
    <w:p>
      <w:pPr>
        <w:pStyle w:val="Footnotesection"/>
        <w:rPr>
          <w:rStyle w:val="CharSectno"/>
          <w:b/>
        </w:rPr>
      </w:pPr>
      <w:r>
        <w:lastRenderedPageBreak/>
        <w:tab/>
        <w:t>[Section 51BZE inserted: No. 43 of 2024 s. 40.]</w:t>
      </w:r>
    </w:p>
    <w:p>
      <w:pPr>
        <w:pStyle w:val="Heading3"/>
        <w:keepLines/>
      </w:pPr>
      <w:bookmarkStart w:id="306" w:name="_Toc187907321"/>
      <w:bookmarkStart w:id="307" w:name="_Toc188271571"/>
      <w:bookmarkStart w:id="308" w:name="_Toc188451211"/>
      <w:r>
        <w:rPr>
          <w:rStyle w:val="CharDivNo"/>
        </w:rPr>
        <w:t>Division 3A</w:t>
      </w:r>
      <w:r>
        <w:t xml:space="preserve"> — </w:t>
      </w:r>
      <w:r>
        <w:rPr>
          <w:rStyle w:val="CharDivText"/>
        </w:rPr>
        <w:t>MCE Act matters</w:t>
      </w:r>
      <w:bookmarkEnd w:id="306"/>
      <w:bookmarkEnd w:id="307"/>
      <w:bookmarkEnd w:id="308"/>
    </w:p>
    <w:p>
      <w:pPr>
        <w:pStyle w:val="Footnoteheading"/>
        <w:keepNext/>
        <w:keepLines/>
      </w:pPr>
      <w:r>
        <w:tab/>
        <w:t>[Heading inserted: No. 20 of 2002 s. 181; amended: No. 43 of 2024 s. 41.]</w:t>
      </w:r>
    </w:p>
    <w:p>
      <w:pPr>
        <w:pStyle w:val="Heading4"/>
        <w:keepLines/>
      </w:pPr>
      <w:bookmarkStart w:id="309" w:name="_Toc187907322"/>
      <w:bookmarkStart w:id="310" w:name="_Toc188271572"/>
      <w:bookmarkStart w:id="311" w:name="_Toc188451212"/>
      <w:r>
        <w:t>Subdivision 1 — Preliminary</w:t>
      </w:r>
      <w:bookmarkEnd w:id="309"/>
      <w:bookmarkEnd w:id="310"/>
      <w:bookmarkEnd w:id="311"/>
    </w:p>
    <w:p>
      <w:pPr>
        <w:pStyle w:val="Footnoteheading"/>
        <w:keepNext/>
      </w:pPr>
      <w:r>
        <w:tab/>
        <w:t>[Heading inserted: No. 20 of 2002 s. 181.]</w:t>
      </w:r>
    </w:p>
    <w:p>
      <w:pPr>
        <w:pStyle w:val="Heading5"/>
      </w:pPr>
      <w:bookmarkStart w:id="312" w:name="_Toc182398482"/>
      <w:bookmarkStart w:id="313" w:name="_Toc188451213"/>
      <w:r>
        <w:rPr>
          <w:rStyle w:val="CharSectno"/>
        </w:rPr>
        <w:t>51C</w:t>
      </w:r>
      <w:r>
        <w:t>.</w:t>
      </w:r>
      <w:r>
        <w:tab/>
        <w:t>Terms used</w:t>
      </w:r>
      <w:bookmarkEnd w:id="312"/>
      <w:bookmarkEnd w:id="313"/>
    </w:p>
    <w:p>
      <w:pPr>
        <w:pStyle w:val="Subsection"/>
      </w:pPr>
      <w:r>
        <w:tab/>
        <w:t>(1)</w:t>
      </w:r>
      <w:r>
        <w:tab/>
        <w:t xml:space="preserve">In this Division — </w:t>
      </w:r>
    </w:p>
    <w:p>
      <w:pPr>
        <w:pStyle w:val="Defstart"/>
      </w:pPr>
      <w:r>
        <w:tab/>
      </w:r>
      <w:r>
        <w:rPr>
          <w:rStyle w:val="CharDefText"/>
        </w:rPr>
        <w:t>flexible working arrangement order</w:t>
      </w:r>
      <w:r>
        <w:t xml:space="preserve"> has the meaning given in section 51G(5);</w:t>
      </w:r>
    </w:p>
    <w:p>
      <w:pPr>
        <w:pStyle w:val="Defstart"/>
      </w:pPr>
      <w:r>
        <w:tab/>
      </w:r>
      <w:r>
        <w:rPr>
          <w:rStyle w:val="CharDefText"/>
        </w:rPr>
        <w:t>flexible working arrangement request</w:t>
      </w:r>
      <w:r>
        <w:t xml:space="preserve"> has the meaning given in the MCE Act section 39F(1);</w:t>
      </w:r>
    </w:p>
    <w:p>
      <w:pPr>
        <w:pStyle w:val="Defstart"/>
      </w:pPr>
      <w:r>
        <w:tab/>
      </w:r>
      <w:r>
        <w:rPr>
          <w:rStyle w:val="CharDefText"/>
        </w:rPr>
        <w:t>respond</w:t>
      </w:r>
      <w:r>
        <w:t>, in relation to a flexible working arrangement request, means respond to the request under the MCE Act section 39H.</w:t>
      </w:r>
    </w:p>
    <w:p>
      <w:pPr>
        <w:pStyle w:val="Subsection"/>
        <w:rPr>
          <w:snapToGrid w:val="0"/>
        </w:rPr>
      </w:pPr>
      <w:r>
        <w:tab/>
        <w:t>(2)</w:t>
      </w:r>
      <w:r>
        <w:tab/>
      </w:r>
      <w:r>
        <w:rPr>
          <w:snapToGrid w:val="0"/>
        </w:rPr>
        <w:t>If a term used in this Act is given a meaning in the MCE Act, it has the same meaning in this Division.</w:t>
      </w:r>
    </w:p>
    <w:p>
      <w:pPr>
        <w:pStyle w:val="Footnotesection"/>
      </w:pPr>
      <w:r>
        <w:tab/>
        <w:t>[Section 51C inserted: No. 43 of 2024 s. 42.]</w:t>
      </w:r>
    </w:p>
    <w:p>
      <w:pPr>
        <w:pStyle w:val="Heading4"/>
      </w:pPr>
      <w:bookmarkStart w:id="314" w:name="_Toc182397856"/>
      <w:bookmarkStart w:id="315" w:name="_Toc182398170"/>
      <w:bookmarkStart w:id="316" w:name="_Toc182398484"/>
      <w:bookmarkStart w:id="317" w:name="_Toc188271574"/>
      <w:bookmarkStart w:id="318" w:name="_Toc188451214"/>
      <w:r>
        <w:t>Subdivision 2 — Disputes relating to flexible working arrangement requests</w:t>
      </w:r>
      <w:bookmarkEnd w:id="314"/>
      <w:bookmarkEnd w:id="315"/>
      <w:bookmarkEnd w:id="316"/>
      <w:bookmarkEnd w:id="317"/>
      <w:bookmarkEnd w:id="318"/>
    </w:p>
    <w:p>
      <w:pPr>
        <w:pStyle w:val="Footnoteheading"/>
      </w:pPr>
      <w:r>
        <w:tab/>
        <w:t>[Heading inserted: No. 43 of 2024 s. 43.]</w:t>
      </w:r>
    </w:p>
    <w:p>
      <w:pPr>
        <w:pStyle w:val="Heading5"/>
      </w:pPr>
      <w:bookmarkStart w:id="319" w:name="_Toc182398485"/>
      <w:bookmarkStart w:id="320" w:name="_Toc188451215"/>
      <w:r>
        <w:rPr>
          <w:rStyle w:val="CharSectno"/>
        </w:rPr>
        <w:t>51D</w:t>
      </w:r>
      <w:r>
        <w:t>.</w:t>
      </w:r>
      <w:r>
        <w:tab/>
        <w:t>Flexible working arrangement dispute</w:t>
      </w:r>
      <w:bookmarkEnd w:id="319"/>
      <w:bookmarkEnd w:id="320"/>
    </w:p>
    <w:p>
      <w:pPr>
        <w:pStyle w:val="Subsection"/>
      </w:pPr>
      <w:r>
        <w:tab/>
      </w:r>
      <w:r>
        <w:tab/>
        <w:t xml:space="preserve">A </w:t>
      </w:r>
      <w:r>
        <w:rPr>
          <w:rStyle w:val="CharDefText"/>
        </w:rPr>
        <w:t>flexible working arrangement dispute</w:t>
      </w:r>
      <w:r>
        <w:t xml:space="preserve"> is a dispute between an employer and an employee that relates to a flexible working arrangement request made by the employee if — </w:t>
      </w:r>
    </w:p>
    <w:p>
      <w:pPr>
        <w:pStyle w:val="Indenta"/>
      </w:pPr>
      <w:r>
        <w:tab/>
        <w:t>(a)</w:t>
      </w:r>
      <w:r>
        <w:tab/>
        <w:t xml:space="preserve">the employer either — </w:t>
      </w:r>
    </w:p>
    <w:p>
      <w:pPr>
        <w:pStyle w:val="Indenti"/>
      </w:pPr>
      <w:r>
        <w:tab/>
        <w:t>(i)</w:t>
      </w:r>
      <w:r>
        <w:tab/>
        <w:t>failed to respond to the employee’s request as required under the MCE Act section 39H; or</w:t>
      </w:r>
    </w:p>
    <w:p>
      <w:pPr>
        <w:pStyle w:val="Indenti"/>
      </w:pPr>
      <w:r>
        <w:lastRenderedPageBreak/>
        <w:tab/>
        <w:t>(ii)</w:t>
      </w:r>
      <w:r>
        <w:tab/>
        <w:t xml:space="preserve">refused the employee’s request; </w:t>
      </w:r>
    </w:p>
    <w:p>
      <w:pPr>
        <w:pStyle w:val="Indenta"/>
      </w:pPr>
      <w:r>
        <w:tab/>
      </w:r>
      <w:r>
        <w:tab/>
        <w:t>and</w:t>
      </w:r>
    </w:p>
    <w:p>
      <w:pPr>
        <w:pStyle w:val="Indenta"/>
      </w:pPr>
      <w:r>
        <w:tab/>
        <w:t>(b)</w:t>
      </w:r>
      <w:r>
        <w:tab/>
        <w:t>the employer and employee have made reasonable attempts to resolve the dispute under the MCE Act section 39K.</w:t>
      </w:r>
    </w:p>
    <w:p>
      <w:pPr>
        <w:pStyle w:val="Footnotesection"/>
      </w:pPr>
      <w:r>
        <w:tab/>
        <w:t>[Section 51D inserted: No. 43 of 2024 s. 43.]</w:t>
      </w:r>
    </w:p>
    <w:p>
      <w:pPr>
        <w:pStyle w:val="Heading5"/>
      </w:pPr>
      <w:bookmarkStart w:id="321" w:name="_Toc182398486"/>
      <w:bookmarkStart w:id="322" w:name="_Toc188451216"/>
      <w:r>
        <w:rPr>
          <w:rStyle w:val="CharSectno"/>
        </w:rPr>
        <w:t>51E</w:t>
      </w:r>
      <w:r>
        <w:t>.</w:t>
      </w:r>
      <w:r>
        <w:tab/>
        <w:t>Restriction on application for compulsory conference</w:t>
      </w:r>
      <w:bookmarkEnd w:id="321"/>
      <w:bookmarkEnd w:id="322"/>
    </w:p>
    <w:p>
      <w:pPr>
        <w:pStyle w:val="Subsection"/>
      </w:pPr>
      <w:r>
        <w:tab/>
        <w:t>(1)</w:t>
      </w:r>
      <w:r>
        <w:tab/>
        <w:t>This section applies if a flexible working arrangement dispute has been referred to the Commission under section 29.</w:t>
      </w:r>
    </w:p>
    <w:p>
      <w:pPr>
        <w:pStyle w:val="Subsection"/>
      </w:pPr>
      <w:r>
        <w:tab/>
        <w:t>(2)</w:t>
      </w:r>
      <w:r>
        <w:tab/>
        <w:t>An organisation, association or employer cannot make an application to the Commission under section 44(7)(a)(i) in relation to the flexible working arrangement dispute unless the referral under section 29 is withdrawn or fails for want of jurisdiction.</w:t>
      </w:r>
    </w:p>
    <w:p>
      <w:pPr>
        <w:pStyle w:val="PermNoteHeading"/>
      </w:pPr>
      <w:r>
        <w:tab/>
        <w:t>Note for this section:</w:t>
      </w:r>
    </w:p>
    <w:p>
      <w:pPr>
        <w:pStyle w:val="PermNoteText"/>
      </w:pPr>
      <w:r>
        <w:tab/>
      </w:r>
      <w:r>
        <w:tab/>
        <w:t>See section 51HC which restricts actions being commenced before the Commission and the industrial magistrate’s court in relation to the same flexible working arrangement request.</w:t>
      </w:r>
    </w:p>
    <w:p>
      <w:pPr>
        <w:pStyle w:val="Footnotesection"/>
      </w:pPr>
      <w:r>
        <w:tab/>
        <w:t>[Section 51E inserted: No. 43 of 2024 s. 43.]</w:t>
      </w:r>
    </w:p>
    <w:p>
      <w:pPr>
        <w:pStyle w:val="Heading5"/>
      </w:pPr>
      <w:bookmarkStart w:id="323" w:name="_Toc182398487"/>
      <w:bookmarkStart w:id="324" w:name="_Toc188451217"/>
      <w:r>
        <w:rPr>
          <w:rStyle w:val="CharSectno"/>
        </w:rPr>
        <w:t>51F</w:t>
      </w:r>
      <w:r>
        <w:t>.</w:t>
      </w:r>
      <w:r>
        <w:tab/>
        <w:t>Commission may make certain declarations on deciding dispute by arbitration</w:t>
      </w:r>
      <w:bookmarkEnd w:id="323"/>
      <w:bookmarkEnd w:id="324"/>
    </w:p>
    <w:p>
      <w:pPr>
        <w:pStyle w:val="Subsection"/>
      </w:pPr>
      <w:r>
        <w:tab/>
        <w:t>(1)</w:t>
      </w:r>
      <w:r>
        <w:tab/>
        <w:t xml:space="preserve">If the Commission decides, by arbitration, an industrial matter relating to a dispute between an employer and an employee about a flexible working arrangement request, the Commission may declare — </w:t>
      </w:r>
    </w:p>
    <w:p>
      <w:pPr>
        <w:pStyle w:val="Indenta"/>
      </w:pPr>
      <w:r>
        <w:tab/>
        <w:t>(a)</w:t>
      </w:r>
      <w:r>
        <w:tab/>
        <w:t>if the employer has not responded to the flexible working arrangement request — that the employer refused the request;</w:t>
      </w:r>
    </w:p>
    <w:p>
      <w:pPr>
        <w:pStyle w:val="Indenta"/>
      </w:pPr>
      <w:r>
        <w:tab/>
        <w:t>(b)</w:t>
      </w:r>
      <w:r>
        <w:tab/>
        <w:t xml:space="preserve">if the employer refused the flexible working arrangement request — that the grounds on which the </w:t>
      </w:r>
      <w:r>
        <w:lastRenderedPageBreak/>
        <w:t>employer refused the request are, or are not, reasonable business grounds.</w:t>
      </w:r>
    </w:p>
    <w:p>
      <w:pPr>
        <w:pStyle w:val="Subsection"/>
      </w:pPr>
      <w:r>
        <w:tab/>
        <w:t>(2)</w:t>
      </w:r>
      <w:r>
        <w:tab/>
        <w:t>The employer and employee are bound by a declaration made under subsection (1).</w:t>
      </w:r>
    </w:p>
    <w:p>
      <w:pPr>
        <w:pStyle w:val="Footnotesection"/>
      </w:pPr>
      <w:r>
        <w:tab/>
        <w:t>[Section 51F inserted: No. 43 of 2024 s. 43.]</w:t>
      </w:r>
    </w:p>
    <w:p>
      <w:pPr>
        <w:pStyle w:val="Heading5"/>
      </w:pPr>
      <w:bookmarkStart w:id="325" w:name="_Toc182398488"/>
      <w:bookmarkStart w:id="326" w:name="_Toc188451218"/>
      <w:r>
        <w:rPr>
          <w:rStyle w:val="CharSectno"/>
        </w:rPr>
        <w:t>51G</w:t>
      </w:r>
      <w:r>
        <w:t>.</w:t>
      </w:r>
      <w:r>
        <w:tab/>
        <w:t>Commission may make flexible working arrangement order</w:t>
      </w:r>
      <w:bookmarkEnd w:id="325"/>
      <w:bookmarkEnd w:id="326"/>
    </w:p>
    <w:p>
      <w:pPr>
        <w:pStyle w:val="Subsection"/>
      </w:pPr>
      <w:r>
        <w:tab/>
        <w:t>(1)</w:t>
      </w:r>
      <w:r>
        <w:tab/>
        <w:t>This section applies if the Commission decides, by arbitration, an industrial matter relating to a dispute between an employer and an employee about a flexible working arrangement request.</w:t>
      </w:r>
    </w:p>
    <w:p>
      <w:pPr>
        <w:pStyle w:val="Subsection"/>
      </w:pPr>
      <w:r>
        <w:tab/>
        <w:t>(2)</w:t>
      </w:r>
      <w:r>
        <w:tab/>
        <w:t>If the Commission is satisfied that the employer did not respond, or did not respond adequately, to the employee’s flexible working arrangement request, the Commission may order the employer to take specified action, having regard to the matters in the MCE Act sections 39H to 39J.</w:t>
      </w:r>
    </w:p>
    <w:p>
      <w:pPr>
        <w:pStyle w:val="Subsection"/>
      </w:pPr>
      <w:r>
        <w:tab/>
        <w:t>(3)</w:t>
      </w:r>
      <w:r>
        <w:tab/>
        <w:t xml:space="preserve">If the Commission is satisfied there is no reasonable prospect of the dispute being resolved otherwise, the Commission may — </w:t>
      </w:r>
    </w:p>
    <w:p>
      <w:pPr>
        <w:pStyle w:val="Indenta"/>
      </w:pPr>
      <w:r>
        <w:tab/>
        <w:t>(a)</w:t>
      </w:r>
      <w:r>
        <w:tab/>
        <w:t>order the employer to grant the flexible working arrangement request; or</w:t>
      </w:r>
    </w:p>
    <w:p>
      <w:pPr>
        <w:pStyle w:val="Indenta"/>
      </w:pPr>
      <w:r>
        <w:tab/>
        <w:t>(b)</w:t>
      </w:r>
      <w:r>
        <w:tab/>
        <w:t>order the employer to make a specified change in the employee’s working arrangements, other than the change requested in the flexible working arrangement request, to accommodate, to any extent, the circumstances mentioned in the MCE Act section 39F(2).</w:t>
      </w:r>
    </w:p>
    <w:p>
      <w:pPr>
        <w:pStyle w:val="Subsection"/>
      </w:pPr>
      <w:r>
        <w:tab/>
        <w:t>(4)</w:t>
      </w:r>
      <w:r>
        <w:tab/>
        <w:t>In making an order under subsection (3), the Commission must take into account fairness between the employer and the employee.</w:t>
      </w:r>
    </w:p>
    <w:p>
      <w:pPr>
        <w:pStyle w:val="Subsection"/>
      </w:pPr>
      <w:r>
        <w:tab/>
        <w:t>(5)</w:t>
      </w:r>
      <w:r>
        <w:tab/>
        <w:t xml:space="preserve">An order made against an employer under subsection (2) or (3) is a </w:t>
      </w:r>
      <w:r>
        <w:rPr>
          <w:rStyle w:val="CharDefText"/>
        </w:rPr>
        <w:t>flexible working arrangement order</w:t>
      </w:r>
      <w:r>
        <w:t>.</w:t>
      </w:r>
    </w:p>
    <w:p>
      <w:pPr>
        <w:pStyle w:val="Footnotesection"/>
      </w:pPr>
      <w:r>
        <w:tab/>
        <w:t>[Section 51G inserted: No. 43 of 2024 s. 43.]</w:t>
      </w:r>
    </w:p>
    <w:p>
      <w:pPr>
        <w:pStyle w:val="Heading5"/>
      </w:pPr>
      <w:bookmarkStart w:id="327" w:name="_Toc182398489"/>
      <w:bookmarkStart w:id="328" w:name="_Toc188451219"/>
      <w:r>
        <w:rPr>
          <w:rStyle w:val="CharSectno"/>
        </w:rPr>
        <w:lastRenderedPageBreak/>
        <w:t>51H</w:t>
      </w:r>
      <w:r>
        <w:t>.</w:t>
      </w:r>
      <w:r>
        <w:tab/>
        <w:t>Employer must comply with flexible working arrangement order</w:t>
      </w:r>
      <w:bookmarkEnd w:id="327"/>
      <w:bookmarkEnd w:id="328"/>
    </w:p>
    <w:p>
      <w:pPr>
        <w:pStyle w:val="Subsection"/>
      </w:pPr>
      <w:r>
        <w:tab/>
        <w:t>(1)</w:t>
      </w:r>
      <w:r>
        <w:tab/>
        <w:t>An employer must comply with a flexible working arrangement order made against the employer.</w:t>
      </w:r>
    </w:p>
    <w:p>
      <w:pPr>
        <w:pStyle w:val="Subsection"/>
      </w:pPr>
      <w:r>
        <w:tab/>
        <w:t>(2)</w:t>
      </w:r>
      <w:r>
        <w:tab/>
        <w:t>A contravention of subsection (1) is not an offence but that subsection is a civil penalty provision for the purposes of section 83E.</w:t>
      </w:r>
    </w:p>
    <w:p>
      <w:pPr>
        <w:pStyle w:val="Footnotesection"/>
      </w:pPr>
      <w:r>
        <w:tab/>
        <w:t>[Section 51H inserted: No. 43 of 2024 s. 43.]</w:t>
      </w:r>
    </w:p>
    <w:p>
      <w:pPr>
        <w:pStyle w:val="Heading5"/>
      </w:pPr>
      <w:bookmarkStart w:id="329" w:name="_Toc182398490"/>
      <w:bookmarkStart w:id="330" w:name="_Toc188451220"/>
      <w:r>
        <w:rPr>
          <w:rStyle w:val="CharSectno"/>
        </w:rPr>
        <w:t>51HA</w:t>
      </w:r>
      <w:r>
        <w:t>.</w:t>
      </w:r>
      <w:r>
        <w:tab/>
        <w:t>Enforcement of contravention of order</w:t>
      </w:r>
      <w:bookmarkEnd w:id="329"/>
      <w:bookmarkEnd w:id="330"/>
      <w:r>
        <w:t xml:space="preserve"> </w:t>
      </w:r>
    </w:p>
    <w:p>
      <w:pPr>
        <w:pStyle w:val="Subsection"/>
      </w:pPr>
      <w:r>
        <w:tab/>
        <w:t>(1)</w:t>
      </w:r>
      <w:r>
        <w:tab/>
        <w:t xml:space="preserve">If, on an application under section 83E, the industrial magistrate’s court determines that an employer has contravened a flexible working arrangement order, the court may make either or both of the following orders — </w:t>
      </w:r>
    </w:p>
    <w:p>
      <w:pPr>
        <w:pStyle w:val="Indenta"/>
      </w:pPr>
      <w:r>
        <w:tab/>
        <w:t>(a)</w:t>
      </w:r>
      <w:r>
        <w:tab/>
        <w:t>that the employer pay compensation to the employee for loss or injury suffered as a result of the contravention;</w:t>
      </w:r>
    </w:p>
    <w:p>
      <w:pPr>
        <w:pStyle w:val="Indenta"/>
      </w:pPr>
      <w:r>
        <w:tab/>
        <w:t>(b)</w:t>
      </w:r>
      <w:r>
        <w:tab/>
        <w:t>that the employer do a specified thing or cease a specified activity.</w:t>
      </w:r>
    </w:p>
    <w:p>
      <w:pPr>
        <w:pStyle w:val="Subsection"/>
      </w:pPr>
      <w:r>
        <w:tab/>
        <w:t>(2)</w:t>
      </w:r>
      <w:r>
        <w:tab/>
        <w:t>The industrial magistrate’s court may make an order under subsection (1) in addition to imposing a penalty, or making another order, under section 83E.</w:t>
      </w:r>
    </w:p>
    <w:p>
      <w:pPr>
        <w:pStyle w:val="Footnotesection"/>
      </w:pPr>
      <w:r>
        <w:tab/>
        <w:t>[Section 51HA inserted: No. 43 of 2024 s. 43.]</w:t>
      </w:r>
    </w:p>
    <w:p>
      <w:pPr>
        <w:pStyle w:val="Heading5"/>
      </w:pPr>
      <w:bookmarkStart w:id="331" w:name="_Toc182398491"/>
      <w:bookmarkStart w:id="332" w:name="_Toc188451221"/>
      <w:r>
        <w:rPr>
          <w:rStyle w:val="CharSectno"/>
        </w:rPr>
        <w:t>51HB</w:t>
      </w:r>
      <w:r>
        <w:t>.</w:t>
      </w:r>
      <w:r>
        <w:tab/>
        <w:t>Enforcement of minimum condition of employment relating to flexible working arrangement request</w:t>
      </w:r>
      <w:bookmarkEnd w:id="331"/>
      <w:bookmarkEnd w:id="332"/>
    </w:p>
    <w:p>
      <w:pPr>
        <w:pStyle w:val="Subsection"/>
      </w:pPr>
      <w:r>
        <w:tab/>
        <w:t>(1)</w:t>
      </w:r>
      <w:r>
        <w:tab/>
        <w:t>This Subdivision does not limit the MCE Act section 7 as it applies to enforcing a minimum condition of employment that relates to an employee’s flexible working arrangement request.</w:t>
      </w:r>
    </w:p>
    <w:p>
      <w:pPr>
        <w:pStyle w:val="PermNoteHeading"/>
      </w:pPr>
      <w:r>
        <w:tab/>
        <w:t>Note for this subsection:</w:t>
      </w:r>
    </w:p>
    <w:p>
      <w:pPr>
        <w:pStyle w:val="PermNoteText"/>
      </w:pPr>
      <w:r>
        <w:tab/>
      </w:r>
      <w:r>
        <w:tab/>
        <w:t>The MCE Act section 7 provides for a minimum condition of employment to be enforced under section 83 of this Act as an entitlement provision.</w:t>
      </w:r>
    </w:p>
    <w:p>
      <w:pPr>
        <w:pStyle w:val="Subsection"/>
      </w:pPr>
      <w:r>
        <w:lastRenderedPageBreak/>
        <w:tab/>
        <w:t>(2)</w:t>
      </w:r>
      <w:r>
        <w:tab/>
        <w:t>In proceedings under section 83 to enforce the minimum employment condition, the onus is on the employer to prove that the employer’s refusal of an employee’s flexible working arrangement request complied with the MCE Act Part 4A.</w:t>
      </w:r>
    </w:p>
    <w:p>
      <w:pPr>
        <w:pStyle w:val="Subsection"/>
      </w:pPr>
      <w:r>
        <w:tab/>
        <w:t>(3)</w:t>
      </w:r>
      <w:r>
        <w:tab/>
        <w:t>This section is subject to section 51HC.</w:t>
      </w:r>
    </w:p>
    <w:p>
      <w:pPr>
        <w:pStyle w:val="Footnotesection"/>
      </w:pPr>
      <w:r>
        <w:tab/>
        <w:t>[Section 51HB inserted: No. 43 of 2024 s. 43.]</w:t>
      </w:r>
    </w:p>
    <w:p>
      <w:pPr>
        <w:pStyle w:val="Heading5"/>
      </w:pPr>
      <w:bookmarkStart w:id="333" w:name="_Toc182398492"/>
      <w:bookmarkStart w:id="334" w:name="_Toc188451222"/>
      <w:r>
        <w:rPr>
          <w:rStyle w:val="CharSectno"/>
        </w:rPr>
        <w:t>51HC</w:t>
      </w:r>
      <w:r>
        <w:t>.</w:t>
      </w:r>
      <w:r>
        <w:tab/>
        <w:t>Restriction on multiple actions</w:t>
      </w:r>
      <w:bookmarkEnd w:id="333"/>
      <w:bookmarkEnd w:id="334"/>
      <w:r>
        <w:t xml:space="preserve"> </w:t>
      </w:r>
    </w:p>
    <w:p>
      <w:pPr>
        <w:pStyle w:val="Subsection"/>
      </w:pPr>
      <w:r>
        <w:tab/>
        <w:t>(1)</w:t>
      </w:r>
      <w:r>
        <w:tab/>
        <w:t xml:space="preserve">A person or organisation cannot apply to the industrial magistrate’s court under section 83 to enforce a minimum condition of employment in relation to a flexible working arrangement request — </w:t>
      </w:r>
    </w:p>
    <w:p>
      <w:pPr>
        <w:pStyle w:val="Indenta"/>
      </w:pPr>
      <w:r>
        <w:tab/>
        <w:t>(a)</w:t>
      </w:r>
      <w:r>
        <w:tab/>
        <w:t>if proceedings for a flexible working arrangement dispute related to the same request have been commenced in the Commission under section 29 or 44; and</w:t>
      </w:r>
    </w:p>
    <w:p>
      <w:pPr>
        <w:pStyle w:val="Indenta"/>
      </w:pPr>
      <w:r>
        <w:tab/>
        <w:t>(b)</w:t>
      </w:r>
      <w:r>
        <w:tab/>
        <w:t>unless the proceedings before the Commission are withdrawn or fail for want of jurisdiction.</w:t>
      </w:r>
    </w:p>
    <w:p>
      <w:pPr>
        <w:pStyle w:val="Subsection"/>
      </w:pPr>
      <w:r>
        <w:tab/>
        <w:t>(2)</w:t>
      </w:r>
      <w:r>
        <w:tab/>
        <w:t xml:space="preserve">A person or organisation cannot refer a flexible working arrangement dispute to the Commission under section 29, or make an application relating to the dispute under section 44(7)(a)(i) — </w:t>
      </w:r>
    </w:p>
    <w:p>
      <w:pPr>
        <w:pStyle w:val="Indenta"/>
      </w:pPr>
      <w:r>
        <w:tab/>
        <w:t>(a)</w:t>
      </w:r>
      <w:r>
        <w:tab/>
        <w:t>if proceedings to enforce a minimum condition of employment in relation to the flexible working arrangement request that is the subject of the dispute have been commenced in the industrial magistrate’s court under section 83; and</w:t>
      </w:r>
    </w:p>
    <w:p>
      <w:pPr>
        <w:pStyle w:val="Indenta"/>
      </w:pPr>
      <w:r>
        <w:tab/>
        <w:t>(b)</w:t>
      </w:r>
      <w:r>
        <w:tab/>
        <w:t>unless the proceedings before the industrial magistrate’s court are withdrawn or fail for want of jurisdiction.</w:t>
      </w:r>
    </w:p>
    <w:p>
      <w:pPr>
        <w:pStyle w:val="PermNoteHeading"/>
      </w:pPr>
      <w:r>
        <w:tab/>
        <w:t>Note for this section:</w:t>
      </w:r>
    </w:p>
    <w:p>
      <w:pPr>
        <w:pStyle w:val="PermNoteText"/>
      </w:pPr>
      <w:r>
        <w:tab/>
      </w:r>
      <w:r>
        <w:tab/>
        <w:t>See section 51E which restricts action being commenced before the Commission under section 44 in relation to a flexible working arrangement dispute that has been referred to the Commission under section 29.</w:t>
      </w:r>
    </w:p>
    <w:p>
      <w:pPr>
        <w:pStyle w:val="Footnotesection"/>
      </w:pPr>
      <w:r>
        <w:lastRenderedPageBreak/>
        <w:tab/>
        <w:t>[Section 51HC inserted: No. 43 of 2024 s. 43.]</w:t>
      </w:r>
    </w:p>
    <w:p>
      <w:pPr>
        <w:pStyle w:val="Heading4"/>
        <w:keepLines/>
      </w:pPr>
      <w:bookmarkStart w:id="335" w:name="_Toc187907324"/>
      <w:bookmarkStart w:id="336" w:name="_Toc188271583"/>
      <w:bookmarkStart w:id="337" w:name="_Toc188451223"/>
      <w:r>
        <w:t>Subdivision 3 — Casual employees’ loading</w:t>
      </w:r>
      <w:bookmarkEnd w:id="335"/>
      <w:bookmarkEnd w:id="336"/>
      <w:bookmarkEnd w:id="337"/>
    </w:p>
    <w:p>
      <w:pPr>
        <w:pStyle w:val="Footnoteheading"/>
        <w:keepNext/>
        <w:keepLines/>
        <w:spacing w:before="100"/>
      </w:pPr>
      <w:r>
        <w:tab/>
        <w:t>[Heading inserted: No. 20 of 2002 s. 181.]</w:t>
      </w:r>
    </w:p>
    <w:p>
      <w:pPr>
        <w:pStyle w:val="Heading5"/>
        <w:spacing w:before="200"/>
      </w:pPr>
      <w:bookmarkStart w:id="338" w:name="_Toc188451224"/>
      <w:r>
        <w:rPr>
          <w:rStyle w:val="CharSectno"/>
        </w:rPr>
        <w:t>51I</w:t>
      </w:r>
      <w:r>
        <w:t>.</w:t>
      </w:r>
      <w:r>
        <w:tab/>
        <w:t>Casual employees’ loading, setting for MCE Act s. 11</w:t>
      </w:r>
      <w:bookmarkEnd w:id="338"/>
    </w:p>
    <w:p>
      <w:pPr>
        <w:pStyle w:val="Subsection"/>
        <w:spacing w:before="140"/>
      </w:pPr>
      <w:r>
        <w:tab/>
        <w:t>(1)</w:t>
      </w:r>
      <w:r>
        <w:tab/>
        <w:t>The Commission in Court Session may, by way of order, set a percentage that is higher than 25%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 No. 43 of 2024 s. 44.]</w:t>
      </w:r>
    </w:p>
    <w:p>
      <w:pPr>
        <w:pStyle w:val="Ednotesubdivision"/>
      </w:pPr>
      <w:bookmarkStart w:id="339" w:name="_Toc187907326"/>
      <w:r>
        <w:t>[Subdivision 4 heading deleted: No. 43 of 2024 s. 45.]</w:t>
      </w:r>
    </w:p>
    <w:p>
      <w:pPr>
        <w:pStyle w:val="Heading5"/>
        <w:spacing w:before="200"/>
      </w:pPr>
      <w:bookmarkStart w:id="340" w:name="_Toc188451225"/>
      <w:bookmarkEnd w:id="339"/>
      <w:r>
        <w:rPr>
          <w:rStyle w:val="CharSectno"/>
        </w:rPr>
        <w:t>51J</w:t>
      </w:r>
      <w:r>
        <w:t>.</w:t>
      </w:r>
      <w:r>
        <w:tab/>
        <w:t>Notice of hearings</w:t>
      </w:r>
      <w:bookmarkEnd w:id="340"/>
    </w:p>
    <w:p>
      <w:pPr>
        <w:pStyle w:val="Subsection"/>
        <w:spacing w:before="140"/>
      </w:pPr>
      <w:r>
        <w:tab/>
      </w:r>
      <w:r>
        <w:tab/>
        <w:t>The Commission must ensure that notice of each initial hearing to be conducted for the purposes of making or reviewing an order under section 51I is given —</w:t>
      </w:r>
    </w:p>
    <w:p>
      <w:pPr>
        <w:pStyle w:val="Indenta"/>
        <w:spacing w:before="60"/>
      </w:pPr>
      <w:r>
        <w:tab/>
        <w:t>(a)</w:t>
      </w:r>
      <w:r>
        <w:tab/>
        <w:t>by giving written notice to UnionsWA, the Chamber,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 No. 43 of 2024 s. 46.]</w:t>
      </w:r>
    </w:p>
    <w:p>
      <w:pPr>
        <w:pStyle w:val="Heading5"/>
      </w:pPr>
      <w:bookmarkStart w:id="341" w:name="_Toc188451226"/>
      <w:r>
        <w:rPr>
          <w:rStyle w:val="CharSectno"/>
        </w:rPr>
        <w:t>51K</w:t>
      </w:r>
      <w:r>
        <w:t>.</w:t>
      </w:r>
      <w:r>
        <w:tab/>
        <w:t>Right to be heard before order made</w:t>
      </w:r>
      <w:bookmarkEnd w:id="341"/>
    </w:p>
    <w:p>
      <w:pPr>
        <w:pStyle w:val="Subsection"/>
      </w:pPr>
      <w:r>
        <w:tab/>
      </w:r>
      <w:r>
        <w:tab/>
        <w:t>The Commission must not make an order under section 51I until it has afforded UnionsWA, the Chamber, the Minister and any other person permitted by the Commission to be heard, an opportunity to be heard in relation to the matter.</w:t>
      </w:r>
    </w:p>
    <w:p>
      <w:pPr>
        <w:pStyle w:val="Footnotesection"/>
      </w:pPr>
      <w:r>
        <w:lastRenderedPageBreak/>
        <w:tab/>
        <w:t>[Section 51K inserted: No. 20 of 2002 s. 181; amended: No. 53 of 2011 s. 48; No. 30 of 2021 s. 76(2); No. 43 of 2024 s. 47.]</w:t>
      </w:r>
    </w:p>
    <w:p>
      <w:pPr>
        <w:pStyle w:val="Heading5"/>
      </w:pPr>
      <w:bookmarkStart w:id="342" w:name="_Toc188451227"/>
      <w:r>
        <w:rPr>
          <w:rStyle w:val="CharSectno"/>
        </w:rPr>
        <w:t>51L</w:t>
      </w:r>
      <w:r>
        <w:t>.</w:t>
      </w:r>
      <w:r>
        <w:tab/>
        <w:t>Limits on orders made under section 51I</w:t>
      </w:r>
      <w:bookmarkEnd w:id="342"/>
    </w:p>
    <w:p>
      <w:pPr>
        <w:pStyle w:val="Subsection"/>
      </w:pPr>
      <w:r>
        <w:tab/>
      </w:r>
      <w:r>
        <w:tab/>
        <w:t>An order made under section 51I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 No. 43 of 2024 s. 48.]</w:t>
      </w:r>
    </w:p>
    <w:p>
      <w:pPr>
        <w:pStyle w:val="Heading5"/>
      </w:pPr>
      <w:bookmarkStart w:id="343" w:name="_Toc188451228"/>
      <w:r>
        <w:rPr>
          <w:rStyle w:val="CharSectno"/>
        </w:rPr>
        <w:t>51M</w:t>
      </w:r>
      <w:r>
        <w:t>.</w:t>
      </w:r>
      <w:r>
        <w:tab/>
        <w:t>Publication of orders</w:t>
      </w:r>
      <w:bookmarkEnd w:id="343"/>
    </w:p>
    <w:p>
      <w:pPr>
        <w:pStyle w:val="Subsection"/>
      </w:pPr>
      <w:r>
        <w:tab/>
      </w:r>
      <w:r>
        <w:tab/>
        <w:t xml:space="preserve">The Commission must direct the Registrar to prepare and publish in the </w:t>
      </w:r>
      <w:r>
        <w:rPr>
          <w:i/>
        </w:rPr>
        <w:t>Industrial Gazette</w:t>
      </w:r>
      <w:r>
        <w:t xml:space="preserve"> the provisions of an order made under section 51I.</w:t>
      </w:r>
    </w:p>
    <w:p>
      <w:pPr>
        <w:pStyle w:val="Footnotesection"/>
      </w:pPr>
      <w:r>
        <w:tab/>
        <w:t>[Section 51M inserted: No. 20 of 2002 s. 181; amended: No. 30 of 2021 s. 76(2); No. 43 of 2024 s. 49.]</w:t>
      </w:r>
    </w:p>
    <w:p>
      <w:pPr>
        <w:pStyle w:val="Heading5"/>
      </w:pPr>
      <w:bookmarkStart w:id="344" w:name="_Toc188451229"/>
      <w:r>
        <w:rPr>
          <w:rStyle w:val="CharSectno"/>
        </w:rPr>
        <w:t>51N</w:t>
      </w:r>
      <w:r>
        <w:t>.</w:t>
      </w:r>
      <w:r>
        <w:tab/>
        <w:t>Variation and rescission of s. 51I orders</w:t>
      </w:r>
      <w:bookmarkEnd w:id="344"/>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345" w:name="_Toc187907332"/>
      <w:bookmarkStart w:id="346" w:name="_Toc188271590"/>
      <w:bookmarkStart w:id="347" w:name="_Toc188451230"/>
      <w:r>
        <w:rPr>
          <w:rStyle w:val="CharDivNo"/>
        </w:rPr>
        <w:lastRenderedPageBreak/>
        <w:t>Division 3B</w:t>
      </w:r>
      <w:r>
        <w:t> — </w:t>
      </w:r>
      <w:r>
        <w:rPr>
          <w:rStyle w:val="CharDivText"/>
        </w:rPr>
        <w:t>Equal remuneration</w:t>
      </w:r>
      <w:bookmarkEnd w:id="345"/>
      <w:bookmarkEnd w:id="346"/>
      <w:bookmarkEnd w:id="347"/>
    </w:p>
    <w:p>
      <w:pPr>
        <w:pStyle w:val="Footnoteheading"/>
        <w:keepNext/>
        <w:keepLines/>
      </w:pPr>
      <w:r>
        <w:tab/>
        <w:t>[Heading inserted: No. 30 of 2021 s. 31.]</w:t>
      </w:r>
    </w:p>
    <w:p>
      <w:pPr>
        <w:pStyle w:val="Heading5"/>
      </w:pPr>
      <w:bookmarkStart w:id="348" w:name="_Toc188451231"/>
      <w:r>
        <w:rPr>
          <w:rStyle w:val="CharSectno"/>
        </w:rPr>
        <w:t>51O</w:t>
      </w:r>
      <w:r>
        <w:t>.</w:t>
      </w:r>
      <w:r>
        <w:tab/>
        <w:t>Equal remuneration orders</w:t>
      </w:r>
      <w:bookmarkEnd w:id="348"/>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lastRenderedPageBreak/>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r>
        <w:tab/>
        <w:t>[Section 51O inserted: No. 30 of 2021 s. 31.]</w:t>
      </w:r>
    </w:p>
    <w:p>
      <w:pPr>
        <w:pStyle w:val="Heading5"/>
      </w:pPr>
      <w:bookmarkStart w:id="349" w:name="_Toc188451232"/>
      <w:r>
        <w:rPr>
          <w:rStyle w:val="CharSectno"/>
        </w:rPr>
        <w:t>51P</w:t>
      </w:r>
      <w:r>
        <w:t>.</w:t>
      </w:r>
      <w:r>
        <w:tab/>
        <w:t>Employer not to reduce remuneration</w:t>
      </w:r>
      <w:bookmarkEnd w:id="349"/>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r>
        <w:tab/>
        <w:t>[Section 51P inserted: No. 30 of 2021 s. 31.]</w:t>
      </w:r>
    </w:p>
    <w:p>
      <w:pPr>
        <w:pStyle w:val="Heading5"/>
      </w:pPr>
      <w:bookmarkStart w:id="350" w:name="_Toc188451233"/>
      <w:r>
        <w:rPr>
          <w:rStyle w:val="CharSectno"/>
        </w:rPr>
        <w:t>51Q</w:t>
      </w:r>
      <w:r>
        <w:t>.</w:t>
      </w:r>
      <w:r>
        <w:tab/>
        <w:t>Alternative remedies</w:t>
      </w:r>
      <w:bookmarkEnd w:id="350"/>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keepNext/>
      </w:pPr>
      <w:r>
        <w:lastRenderedPageBreak/>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r>
        <w:tab/>
        <w:t>[Section 51Q inserted: No. 30 of 2021 s. 31.]</w:t>
      </w:r>
    </w:p>
    <w:p>
      <w:pPr>
        <w:pStyle w:val="Heading5"/>
      </w:pPr>
      <w:bookmarkStart w:id="351" w:name="_Toc188451234"/>
      <w:r>
        <w:rPr>
          <w:rStyle w:val="CharSectno"/>
        </w:rPr>
        <w:t>51R</w:t>
      </w:r>
      <w:r>
        <w:t>.</w:t>
      </w:r>
      <w:r>
        <w:tab/>
        <w:t>Remuneration</w:t>
      </w:r>
      <w:r>
        <w:noBreakHyphen/>
        <w:t>related action</w:t>
      </w:r>
      <w:bookmarkEnd w:id="351"/>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tab/>
        <w:t>[Section 51R inserted: No. 30 of 2021 s. 31.]</w:t>
      </w:r>
    </w:p>
    <w:p>
      <w:pPr>
        <w:pStyle w:val="Ednotesection"/>
      </w:pPr>
      <w:r>
        <w:t>[</w:t>
      </w:r>
      <w:r>
        <w:rPr>
          <w:b/>
        </w:rPr>
        <w:t>51S, 51T.</w:t>
      </w:r>
      <w:r>
        <w:tab/>
        <w:t>Deleted: No. 30 of 2021 s. 31.]</w:t>
      </w:r>
    </w:p>
    <w:p>
      <w:pPr>
        <w:pStyle w:val="Heading3"/>
        <w:keepLines/>
        <w:rPr>
          <w:snapToGrid w:val="0"/>
        </w:rPr>
      </w:pPr>
      <w:bookmarkStart w:id="352" w:name="_Toc187907337"/>
      <w:bookmarkStart w:id="353" w:name="_Toc188271595"/>
      <w:bookmarkStart w:id="354" w:name="_Toc188451235"/>
      <w:r>
        <w:rPr>
          <w:rStyle w:val="CharDivNo"/>
        </w:rPr>
        <w:lastRenderedPageBreak/>
        <w:t>Division 4</w:t>
      </w:r>
      <w:r>
        <w:rPr>
          <w:snapToGrid w:val="0"/>
        </w:rPr>
        <w:t> — </w:t>
      </w:r>
      <w:r>
        <w:t>Registered</w:t>
      </w:r>
      <w:r>
        <w:rPr>
          <w:rStyle w:val="CharDivText"/>
        </w:rPr>
        <w:t xml:space="preserve"> organisations and associations</w:t>
      </w:r>
      <w:bookmarkEnd w:id="352"/>
      <w:bookmarkEnd w:id="353"/>
      <w:bookmarkEnd w:id="354"/>
    </w:p>
    <w:p>
      <w:pPr>
        <w:pStyle w:val="Footnoteheading"/>
        <w:keepNext/>
        <w:keepLines/>
        <w:rPr>
          <w:snapToGrid w:val="0"/>
        </w:rPr>
      </w:pPr>
      <w:r>
        <w:rPr>
          <w:snapToGrid w:val="0"/>
        </w:rPr>
        <w:tab/>
        <w:t xml:space="preserve">[Heading amended: No. 119 of 1987 s. 14; </w:t>
      </w:r>
      <w:r>
        <w:t>No. 43 of 2024 s. 50</w:t>
      </w:r>
      <w:r>
        <w:rPr>
          <w:snapToGrid w:val="0"/>
        </w:rPr>
        <w:t>.]</w:t>
      </w:r>
    </w:p>
    <w:p>
      <w:pPr>
        <w:pStyle w:val="Heading5"/>
        <w:rPr>
          <w:snapToGrid w:val="0"/>
        </w:rPr>
      </w:pPr>
      <w:bookmarkStart w:id="355" w:name="_Toc188451236"/>
      <w:r>
        <w:rPr>
          <w:rStyle w:val="CharSectno"/>
        </w:rPr>
        <w:t>52</w:t>
      </w:r>
      <w:r>
        <w:rPr>
          <w:snapToGrid w:val="0"/>
        </w:rPr>
        <w:t>.</w:t>
      </w:r>
      <w:r>
        <w:rPr>
          <w:snapToGrid w:val="0"/>
        </w:rPr>
        <w:tab/>
        <w:t>Terms used</w:t>
      </w:r>
      <w:bookmarkEnd w:id="35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356" w:name="_Toc188451237"/>
      <w:r>
        <w:rPr>
          <w:rStyle w:val="CharSectno"/>
        </w:rPr>
        <w:lastRenderedPageBreak/>
        <w:t>52A</w:t>
      </w:r>
      <w:r>
        <w:t>.</w:t>
      </w:r>
      <w:r>
        <w:tab/>
        <w:t>Counterpart federal body</w:t>
      </w:r>
      <w:bookmarkEnd w:id="356"/>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lastRenderedPageBreak/>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pPr>
        <w:pStyle w:val="Footnotesection"/>
      </w:pPr>
      <w:r>
        <w:tab/>
        <w:t>[Section 52A inserted: No. 30 of 2021 s. 33.]</w:t>
      </w:r>
    </w:p>
    <w:p>
      <w:pPr>
        <w:pStyle w:val="Heading5"/>
        <w:rPr>
          <w:snapToGrid w:val="0"/>
        </w:rPr>
      </w:pPr>
      <w:bookmarkStart w:id="357" w:name="_Toc188451238"/>
      <w:r>
        <w:rPr>
          <w:rStyle w:val="CharSectno"/>
        </w:rPr>
        <w:t>53</w:t>
      </w:r>
      <w:r>
        <w:rPr>
          <w:snapToGrid w:val="0"/>
        </w:rPr>
        <w:t>.</w:t>
      </w:r>
      <w:r>
        <w:rPr>
          <w:snapToGrid w:val="0"/>
        </w:rPr>
        <w:tab/>
      </w:r>
      <w:r>
        <w:t>Organisations of employees that may be registered</w:t>
      </w:r>
      <w:bookmarkEnd w:id="357"/>
    </w:p>
    <w:p>
      <w:pPr>
        <w:pStyle w:val="Subsection"/>
        <w:rPr>
          <w:snapToGrid w:val="0"/>
        </w:rPr>
      </w:pPr>
      <w:r>
        <w:rPr>
          <w:snapToGrid w:val="0"/>
        </w:rPr>
        <w:tab/>
        <w:t>(1)</w:t>
      </w:r>
      <w:r>
        <w:rPr>
          <w:snapToGrid w:val="0"/>
        </w:rPr>
        <w:tab/>
      </w:r>
      <w:r>
        <w:t>An</w:t>
      </w:r>
      <w:r>
        <w:rPr>
          <w:snapToGrid w:val="0"/>
        </w:rPr>
        <w:t xml:space="preserve">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r>
      <w:r>
        <w:t>An</w:t>
      </w:r>
      <w:r>
        <w:rPr>
          <w:snapToGrid w:val="0"/>
        </w:rPr>
        <w:t xml:space="preserve">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Subsection"/>
      </w:pPr>
      <w:r>
        <w:tab/>
        <w:t>(3)</w:t>
      </w:r>
      <w:r>
        <w:tab/>
        <w:t>For the purposes of subsection (1) or (2), it does not matter whether the organisation is incorporated or not.</w:t>
      </w:r>
    </w:p>
    <w:p>
      <w:pPr>
        <w:pStyle w:val="Footnotesection"/>
      </w:pPr>
      <w:r>
        <w:lastRenderedPageBreak/>
        <w:tab/>
        <w:t>[Section 53 inserted: No. 94 of 1984 s. 34; amended: No. 39 of 2018 s. 30; No. 43 of 2024 s. 51.]</w:t>
      </w:r>
    </w:p>
    <w:p>
      <w:pPr>
        <w:pStyle w:val="Heading5"/>
        <w:rPr>
          <w:snapToGrid w:val="0"/>
        </w:rPr>
      </w:pPr>
      <w:bookmarkStart w:id="358" w:name="_Toc188451239"/>
      <w:r>
        <w:rPr>
          <w:rStyle w:val="CharSectno"/>
        </w:rPr>
        <w:t>54</w:t>
      </w:r>
      <w:r>
        <w:rPr>
          <w:snapToGrid w:val="0"/>
        </w:rPr>
        <w:t>.</w:t>
      </w:r>
      <w:r>
        <w:rPr>
          <w:snapToGrid w:val="0"/>
        </w:rPr>
        <w:tab/>
      </w:r>
      <w:r>
        <w:t>Organisations of employers that may be registered</w:t>
      </w:r>
      <w:bookmarkEnd w:id="358"/>
    </w:p>
    <w:p>
      <w:pPr>
        <w:pStyle w:val="Subsection"/>
        <w:keepNext/>
        <w:rPr>
          <w:snapToGrid w:val="0"/>
        </w:rPr>
      </w:pPr>
      <w:r>
        <w:rPr>
          <w:snapToGrid w:val="0"/>
        </w:rPr>
        <w:tab/>
        <w:t>(1)</w:t>
      </w:r>
      <w:r>
        <w:rPr>
          <w:snapToGrid w:val="0"/>
        </w:rPr>
        <w:tab/>
      </w:r>
      <w:r>
        <w:t>An</w:t>
      </w:r>
      <w:r>
        <w:rPr>
          <w:snapToGrid w:val="0"/>
        </w:rPr>
        <w:t xml:space="preserve">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r>
      <w:r>
        <w:t>An</w:t>
      </w:r>
      <w:r>
        <w:rPr>
          <w:snapToGrid w:val="0"/>
        </w:rPr>
        <w:t xml:space="preserve">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Subsection"/>
      </w:pPr>
      <w:r>
        <w:tab/>
        <w:t>(3)</w:t>
      </w:r>
      <w:r>
        <w:tab/>
        <w:t>For the purposes of subsection (1) or (2), it does not matter whether the organisation is incorporated or not.</w:t>
      </w:r>
    </w:p>
    <w:p>
      <w:pPr>
        <w:pStyle w:val="Footnotesection"/>
      </w:pPr>
      <w:r>
        <w:tab/>
        <w:t>[Section 54 inserted: No. 94 of 1984 s. 34; amended: No. 39 of 2018 s. 31; No. 43 of 2024 s. 52.]</w:t>
      </w:r>
    </w:p>
    <w:p>
      <w:pPr>
        <w:pStyle w:val="Heading5"/>
        <w:rPr>
          <w:snapToGrid w:val="0"/>
        </w:rPr>
      </w:pPr>
      <w:bookmarkStart w:id="359" w:name="_Toc188451240"/>
      <w:r>
        <w:rPr>
          <w:rStyle w:val="CharSectno"/>
        </w:rPr>
        <w:t>55</w:t>
      </w:r>
      <w:r>
        <w:rPr>
          <w:snapToGrid w:val="0"/>
        </w:rPr>
        <w:t>.</w:t>
      </w:r>
      <w:r>
        <w:rPr>
          <w:snapToGrid w:val="0"/>
        </w:rPr>
        <w:tab/>
        <w:t>Applications for registration under s. 53 or 54</w:t>
      </w:r>
      <w:bookmarkEnd w:id="359"/>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lastRenderedPageBreak/>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w:t>
      </w:r>
      <w:r>
        <w:rPr>
          <w:snapToGrid w:val="0"/>
        </w:rPr>
        <w:lastRenderedPageBreak/>
        <w:t>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360" w:name="_Toc188451241"/>
      <w:r>
        <w:rPr>
          <w:rStyle w:val="CharSectno"/>
        </w:rPr>
        <w:t>56</w:t>
      </w:r>
      <w:r>
        <w:rPr>
          <w:snapToGrid w:val="0"/>
        </w:rPr>
        <w:t>.</w:t>
      </w:r>
      <w:r>
        <w:rPr>
          <w:snapToGrid w:val="0"/>
        </w:rPr>
        <w:tab/>
        <w:t>Rules of organisations to provide for secret ballots etc. at elections</w:t>
      </w:r>
      <w:bookmarkEnd w:id="360"/>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lastRenderedPageBreak/>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lastRenderedPageBreak/>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361" w:name="_Toc188451242"/>
      <w:r>
        <w:rPr>
          <w:rStyle w:val="CharSectno"/>
        </w:rPr>
        <w:t>56A</w:t>
      </w:r>
      <w:r>
        <w:rPr>
          <w:snapToGrid w:val="0"/>
        </w:rPr>
        <w:t>.</w:t>
      </w:r>
      <w:r>
        <w:rPr>
          <w:snapToGrid w:val="0"/>
        </w:rPr>
        <w:tab/>
        <w:t>Casual vacancies, rules as to filling</w:t>
      </w:r>
      <w:bookmarkEnd w:id="361"/>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 xml:space="preserve">Where a vacancy in an office is filled in a manner provided in rules made under subsection (2), the person so filling the vacancy is taken for the purposes of this Act (other than this section) and the provisions of the rules of the organisation (other </w:t>
      </w:r>
      <w:r>
        <w:rPr>
          <w:snapToGrid w:val="0"/>
        </w:rPr>
        <w:lastRenderedPageBreak/>
        <w:t>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362" w:name="_Toc188451243"/>
      <w:r>
        <w:rPr>
          <w:rStyle w:val="CharSectno"/>
        </w:rPr>
        <w:t>57</w:t>
      </w:r>
      <w:r>
        <w:rPr>
          <w:snapToGrid w:val="0"/>
        </w:rPr>
        <w:t>.</w:t>
      </w:r>
      <w:r>
        <w:rPr>
          <w:snapToGrid w:val="0"/>
        </w:rPr>
        <w:tab/>
        <w:t>Elections by direct voting system to be by secret postal ballot</w:t>
      </w:r>
      <w:bookmarkEnd w:id="362"/>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363" w:name="_Toc188451244"/>
      <w:r>
        <w:rPr>
          <w:rStyle w:val="CharSectno"/>
        </w:rPr>
        <w:lastRenderedPageBreak/>
        <w:t>58</w:t>
      </w:r>
      <w:r>
        <w:rPr>
          <w:snapToGrid w:val="0"/>
        </w:rPr>
        <w:t>.</w:t>
      </w:r>
      <w:r>
        <w:rPr>
          <w:snapToGrid w:val="0"/>
        </w:rPr>
        <w:tab/>
        <w:t>Registering organisations, rules etc.</w:t>
      </w:r>
      <w:bookmarkEnd w:id="363"/>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364" w:name="_Toc188451245"/>
      <w:r>
        <w:rPr>
          <w:rStyle w:val="CharSectno"/>
        </w:rPr>
        <w:lastRenderedPageBreak/>
        <w:t>59</w:t>
      </w:r>
      <w:r>
        <w:rPr>
          <w:snapToGrid w:val="0"/>
        </w:rPr>
        <w:t>.</w:t>
      </w:r>
      <w:r>
        <w:rPr>
          <w:snapToGrid w:val="0"/>
        </w:rPr>
        <w:tab/>
        <w:t>Names of registered organisations, restrictions on</w:t>
      </w:r>
      <w:bookmarkEnd w:id="364"/>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365" w:name="_Toc188451246"/>
      <w:r>
        <w:rPr>
          <w:rStyle w:val="CharSectno"/>
        </w:rPr>
        <w:t>60</w:t>
      </w:r>
      <w:r>
        <w:rPr>
          <w:snapToGrid w:val="0"/>
        </w:rPr>
        <w:t>.</w:t>
      </w:r>
      <w:r>
        <w:rPr>
          <w:snapToGrid w:val="0"/>
        </w:rPr>
        <w:tab/>
        <w:t>Organisation becomes incorporated on registration</w:t>
      </w:r>
      <w:bookmarkEnd w:id="365"/>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lastRenderedPageBreak/>
        <w:tab/>
        <w:t>[Section 60 amended: No. 94 of 1984 s. 66; No. 119 of 1987 s. 16; No. 39 of 2018 s. 35; No. 30 of 2021 s. 76(8).]</w:t>
      </w:r>
    </w:p>
    <w:p>
      <w:pPr>
        <w:pStyle w:val="Heading5"/>
        <w:spacing w:before="240"/>
        <w:rPr>
          <w:snapToGrid w:val="0"/>
        </w:rPr>
      </w:pPr>
      <w:bookmarkStart w:id="366" w:name="_Toc188451247"/>
      <w:r>
        <w:rPr>
          <w:rStyle w:val="CharSectno"/>
        </w:rPr>
        <w:t>61</w:t>
      </w:r>
      <w:r>
        <w:rPr>
          <w:snapToGrid w:val="0"/>
        </w:rPr>
        <w:t>.</w:t>
      </w:r>
      <w:r>
        <w:rPr>
          <w:snapToGrid w:val="0"/>
        </w:rPr>
        <w:tab/>
        <w:t>Effect of registration</w:t>
      </w:r>
      <w:bookmarkEnd w:id="366"/>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367" w:name="_Toc188451248"/>
      <w:r>
        <w:rPr>
          <w:rStyle w:val="CharSectno"/>
        </w:rPr>
        <w:t>62</w:t>
      </w:r>
      <w:r>
        <w:rPr>
          <w:snapToGrid w:val="0"/>
        </w:rPr>
        <w:t>.</w:t>
      </w:r>
      <w:r>
        <w:rPr>
          <w:snapToGrid w:val="0"/>
        </w:rPr>
        <w:tab/>
        <w:t>Altering registered rules</w:t>
      </w:r>
      <w:bookmarkEnd w:id="367"/>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lastRenderedPageBreak/>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368" w:name="_Toc188451249"/>
      <w:r>
        <w:rPr>
          <w:rStyle w:val="CharSectno"/>
        </w:rPr>
        <w:t>63</w:t>
      </w:r>
      <w:r>
        <w:rPr>
          <w:snapToGrid w:val="0"/>
        </w:rPr>
        <w:t>.</w:t>
      </w:r>
      <w:r>
        <w:rPr>
          <w:snapToGrid w:val="0"/>
        </w:rPr>
        <w:tab/>
        <w:t>Records, organisations’ duties as to etc.</w:t>
      </w:r>
      <w:bookmarkEnd w:id="368"/>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w:t>
      </w:r>
      <w:r>
        <w:rPr>
          <w:snapToGrid w:val="0"/>
        </w:rPr>
        <w:lastRenderedPageBreak/>
        <w:t xml:space="preserve">by the Secretary or other prescribed officer of the organisation 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369" w:name="_Toc188451250"/>
      <w:r>
        <w:rPr>
          <w:rStyle w:val="CharSectno"/>
        </w:rPr>
        <w:t>64</w:t>
      </w:r>
      <w:r>
        <w:rPr>
          <w:snapToGrid w:val="0"/>
        </w:rPr>
        <w:t>.</w:t>
      </w:r>
      <w:r>
        <w:rPr>
          <w:snapToGrid w:val="0"/>
        </w:rPr>
        <w:tab/>
        <w:t>Membership register, Registrar may direct rectification of etc.</w:t>
      </w:r>
      <w:bookmarkEnd w:id="369"/>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 xml:space="preserve">A certificate from the Registrar stating that a person specified in the certificate was at a time so specified a member or officer of </w:t>
      </w:r>
      <w:r>
        <w:rPr>
          <w:snapToGrid w:val="0"/>
        </w:rPr>
        <w:lastRenderedPageBreak/>
        <w:t>an organisation so specified is, in all courts and proceedings, evidence of the facts so stated.</w:t>
      </w:r>
    </w:p>
    <w:p>
      <w:pPr>
        <w:pStyle w:val="Footnotesection"/>
      </w:pPr>
      <w:r>
        <w:tab/>
        <w:t>[Section 64 amended: No. 94 of 1984 s. 65 and 66; No. 30 of 2021 s. 76(2), 77(10) and 78(7).]</w:t>
      </w:r>
    </w:p>
    <w:p>
      <w:pPr>
        <w:pStyle w:val="Ednotesection"/>
      </w:pPr>
      <w:r>
        <w:t>[</w:t>
      </w:r>
      <w:r>
        <w:rPr>
          <w:b/>
          <w:bCs/>
        </w:rPr>
        <w:t>64A-64D</w:t>
      </w:r>
      <w:r>
        <w:t>.</w:t>
      </w:r>
      <w:r>
        <w:tab/>
        <w:t>Deleted: No. 43 of 2024 s. 53.]</w:t>
      </w:r>
    </w:p>
    <w:p>
      <w:pPr>
        <w:pStyle w:val="Heading5"/>
        <w:rPr>
          <w:snapToGrid w:val="0"/>
        </w:rPr>
      </w:pPr>
      <w:bookmarkStart w:id="370" w:name="_Toc188451251"/>
      <w:r>
        <w:rPr>
          <w:rStyle w:val="CharSectno"/>
        </w:rPr>
        <w:t>65</w:t>
      </w:r>
      <w:r>
        <w:rPr>
          <w:snapToGrid w:val="0"/>
        </w:rPr>
        <w:t>.</w:t>
      </w:r>
      <w:r>
        <w:rPr>
          <w:snapToGrid w:val="0"/>
        </w:rPr>
        <w:tab/>
        <w:t>Accounts of organisation, audit and filing of</w:t>
      </w:r>
      <w:bookmarkEnd w:id="370"/>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371" w:name="_Toc188451252"/>
      <w:r>
        <w:rPr>
          <w:rStyle w:val="CharSectno"/>
        </w:rPr>
        <w:lastRenderedPageBreak/>
        <w:t>65A</w:t>
      </w:r>
      <w:r>
        <w:rPr>
          <w:snapToGrid w:val="0"/>
        </w:rPr>
        <w:t>.</w:t>
      </w:r>
      <w:r>
        <w:rPr>
          <w:snapToGrid w:val="0"/>
        </w:rPr>
        <w:tab/>
        <w:t>Auditor’s powers</w:t>
      </w:r>
      <w:bookmarkEnd w:id="37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72" w:name="_Toc188451253"/>
      <w:r>
        <w:rPr>
          <w:rStyle w:val="CharSectno"/>
        </w:rPr>
        <w:t>66</w:t>
      </w:r>
      <w:r>
        <w:rPr>
          <w:snapToGrid w:val="0"/>
        </w:rPr>
        <w:t>.</w:t>
      </w:r>
      <w:r>
        <w:rPr>
          <w:snapToGrid w:val="0"/>
        </w:rPr>
        <w:tab/>
        <w:t>Power of Chief Commissioner to deal with rules of organisation</w:t>
      </w:r>
      <w:bookmarkEnd w:id="372"/>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keepNext/>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 xml:space="preserve">the Chief Commissioner </w:t>
      </w:r>
      <w:r>
        <w:lastRenderedPageBreak/>
        <w:t>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lastRenderedPageBreak/>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lastRenderedPageBreak/>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373" w:name="_Toc188451254"/>
      <w:r>
        <w:rPr>
          <w:rStyle w:val="CharSectno"/>
        </w:rPr>
        <w:t>67</w:t>
      </w:r>
      <w:r>
        <w:rPr>
          <w:snapToGrid w:val="0"/>
        </w:rPr>
        <w:t>.</w:t>
      </w:r>
      <w:r>
        <w:rPr>
          <w:snapToGrid w:val="0"/>
        </w:rPr>
        <w:tab/>
      </w:r>
      <w:r>
        <w:t>Registering associations</w:t>
      </w:r>
      <w:bookmarkEnd w:id="37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374" w:name="_Toc188451255"/>
      <w:r>
        <w:rPr>
          <w:rStyle w:val="CharSectno"/>
        </w:rPr>
        <w:t>68</w:t>
      </w:r>
      <w:r>
        <w:rPr>
          <w:snapToGrid w:val="0"/>
        </w:rPr>
        <w:t>.</w:t>
      </w:r>
      <w:r>
        <w:rPr>
          <w:snapToGrid w:val="0"/>
        </w:rPr>
        <w:tab/>
        <w:t>Declaration as to certain functions</w:t>
      </w:r>
      <w:bookmarkEnd w:id="374"/>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lastRenderedPageBreak/>
        <w:tab/>
        <w:t>[Section 68 amended: No. 94 of 1984 s. 66; No. 39 of 2018 s. 38.]</w:t>
      </w:r>
    </w:p>
    <w:p>
      <w:pPr>
        <w:pStyle w:val="Heading5"/>
        <w:keepLines w:val="0"/>
        <w:spacing w:before="240"/>
        <w:rPr>
          <w:snapToGrid w:val="0"/>
        </w:rPr>
      </w:pPr>
      <w:bookmarkStart w:id="375" w:name="_Toc188451256"/>
      <w:r>
        <w:rPr>
          <w:rStyle w:val="CharSectno"/>
        </w:rPr>
        <w:t>69</w:t>
      </w:r>
      <w:r>
        <w:rPr>
          <w:snapToGrid w:val="0"/>
        </w:rPr>
        <w:t>.</w:t>
      </w:r>
      <w:r>
        <w:rPr>
          <w:snapToGrid w:val="0"/>
        </w:rPr>
        <w:tab/>
        <w:t>Election, conduct of by Registrar or Electoral Commissioner</w:t>
      </w:r>
      <w:bookmarkEnd w:id="37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 xml:space="preserve">Notwithstanding anything contained in the rules of the organisation, the person conducting the election may take such </w:t>
      </w:r>
      <w:r>
        <w:rPr>
          <w:snapToGrid w:val="0"/>
        </w:rPr>
        <w:lastRenderedPageBreak/>
        <w:t>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lastRenderedPageBreak/>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 No. 30 of 2021 s. 76(2), 77(2), (5) and (10) and 78(7).]</w:t>
      </w:r>
    </w:p>
    <w:p>
      <w:pPr>
        <w:pStyle w:val="Heading5"/>
        <w:rPr>
          <w:snapToGrid w:val="0"/>
        </w:rPr>
      </w:pPr>
      <w:bookmarkStart w:id="376" w:name="_Toc188451257"/>
      <w:r>
        <w:rPr>
          <w:rStyle w:val="CharSectno"/>
        </w:rPr>
        <w:t>70</w:t>
      </w:r>
      <w:r>
        <w:rPr>
          <w:snapToGrid w:val="0"/>
        </w:rPr>
        <w:t>.</w:t>
      </w:r>
      <w:r>
        <w:rPr>
          <w:snapToGrid w:val="0"/>
        </w:rPr>
        <w:tab/>
        <w:t>Offences in relation to elections</w:t>
      </w:r>
      <w:bookmarkEnd w:id="376"/>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lastRenderedPageBreak/>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lastRenderedPageBreak/>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377" w:name="_Toc188451258"/>
      <w:r>
        <w:rPr>
          <w:rStyle w:val="CharSectno"/>
        </w:rPr>
        <w:t>71</w:t>
      </w:r>
      <w:r>
        <w:rPr>
          <w:snapToGrid w:val="0"/>
        </w:rPr>
        <w:t>.</w:t>
      </w:r>
      <w:r>
        <w:rPr>
          <w:snapToGrid w:val="0"/>
        </w:rPr>
        <w:tab/>
      </w:r>
      <w:r>
        <w:t>Rules of State and federal organisations as to membership and offices</w:t>
      </w:r>
      <w:bookmarkEnd w:id="377"/>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lastRenderedPageBreak/>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w:t>
      </w:r>
      <w:r>
        <w:lastRenderedPageBreak/>
        <w:t xml:space="preserve">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w:t>
      </w:r>
      <w:r>
        <w:rPr>
          <w:snapToGrid w:val="0"/>
        </w:rPr>
        <w:lastRenderedPageBreak/>
        <w:t xml:space="preserve">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 No. 30 of 2021 s. 36, 74, 76(2), (7) and (8), 78(6) and (7).]</w:t>
      </w:r>
    </w:p>
    <w:p>
      <w:pPr>
        <w:pStyle w:val="Heading5"/>
        <w:rPr>
          <w:snapToGrid w:val="0"/>
        </w:rPr>
      </w:pPr>
      <w:bookmarkStart w:id="378" w:name="_Toc188451259"/>
      <w:r>
        <w:rPr>
          <w:rStyle w:val="CharSectno"/>
        </w:rPr>
        <w:lastRenderedPageBreak/>
        <w:t>71A</w:t>
      </w:r>
      <w:r>
        <w:rPr>
          <w:snapToGrid w:val="0"/>
        </w:rPr>
        <w:t>.</w:t>
      </w:r>
      <w:r>
        <w:rPr>
          <w:snapToGrid w:val="0"/>
        </w:rPr>
        <w:tab/>
      </w:r>
      <w:r>
        <w:t>State organisation may adopt rules of federal organisation</w:t>
      </w:r>
      <w:bookmarkEnd w:id="378"/>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lastRenderedPageBreak/>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379" w:name="_Toc188451260"/>
      <w:r>
        <w:rPr>
          <w:rStyle w:val="CharSectno"/>
        </w:rPr>
        <w:t>72</w:t>
      </w:r>
      <w:r>
        <w:rPr>
          <w:snapToGrid w:val="0"/>
        </w:rPr>
        <w:t>.</w:t>
      </w:r>
      <w:r>
        <w:rPr>
          <w:snapToGrid w:val="0"/>
        </w:rPr>
        <w:tab/>
        <w:t>Amalgamated organisations, registration of</w:t>
      </w:r>
      <w:bookmarkEnd w:id="379"/>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lastRenderedPageBreak/>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380" w:name="_Toc188451261"/>
      <w:r>
        <w:rPr>
          <w:rStyle w:val="CharSectno"/>
        </w:rPr>
        <w:t>72A</w:t>
      </w:r>
      <w:r>
        <w:rPr>
          <w:snapToGrid w:val="0"/>
        </w:rPr>
        <w:t>.</w:t>
      </w:r>
      <w:r>
        <w:rPr>
          <w:snapToGrid w:val="0"/>
        </w:rPr>
        <w:tab/>
      </w:r>
      <w:r>
        <w:t>Orders as to the employees represented by employee organisation</w:t>
      </w:r>
      <w:bookmarkEnd w:id="38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Australian Medical Association (WA) Incorporated.</w:t>
      </w:r>
    </w:p>
    <w:p>
      <w:pPr>
        <w:pStyle w:val="Subsection"/>
        <w:keepNext/>
        <w:rPr>
          <w:snapToGrid w:val="0"/>
        </w:rPr>
      </w:pPr>
      <w:r>
        <w:rPr>
          <w:snapToGrid w:val="0"/>
        </w:rPr>
        <w:lastRenderedPageBreak/>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 xml:space="preserve">Commission in Court Session must refer the matter to the Chief </w:t>
      </w:r>
      <w:r>
        <w:lastRenderedPageBreak/>
        <w:t>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 No. 43 of 2024 s. 54.]</w:t>
      </w:r>
    </w:p>
    <w:p>
      <w:pPr>
        <w:pStyle w:val="Heading5"/>
        <w:rPr>
          <w:snapToGrid w:val="0"/>
        </w:rPr>
      </w:pPr>
      <w:bookmarkStart w:id="381" w:name="_Toc188451262"/>
      <w:r>
        <w:rPr>
          <w:rStyle w:val="CharSectno"/>
        </w:rPr>
        <w:t>72B</w:t>
      </w:r>
      <w:r>
        <w:rPr>
          <w:snapToGrid w:val="0"/>
        </w:rPr>
        <w:t>.</w:t>
      </w:r>
      <w:r>
        <w:rPr>
          <w:snapToGrid w:val="0"/>
        </w:rPr>
        <w:tab/>
        <w:t>AMA may represent interests of medical practitioners</w:t>
      </w:r>
      <w:bookmarkEnd w:id="38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Australian Medical Association (WA)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r>
      <w:r>
        <w:t>Part II Divisions 2, 2AA and 3</w:t>
      </w:r>
      <w:r>
        <w:rPr>
          <w:snapToGrid w:val="0"/>
        </w:rPr>
        <w:t xml:space="preserve"> and Parts III and VIA apply to the WA Branch of the AMA as if it were an organisation of employees.</w:t>
      </w:r>
    </w:p>
    <w:p>
      <w:pPr>
        <w:pStyle w:val="Subsection"/>
        <w:rPr>
          <w:snapToGrid w:val="0"/>
        </w:rPr>
      </w:pPr>
      <w:r>
        <w:rPr>
          <w:snapToGrid w:val="0"/>
        </w:rPr>
        <w:lastRenderedPageBreak/>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 No. 43 of 2024 s. 55.]</w:t>
      </w:r>
    </w:p>
    <w:p>
      <w:pPr>
        <w:pStyle w:val="Heading5"/>
        <w:pageBreakBefore/>
        <w:spacing w:before="0"/>
        <w:rPr>
          <w:snapToGrid w:val="0"/>
        </w:rPr>
      </w:pPr>
      <w:bookmarkStart w:id="382" w:name="_Toc188451263"/>
      <w:r>
        <w:rPr>
          <w:rStyle w:val="CharSectno"/>
        </w:rPr>
        <w:lastRenderedPageBreak/>
        <w:t>73</w:t>
      </w:r>
      <w:r>
        <w:rPr>
          <w:snapToGrid w:val="0"/>
        </w:rPr>
        <w:t>.</w:t>
      </w:r>
      <w:r>
        <w:rPr>
          <w:snapToGrid w:val="0"/>
        </w:rPr>
        <w:tab/>
        <w:t>Cancelling and suspending registration of organisation, procedure for</w:t>
      </w:r>
      <w:bookmarkEnd w:id="382"/>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w:t>
      </w:r>
      <w:r>
        <w:rPr>
          <w:snapToGrid w:val="0"/>
        </w:rPr>
        <w:lastRenderedPageBreak/>
        <w:t>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lastRenderedPageBreak/>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w:t>
      </w:r>
      <w:r>
        <w:rPr>
          <w:snapToGrid w:val="0"/>
        </w:rPr>
        <w:lastRenderedPageBreak/>
        <w:t xml:space="preserve">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lastRenderedPageBreak/>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Ednotesection"/>
      </w:pPr>
      <w:bookmarkStart w:id="383" w:name="_Toc187907370"/>
      <w:bookmarkStart w:id="384" w:name="_Toc188271624"/>
      <w:r>
        <w:t>[</w:t>
      </w:r>
      <w:r>
        <w:rPr>
          <w:b/>
          <w:bCs/>
        </w:rPr>
        <w:t>73A</w:t>
      </w:r>
      <w:r>
        <w:t>.</w:t>
      </w:r>
      <w:r>
        <w:tab/>
        <w:t>Deleted: No. 1 of 1995 s. 10.]</w:t>
      </w:r>
    </w:p>
    <w:p>
      <w:pPr>
        <w:pStyle w:val="Heading3"/>
        <w:spacing w:before="220"/>
        <w:rPr>
          <w:snapToGrid w:val="0"/>
        </w:rPr>
      </w:pPr>
      <w:bookmarkStart w:id="385" w:name="_Toc188451264"/>
      <w:r>
        <w:rPr>
          <w:rStyle w:val="CharDivNo"/>
        </w:rPr>
        <w:t>Division 5</w:t>
      </w:r>
      <w:r>
        <w:rPr>
          <w:snapToGrid w:val="0"/>
        </w:rPr>
        <w:t> — </w:t>
      </w:r>
      <w:r>
        <w:rPr>
          <w:rStyle w:val="CharDivText"/>
        </w:rPr>
        <w:t>Duties of officers of organisations</w:t>
      </w:r>
      <w:bookmarkEnd w:id="383"/>
      <w:bookmarkEnd w:id="384"/>
      <w:bookmarkEnd w:id="385"/>
    </w:p>
    <w:p>
      <w:pPr>
        <w:pStyle w:val="Footnoteheading"/>
        <w:keepNext/>
      </w:pPr>
      <w:r>
        <w:tab/>
        <w:t>[Heading inserted: No. 79 of 1995 s. 8(1); amended: No. 3 of 1997 s. 4; No. 20 of 2002 s. 192(1).]</w:t>
      </w:r>
    </w:p>
    <w:p>
      <w:pPr>
        <w:pStyle w:val="Heading5"/>
        <w:rPr>
          <w:snapToGrid w:val="0"/>
        </w:rPr>
      </w:pPr>
      <w:bookmarkStart w:id="386" w:name="_Toc188451265"/>
      <w:r>
        <w:rPr>
          <w:rStyle w:val="CharSectno"/>
        </w:rPr>
        <w:t>74</w:t>
      </w:r>
      <w:r>
        <w:rPr>
          <w:snapToGrid w:val="0"/>
        </w:rPr>
        <w:t>.</w:t>
      </w:r>
      <w:r>
        <w:rPr>
          <w:snapToGrid w:val="0"/>
        </w:rPr>
        <w:tab/>
        <w:t>Finance official’s duties</w:t>
      </w:r>
      <w:bookmarkEnd w:id="386"/>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lastRenderedPageBreak/>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 xml:space="preserve">A finance official of an organisation who has a material personal interest in a matter involving the organisation is to </w:t>
      </w:r>
      <w:r>
        <w:rPr>
          <w:snapToGrid w:val="0"/>
        </w:rPr>
        <w:lastRenderedPageBreak/>
        <w:t>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387" w:name="_Toc188451266"/>
      <w:r>
        <w:rPr>
          <w:rStyle w:val="CharSectno"/>
        </w:rPr>
        <w:t>75</w:t>
      </w:r>
      <w:r>
        <w:rPr>
          <w:snapToGrid w:val="0"/>
        </w:rPr>
        <w:t>.</w:t>
      </w:r>
      <w:r>
        <w:rPr>
          <w:snapToGrid w:val="0"/>
        </w:rPr>
        <w:tab/>
        <w:t>Auditor to report on compliance with s. 74 duties</w:t>
      </w:r>
      <w:bookmarkEnd w:id="387"/>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388" w:name="_Toc188451267"/>
      <w:r>
        <w:rPr>
          <w:rStyle w:val="CharSectno"/>
        </w:rPr>
        <w:t>77</w:t>
      </w:r>
      <w:r>
        <w:rPr>
          <w:snapToGrid w:val="0"/>
        </w:rPr>
        <w:t>.</w:t>
      </w:r>
      <w:r>
        <w:rPr>
          <w:snapToGrid w:val="0"/>
        </w:rPr>
        <w:tab/>
        <w:t>Duty under s. 74, enforcing</w:t>
      </w:r>
      <w:bookmarkEnd w:id="388"/>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lastRenderedPageBreak/>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 xml:space="preserve">Where the industrial magistrate’s court orders money to be paid under this section by way of a penalty, compensation, restitution, forfeiture or costs the industrial magistrate’s court must state in the order the name of the person liable to pay the </w:t>
      </w:r>
      <w:r>
        <w:rPr>
          <w:rFonts w:ascii="Times" w:hAnsi="Times"/>
          <w:snapToGrid w:val="0"/>
        </w:rPr>
        <w:lastRenderedPageBreak/>
        <w:t>money and the name of the person to whom the money is to be paid.</w:t>
      </w:r>
    </w:p>
    <w:p>
      <w:pPr>
        <w:pStyle w:val="Footnotesection"/>
        <w:spacing w:before="80"/>
        <w:ind w:left="890" w:hanging="890"/>
      </w:pPr>
      <w:r>
        <w:tab/>
        <w:t>[Section 77 inserted: No. 79 of 1995 s. 8(1); amended: No. 3 of 1997 s. 6; No. 30 of 2021 s. 76(2).]</w:t>
      </w:r>
    </w:p>
    <w:p>
      <w:pPr>
        <w:pStyle w:val="Heading5"/>
        <w:rPr>
          <w:snapToGrid w:val="0"/>
        </w:rPr>
      </w:pPr>
      <w:bookmarkStart w:id="389" w:name="_Toc188451268"/>
      <w:r>
        <w:rPr>
          <w:rStyle w:val="CharSectno"/>
        </w:rPr>
        <w:t>78</w:t>
      </w:r>
      <w:r>
        <w:rPr>
          <w:snapToGrid w:val="0"/>
        </w:rPr>
        <w:t>.</w:t>
      </w:r>
      <w:r>
        <w:rPr>
          <w:snapToGrid w:val="0"/>
        </w:rPr>
        <w:tab/>
        <w:t>Failure to comply with s. 77(2)(e) order</w:t>
      </w:r>
      <w:bookmarkEnd w:id="389"/>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390" w:name="_Toc188451269"/>
      <w:r>
        <w:rPr>
          <w:rStyle w:val="CharSectno"/>
        </w:rPr>
        <w:t>79</w:t>
      </w:r>
      <w:r>
        <w:rPr>
          <w:snapToGrid w:val="0"/>
        </w:rPr>
        <w:t>.</w:t>
      </w:r>
      <w:r>
        <w:rPr>
          <w:snapToGrid w:val="0"/>
        </w:rPr>
        <w:tab/>
        <w:t>Proceedings under s. 77, effect on or of other proceedings</w:t>
      </w:r>
      <w:bookmarkEnd w:id="390"/>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lastRenderedPageBreak/>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391" w:name="_Toc188451270"/>
      <w:r>
        <w:rPr>
          <w:rStyle w:val="CharSectno"/>
        </w:rPr>
        <w:t>80</w:t>
      </w:r>
      <w:r>
        <w:rPr>
          <w:snapToGrid w:val="0"/>
        </w:rPr>
        <w:t>.</w:t>
      </w:r>
      <w:r>
        <w:rPr>
          <w:snapToGrid w:val="0"/>
        </w:rPr>
        <w:tab/>
        <w:t>Disqualification from office for breach of s. 74 duty</w:t>
      </w:r>
      <w:bookmarkEnd w:id="391"/>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 xml:space="preserve">The industrial magistrate’s court may include in an order under subsection (1) any provision that it considers necessary to ensure the operation of the order and to provide for the election </w:t>
      </w:r>
      <w:r>
        <w:rPr>
          <w:snapToGrid w:val="0"/>
        </w:rPr>
        <w:lastRenderedPageBreak/>
        <w:t>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392" w:name="_Toc187907377"/>
      <w:bookmarkStart w:id="393" w:name="_Toc188271631"/>
      <w:bookmarkStart w:id="394" w:name="_Toc188451271"/>
      <w:r>
        <w:rPr>
          <w:rStyle w:val="CharPartNo"/>
        </w:rPr>
        <w:lastRenderedPageBreak/>
        <w:t>Part 2AA</w:t>
      </w:r>
      <w:r>
        <w:t> — </w:t>
      </w:r>
      <w:r>
        <w:rPr>
          <w:rStyle w:val="CharPartText"/>
        </w:rPr>
        <w:t>Employers declared not to be national system employers</w:t>
      </w:r>
      <w:bookmarkEnd w:id="392"/>
      <w:bookmarkEnd w:id="393"/>
      <w:bookmarkEnd w:id="394"/>
    </w:p>
    <w:p>
      <w:pPr>
        <w:pStyle w:val="Footnoteheading"/>
        <w:keepNext/>
        <w:keepLines/>
      </w:pPr>
      <w:r>
        <w:tab/>
        <w:t>[Heading inserted: No. 30 of 2021 s. 38.]</w:t>
      </w:r>
    </w:p>
    <w:p>
      <w:pPr>
        <w:pStyle w:val="Heading3"/>
      </w:pPr>
      <w:bookmarkStart w:id="395" w:name="_Toc187907378"/>
      <w:bookmarkStart w:id="396" w:name="_Toc188271632"/>
      <w:bookmarkStart w:id="397" w:name="_Toc188451272"/>
      <w:r>
        <w:rPr>
          <w:rStyle w:val="CharDivNo"/>
        </w:rPr>
        <w:t>Division 1</w:t>
      </w:r>
      <w:r>
        <w:t> — </w:t>
      </w:r>
      <w:r>
        <w:rPr>
          <w:rStyle w:val="CharDivText"/>
        </w:rPr>
        <w:t>Declarations</w:t>
      </w:r>
      <w:bookmarkEnd w:id="395"/>
      <w:bookmarkEnd w:id="396"/>
      <w:bookmarkEnd w:id="397"/>
    </w:p>
    <w:p>
      <w:pPr>
        <w:pStyle w:val="Footnoteheading"/>
        <w:keepNext/>
        <w:keepLines/>
      </w:pPr>
      <w:r>
        <w:tab/>
        <w:t>[Heading inserted: No. 30 of 2021 s. 38.]</w:t>
      </w:r>
    </w:p>
    <w:p>
      <w:pPr>
        <w:pStyle w:val="Heading5"/>
      </w:pPr>
      <w:bookmarkStart w:id="398" w:name="_Toc188451273"/>
      <w:r>
        <w:rPr>
          <w:rStyle w:val="CharSectno"/>
        </w:rPr>
        <w:t>80A</w:t>
      </w:r>
      <w:r>
        <w:t>.</w:t>
      </w:r>
      <w:r>
        <w:tab/>
        <w:t>Employers declared not to be national system employers</w:t>
      </w:r>
      <w:bookmarkEnd w:id="398"/>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r>
        <w:tab/>
        <w:t>[Section 80A inserted: No. 30 of 2021 s. 38.]</w:t>
      </w:r>
    </w:p>
    <w:p>
      <w:pPr>
        <w:pStyle w:val="Heading3"/>
      </w:pPr>
      <w:bookmarkStart w:id="399" w:name="_Toc187907380"/>
      <w:bookmarkStart w:id="400" w:name="_Toc188271634"/>
      <w:bookmarkStart w:id="401" w:name="_Toc188451274"/>
      <w:r>
        <w:rPr>
          <w:rStyle w:val="CharDivNo"/>
        </w:rPr>
        <w:t>Division 2</w:t>
      </w:r>
      <w:r>
        <w:t> — </w:t>
      </w:r>
      <w:r>
        <w:rPr>
          <w:rStyle w:val="CharDivText"/>
        </w:rPr>
        <w:t>Change from federal to State system</w:t>
      </w:r>
      <w:bookmarkEnd w:id="399"/>
      <w:bookmarkEnd w:id="400"/>
      <w:bookmarkEnd w:id="401"/>
    </w:p>
    <w:p>
      <w:pPr>
        <w:pStyle w:val="Footnoteheading"/>
        <w:keepNext/>
        <w:keepLines/>
      </w:pPr>
      <w:r>
        <w:tab/>
        <w:t>[Heading inserted: No. 30 of 2021 s. 38.]</w:t>
      </w:r>
    </w:p>
    <w:p>
      <w:pPr>
        <w:pStyle w:val="Heading5"/>
      </w:pPr>
      <w:bookmarkStart w:id="402" w:name="_Toc188451275"/>
      <w:r>
        <w:rPr>
          <w:rStyle w:val="CharSectno"/>
        </w:rPr>
        <w:t>80B</w:t>
      </w:r>
      <w:r>
        <w:t>.</w:t>
      </w:r>
      <w:r>
        <w:tab/>
        <w:t>Terms used</w:t>
      </w:r>
      <w:bookmarkEnd w:id="402"/>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lastRenderedPageBreak/>
        <w:tab/>
        <w:t>(b)</w:t>
      </w:r>
      <w:r>
        <w:tab/>
        <w:t>an award under the repealed Workplace Act continued in existence under the FW (Transitional) Act;</w:t>
      </w:r>
    </w:p>
    <w:p>
      <w:pPr>
        <w:pStyle w:val="Defstart"/>
      </w:pPr>
      <w:r>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r>
        <w:tab/>
        <w:t>[Section 80B inserted: No. 30 of 2021 s. 38.]</w:t>
      </w:r>
    </w:p>
    <w:p>
      <w:pPr>
        <w:pStyle w:val="Heading5"/>
      </w:pPr>
      <w:bookmarkStart w:id="403" w:name="_Toc188451276"/>
      <w:r>
        <w:rPr>
          <w:rStyle w:val="CharSectno"/>
        </w:rPr>
        <w:t>80BA</w:t>
      </w:r>
      <w:r>
        <w:t>.</w:t>
      </w:r>
      <w:r>
        <w:tab/>
        <w:t>Operation of awards, industrial agreements or orders</w:t>
      </w:r>
      <w:bookmarkEnd w:id="403"/>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lastRenderedPageBreak/>
        <w:tab/>
        <w:t>(c)</w:t>
      </w:r>
      <w:r>
        <w:tab/>
        <w:t>an organisation that is a party to the award or industrial agreement or that is bound by the order.</w:t>
      </w:r>
    </w:p>
    <w:p>
      <w:pPr>
        <w:pStyle w:val="Footnotesection"/>
      </w:pPr>
      <w:r>
        <w:tab/>
        <w:t>[Section 80BA inserted: No. 30 of 2021 s. 38.]</w:t>
      </w:r>
    </w:p>
    <w:p>
      <w:pPr>
        <w:pStyle w:val="Heading5"/>
      </w:pPr>
      <w:bookmarkStart w:id="404" w:name="_Toc188451277"/>
      <w:r>
        <w:rPr>
          <w:rStyle w:val="CharSectno"/>
        </w:rPr>
        <w:t>80BB</w:t>
      </w:r>
      <w:r>
        <w:t>.</w:t>
      </w:r>
      <w:r>
        <w:tab/>
        <w:t>New State instruments</w:t>
      </w:r>
      <w:bookmarkEnd w:id="404"/>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lastRenderedPageBreak/>
        <w:tab/>
        <w:t>(ii)</w:t>
      </w:r>
      <w:r>
        <w:tab/>
        <w:t>the day that, immediately before the relevant day, was the nominal expiry day of the old federal instrument.</w:t>
      </w:r>
    </w:p>
    <w:p>
      <w:pPr>
        <w:pStyle w:val="Subsection"/>
      </w:pPr>
      <w:r>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r>
        <w:tab/>
        <w:t>[Section 80BB inserted: No. 30 of 2021 s. 38.]</w:t>
      </w:r>
    </w:p>
    <w:p>
      <w:pPr>
        <w:pStyle w:val="Heading5"/>
      </w:pPr>
      <w:bookmarkStart w:id="405" w:name="_Toc188451278"/>
      <w:r>
        <w:rPr>
          <w:rStyle w:val="CharSectno"/>
        </w:rPr>
        <w:t>80BC</w:t>
      </w:r>
      <w:r>
        <w:t>.</w:t>
      </w:r>
      <w:r>
        <w:tab/>
        <w:t>Amendment of new State instruments</w:t>
      </w:r>
      <w:bookmarkEnd w:id="405"/>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r>
        <w:tab/>
        <w:t>[Section 80BC inserted: No. 30 of 2021 s. 38.]</w:t>
      </w:r>
    </w:p>
    <w:p>
      <w:pPr>
        <w:pStyle w:val="Heading5"/>
      </w:pPr>
      <w:bookmarkStart w:id="406" w:name="_Toc188451279"/>
      <w:r>
        <w:rPr>
          <w:rStyle w:val="CharSectno"/>
        </w:rPr>
        <w:t>80BD</w:t>
      </w:r>
      <w:r>
        <w:t>.</w:t>
      </w:r>
      <w:r>
        <w:tab/>
        <w:t>Ability to carry over matters</w:t>
      </w:r>
      <w:bookmarkEnd w:id="406"/>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lastRenderedPageBreak/>
        <w:tab/>
        <w:t>(c)</w:t>
      </w:r>
      <w:r>
        <w:tab/>
        <w:t>give effect in any other way to any other thing done under, or for, the national fair work legislation.</w:t>
      </w:r>
    </w:p>
    <w:p>
      <w:pPr>
        <w:pStyle w:val="Footnotesection"/>
      </w:pPr>
      <w:r>
        <w:tab/>
        <w:t>[Section 80BD inserted: No. 30 of 2021 s. 38.]</w:t>
      </w:r>
    </w:p>
    <w:p>
      <w:pPr>
        <w:pStyle w:val="Heading5"/>
      </w:pPr>
      <w:bookmarkStart w:id="407" w:name="_Toc188451280"/>
      <w:r>
        <w:rPr>
          <w:rStyle w:val="CharSectno"/>
        </w:rPr>
        <w:t>80BE</w:t>
      </w:r>
      <w:r>
        <w:t>.</w:t>
      </w:r>
      <w:r>
        <w:tab/>
        <w:t>References in new State instruments to federal industrial authority and General Manager</w:t>
      </w:r>
      <w:bookmarkEnd w:id="407"/>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r>
        <w:tab/>
        <w:t>[Section 80BE inserted: No. 30 of 2021 s. 38.]</w:t>
      </w:r>
    </w:p>
    <w:p>
      <w:pPr>
        <w:pStyle w:val="Heading5"/>
      </w:pPr>
      <w:bookmarkStart w:id="408" w:name="_Toc188451281"/>
      <w:r>
        <w:rPr>
          <w:rStyle w:val="CharSectno"/>
        </w:rPr>
        <w:t>80BF</w:t>
      </w:r>
      <w:r>
        <w:t>.</w:t>
      </w:r>
      <w:r>
        <w:tab/>
        <w:t>References in new State instruments to provisions of Commonwealth laws</w:t>
      </w:r>
      <w:bookmarkEnd w:id="408"/>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r>
        <w:lastRenderedPageBreak/>
        <w:tab/>
        <w:t>[Section 80BF inserted: No. 30 of 2021 s. 38.]</w:t>
      </w:r>
    </w:p>
    <w:p>
      <w:pPr>
        <w:pStyle w:val="Heading5"/>
      </w:pPr>
      <w:bookmarkStart w:id="409" w:name="_Toc188451282"/>
      <w:r>
        <w:rPr>
          <w:rStyle w:val="CharSectno"/>
        </w:rPr>
        <w:t>80BG</w:t>
      </w:r>
      <w:r>
        <w:t>.</w:t>
      </w:r>
      <w:r>
        <w:tab/>
        <w:t>References in new State instruments to federal organisations</w:t>
      </w:r>
      <w:bookmarkEnd w:id="409"/>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r>
        <w:tab/>
        <w:t>[Section 80BG inserted: No. 30 of 2021 s. 38.]</w:t>
      </w:r>
    </w:p>
    <w:p>
      <w:pPr>
        <w:pStyle w:val="Heading5"/>
      </w:pPr>
      <w:bookmarkStart w:id="410" w:name="_Toc188451283"/>
      <w:r>
        <w:rPr>
          <w:rStyle w:val="CharSectno"/>
        </w:rPr>
        <w:t>80BH</w:t>
      </w:r>
      <w:r>
        <w:t>.</w:t>
      </w:r>
      <w:r>
        <w:tab/>
        <w:t>Named parties to new State instruments</w:t>
      </w:r>
      <w:bookmarkEnd w:id="410"/>
    </w:p>
    <w:p>
      <w:pPr>
        <w:pStyle w:val="Subsection"/>
      </w:pPr>
      <w:r>
        <w:tab/>
        <w:t>(1)</w:t>
      </w:r>
      <w:r>
        <w:tab/>
        <w:t>An organisation of employees or an association of employees may apply to the Commission to make an order naming the organisation or association as a party to a new State instrument.</w:t>
      </w:r>
    </w:p>
    <w:p>
      <w:pPr>
        <w:pStyle w:val="Subsection"/>
      </w:pPr>
      <w:r>
        <w:tab/>
        <w:t>(2)</w:t>
      </w:r>
      <w:r>
        <w:tab/>
        <w:t>On the application, the Commission must grant the order if, in the opinion of the Commission, the instrument applies to an employee who is eligible to be a member of the organisation or association.</w:t>
      </w:r>
    </w:p>
    <w:p>
      <w:pPr>
        <w:pStyle w:val="Footnotesection"/>
      </w:pPr>
      <w:r>
        <w:tab/>
        <w:t>[Section 80BH inserted: No. 30 of 2021 s. 38; amended: No. 43 of 2024 s. 56.]</w:t>
      </w:r>
    </w:p>
    <w:p>
      <w:pPr>
        <w:pStyle w:val="Heading5"/>
      </w:pPr>
      <w:bookmarkStart w:id="411" w:name="_Toc188451284"/>
      <w:r>
        <w:rPr>
          <w:rStyle w:val="CharSectno"/>
        </w:rPr>
        <w:lastRenderedPageBreak/>
        <w:t>80BI</w:t>
      </w:r>
      <w:r>
        <w:t>.</w:t>
      </w:r>
      <w:r>
        <w:tab/>
        <w:t>Employment under old federal instrument</w:t>
      </w:r>
      <w:bookmarkEnd w:id="411"/>
    </w:p>
    <w:p>
      <w:pPr>
        <w:pStyle w:val="Subsection"/>
      </w:pPr>
      <w:r>
        <w:tab/>
        <w:t>(1)</w:t>
      </w:r>
      <w:r>
        <w:tab/>
        <w:t>Subsection (2) applies in relation to deciding the entitlements of a declared employee under a new State instrument.</w:t>
      </w:r>
    </w:p>
    <w:p>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r>
        <w:tab/>
        <w:t>[Section 80BI inserted: No. 30 of 2021 s. 38.]</w:t>
      </w:r>
    </w:p>
    <w:p>
      <w:pPr>
        <w:pStyle w:val="Heading5"/>
      </w:pPr>
      <w:bookmarkStart w:id="412" w:name="_Toc188451285"/>
      <w:r>
        <w:rPr>
          <w:rStyle w:val="CharSectno"/>
        </w:rPr>
        <w:t>80BJ</w:t>
      </w:r>
      <w:r>
        <w:t>.</w:t>
      </w:r>
      <w:r>
        <w:tab/>
        <w:t>Leave accrued immediately before relevant day</w:t>
      </w:r>
      <w:bookmarkEnd w:id="412"/>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r>
        <w:tab/>
        <w:t>[Section 80BJ inserted: No. 30 of 2021 s. 38.]</w:t>
      </w:r>
    </w:p>
    <w:p>
      <w:pPr>
        <w:pStyle w:val="Heading5"/>
      </w:pPr>
      <w:bookmarkStart w:id="413" w:name="_Toc188451286"/>
      <w:r>
        <w:rPr>
          <w:rStyle w:val="CharSectno"/>
        </w:rPr>
        <w:t>80BK</w:t>
      </w:r>
      <w:r>
        <w:t>.</w:t>
      </w:r>
      <w:r>
        <w:tab/>
        <w:t>Leave taken under old federal instrument</w:t>
      </w:r>
      <w:bookmarkEnd w:id="413"/>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 xml:space="preserve">A declared employee who has, before the relevant day, taken a step under the old federal instrument or the FW Act that the employee is required to take so the employee can, on and from </w:t>
      </w:r>
      <w:r>
        <w:lastRenderedPageBreak/>
        <w:t>the relevant day, take a period of leave under the old federal instrument or the FW Act, is taken to have taken the step under the new State instrument or a law of this State.</w:t>
      </w:r>
    </w:p>
    <w:p>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Ednotepart"/>
        <w:tabs>
          <w:tab w:val="left" w:pos="1134"/>
        </w:tabs>
      </w:pPr>
      <w:bookmarkStart w:id="414" w:name="_Toc187907393"/>
      <w:r>
        <w:t>[Part IIA:</w:t>
      </w:r>
      <w:r>
        <w:tab/>
        <w:t>s. 80C-80S deleted: No. 43 of 2024 s. 57;</w:t>
      </w:r>
      <w:r>
        <w:br/>
      </w:r>
      <w:r>
        <w:tab/>
        <w:t>s. 80T deleted: No. 1 of 1995 s. 30;</w:t>
      </w:r>
      <w:r>
        <w:br/>
      </w:r>
      <w:r>
        <w:tab/>
        <w:t>s. 80U</w:t>
      </w:r>
      <w:r>
        <w:noBreakHyphen/>
        <w:t>80W deleted: No. 43 of 2024 s. 57;</w:t>
      </w:r>
      <w:r>
        <w:br/>
      </w:r>
      <w:r>
        <w:tab/>
        <w:t>s. 80X</w:t>
      </w:r>
      <w:r>
        <w:noBreakHyphen/>
        <w:t>80Z, 80ZA</w:t>
      </w:r>
      <w:r>
        <w:noBreakHyphen/>
        <w:t>80ZD: No. 1 of 1995 s. 31.]</w:t>
      </w:r>
    </w:p>
    <w:p>
      <w:pPr>
        <w:pStyle w:val="Heading2"/>
      </w:pPr>
      <w:bookmarkStart w:id="415" w:name="_Toc187907416"/>
      <w:bookmarkStart w:id="416" w:name="_Toc188271647"/>
      <w:bookmarkStart w:id="417" w:name="_Toc188451287"/>
      <w:bookmarkEnd w:id="414"/>
      <w:r>
        <w:rPr>
          <w:rStyle w:val="CharPartNo"/>
        </w:rPr>
        <w:lastRenderedPageBreak/>
        <w:t>Part IIB</w:t>
      </w:r>
      <w:r>
        <w:rPr>
          <w:rStyle w:val="CharDivNo"/>
        </w:rPr>
        <w:t> </w:t>
      </w:r>
      <w:r>
        <w:t>—</w:t>
      </w:r>
      <w:r>
        <w:rPr>
          <w:rStyle w:val="CharDivText"/>
        </w:rPr>
        <w:t> </w:t>
      </w:r>
      <w:r>
        <w:rPr>
          <w:rStyle w:val="CharPartText"/>
        </w:rPr>
        <w:t>Enquiries</w:t>
      </w:r>
      <w:bookmarkEnd w:id="415"/>
      <w:bookmarkEnd w:id="416"/>
      <w:bookmarkEnd w:id="417"/>
    </w:p>
    <w:p>
      <w:pPr>
        <w:pStyle w:val="Footnoteheading"/>
        <w:rPr>
          <w:snapToGrid w:val="0"/>
        </w:rPr>
      </w:pPr>
      <w:r>
        <w:rPr>
          <w:snapToGrid w:val="0"/>
        </w:rPr>
        <w:tab/>
        <w:t>[Heading inserted: No. 94 of 1984 s. 47.]</w:t>
      </w:r>
    </w:p>
    <w:p>
      <w:pPr>
        <w:pStyle w:val="Heading5"/>
        <w:rPr>
          <w:snapToGrid w:val="0"/>
        </w:rPr>
      </w:pPr>
      <w:bookmarkStart w:id="418" w:name="_Toc188451288"/>
      <w:r>
        <w:rPr>
          <w:rStyle w:val="CharSectno"/>
        </w:rPr>
        <w:t>80ZE</w:t>
      </w:r>
      <w:r>
        <w:rPr>
          <w:snapToGrid w:val="0"/>
        </w:rPr>
        <w:t>.</w:t>
      </w:r>
      <w:r>
        <w:rPr>
          <w:snapToGrid w:val="0"/>
        </w:rPr>
        <w:tab/>
        <w:t>Minister may refer matter to Commission for enquiry</w:t>
      </w:r>
      <w:bookmarkEnd w:id="418"/>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419" w:name="_Toc187907418"/>
      <w:bookmarkStart w:id="420" w:name="_Toc188271649"/>
      <w:bookmarkStart w:id="421" w:name="_Toc188451289"/>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419"/>
      <w:bookmarkEnd w:id="420"/>
      <w:bookmarkEnd w:id="421"/>
    </w:p>
    <w:p>
      <w:pPr>
        <w:pStyle w:val="Footnoteheading"/>
        <w:spacing w:before="100"/>
        <w:rPr>
          <w:snapToGrid w:val="0"/>
        </w:rPr>
      </w:pPr>
      <w:r>
        <w:rPr>
          <w:snapToGrid w:val="0"/>
        </w:rPr>
        <w:tab/>
        <w:t>[Heading inserted: No. 94 of 1984 s. 47.]</w:t>
      </w:r>
    </w:p>
    <w:p>
      <w:pPr>
        <w:pStyle w:val="Heading5"/>
      </w:pPr>
      <w:bookmarkStart w:id="422" w:name="_Toc188451290"/>
      <w:r>
        <w:rPr>
          <w:rStyle w:val="CharSectno"/>
        </w:rPr>
        <w:t>80ZF</w:t>
      </w:r>
      <w:r>
        <w:t>.</w:t>
      </w:r>
      <w:r>
        <w:tab/>
      </w:r>
      <w:r>
        <w:rPr>
          <w:bCs/>
        </w:rPr>
        <w:t>Term used: FW Commission</w:t>
      </w:r>
      <w:bookmarkEnd w:id="422"/>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423" w:name="_Toc188451291"/>
      <w:r>
        <w:rPr>
          <w:rStyle w:val="CharSectno"/>
        </w:rPr>
        <w:t>80ZG</w:t>
      </w:r>
      <w:r>
        <w:rPr>
          <w:snapToGrid w:val="0"/>
        </w:rPr>
        <w:t>.</w:t>
      </w:r>
      <w:r>
        <w:rPr>
          <w:snapToGrid w:val="0"/>
        </w:rPr>
        <w:tab/>
      </w:r>
      <w:r>
        <w:rPr>
          <w:bCs/>
        </w:rPr>
        <w:t>Joint proceedings of Commission and FW Commission</w:t>
      </w:r>
      <w:bookmarkEnd w:id="423"/>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lastRenderedPageBreak/>
        <w:tab/>
        <w:t>[Section 80ZG inserted: No. 94 of 1984 s. 47; amended: No. 53 of 2011 s. 39; No. 39 of 2018 s. 53; No. 30 of 2021 s. 75(1) and 76(3).]</w:t>
      </w:r>
    </w:p>
    <w:p>
      <w:pPr>
        <w:pStyle w:val="Heading5"/>
        <w:spacing w:before="120"/>
        <w:rPr>
          <w:snapToGrid w:val="0"/>
        </w:rPr>
      </w:pPr>
      <w:bookmarkStart w:id="424" w:name="_Toc188451292"/>
      <w:r>
        <w:rPr>
          <w:rStyle w:val="CharSectno"/>
        </w:rPr>
        <w:t>80ZH</w:t>
      </w:r>
      <w:r>
        <w:rPr>
          <w:snapToGrid w:val="0"/>
        </w:rPr>
        <w:t>.</w:t>
      </w:r>
      <w:r>
        <w:rPr>
          <w:snapToGrid w:val="0"/>
        </w:rPr>
        <w:tab/>
      </w:r>
      <w:r>
        <w:rPr>
          <w:bCs/>
        </w:rPr>
        <w:t>Referring matters to FW Commission for determination under this Act</w:t>
      </w:r>
      <w:bookmarkEnd w:id="424"/>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54; No. 30 of 2021 s. 75(1), 76(3) and (7), 77(13), 78(3) and (6); No. 43 of 2024 s. 58.]</w:t>
      </w:r>
    </w:p>
    <w:p>
      <w:pPr>
        <w:pStyle w:val="Heading5"/>
        <w:pageBreakBefore/>
        <w:spacing w:before="0"/>
        <w:rPr>
          <w:snapToGrid w:val="0"/>
        </w:rPr>
      </w:pPr>
      <w:bookmarkStart w:id="425" w:name="_Toc188451293"/>
      <w:r>
        <w:rPr>
          <w:rStyle w:val="CharSectno"/>
        </w:rPr>
        <w:lastRenderedPageBreak/>
        <w:t>80ZI</w:t>
      </w:r>
      <w:r>
        <w:rPr>
          <w:snapToGrid w:val="0"/>
        </w:rPr>
        <w:t>.</w:t>
      </w:r>
      <w:r>
        <w:rPr>
          <w:snapToGrid w:val="0"/>
        </w:rPr>
        <w:tab/>
        <w:t>Conferences with other industrial authorities</w:t>
      </w:r>
      <w:bookmarkEnd w:id="425"/>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426" w:name="_Toc188451294"/>
      <w:r>
        <w:rPr>
          <w:rStyle w:val="CharSectno"/>
        </w:rPr>
        <w:t>80ZJ</w:t>
      </w:r>
      <w:r>
        <w:rPr>
          <w:snapToGrid w:val="0"/>
        </w:rPr>
        <w:t>.</w:t>
      </w:r>
      <w:r>
        <w:rPr>
          <w:snapToGrid w:val="0"/>
        </w:rPr>
        <w:tab/>
      </w:r>
      <w:r>
        <w:rPr>
          <w:bCs/>
        </w:rPr>
        <w:t>Commission may exercise powers conferred by FW Act or prescribed enactments</w:t>
      </w:r>
      <w:bookmarkEnd w:id="426"/>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lastRenderedPageBreak/>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427" w:name="_Toc187907424"/>
      <w:bookmarkStart w:id="428" w:name="_Toc188271655"/>
      <w:bookmarkStart w:id="429" w:name="_Toc188451295"/>
      <w:r>
        <w:rPr>
          <w:rStyle w:val="CharPartNo"/>
        </w:rPr>
        <w:lastRenderedPageBreak/>
        <w:t>Part III</w:t>
      </w:r>
      <w:r>
        <w:t> — </w:t>
      </w:r>
      <w:r>
        <w:rPr>
          <w:rStyle w:val="CharPartText"/>
        </w:rPr>
        <w:t>Enforcement of Act, awards, industrial agreements and orders</w:t>
      </w:r>
      <w:bookmarkEnd w:id="427"/>
      <w:bookmarkEnd w:id="428"/>
      <w:bookmarkEnd w:id="429"/>
    </w:p>
    <w:p>
      <w:pPr>
        <w:pStyle w:val="Footnoteheading"/>
        <w:rPr>
          <w:snapToGrid w:val="0"/>
        </w:rPr>
      </w:pPr>
      <w:r>
        <w:rPr>
          <w:snapToGrid w:val="0"/>
        </w:rPr>
        <w:tab/>
        <w:t>[Heading amended: No. 94 of 1984 s. 48.]</w:t>
      </w:r>
    </w:p>
    <w:p>
      <w:pPr>
        <w:pStyle w:val="Heading3"/>
      </w:pPr>
      <w:bookmarkStart w:id="430" w:name="_Toc188451296"/>
      <w:r>
        <w:rPr>
          <w:rStyle w:val="CharDivNo"/>
        </w:rPr>
        <w:t>Division 1</w:t>
      </w:r>
      <w:r>
        <w:t> — </w:t>
      </w:r>
      <w:r>
        <w:rPr>
          <w:rStyle w:val="CharDivText"/>
        </w:rPr>
        <w:t>Industrial magistrate’s court</w:t>
      </w:r>
      <w:bookmarkEnd w:id="430"/>
    </w:p>
    <w:p>
      <w:pPr>
        <w:pStyle w:val="Footnoteheading"/>
        <w:keepNext/>
        <w:keepLines/>
      </w:pPr>
      <w:r>
        <w:tab/>
        <w:t>[Heading inserted: No. 30 of 2021 s. 42.]</w:t>
      </w:r>
    </w:p>
    <w:p>
      <w:pPr>
        <w:pStyle w:val="Heading5"/>
        <w:rPr>
          <w:snapToGrid w:val="0"/>
        </w:rPr>
      </w:pPr>
      <w:bookmarkStart w:id="431" w:name="_Toc188451297"/>
      <w:r>
        <w:rPr>
          <w:rStyle w:val="CharSectno"/>
        </w:rPr>
        <w:t>81</w:t>
      </w:r>
      <w:r>
        <w:rPr>
          <w:snapToGrid w:val="0"/>
        </w:rPr>
        <w:t>.</w:t>
      </w:r>
      <w:r>
        <w:rPr>
          <w:snapToGrid w:val="0"/>
        </w:rPr>
        <w:tab/>
        <w:t>Industrial magistrate’s courts established</w:t>
      </w:r>
      <w:bookmarkEnd w:id="431"/>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pPr>
      <w:bookmarkStart w:id="432" w:name="_Toc182398509"/>
      <w:bookmarkStart w:id="433" w:name="_Toc188451298"/>
      <w:r>
        <w:rPr>
          <w:rStyle w:val="CharSectno"/>
        </w:rPr>
        <w:t>81A</w:t>
      </w:r>
      <w:r>
        <w:t>.</w:t>
      </w:r>
      <w:r>
        <w:tab/>
        <w:t>Jurisdiction of industrial magistrate’s court</w:t>
      </w:r>
      <w:bookmarkEnd w:id="432"/>
      <w:bookmarkEnd w:id="433"/>
    </w:p>
    <w:p>
      <w:pPr>
        <w:pStyle w:val="Subsection"/>
      </w:pPr>
      <w:r>
        <w:tab/>
      </w:r>
      <w:r>
        <w:tab/>
        <w:t xml:space="preserve">An industrial magistrate’s court has the jurisdiction conferred on it under this Act and the following laws — </w:t>
      </w:r>
    </w:p>
    <w:p>
      <w:pPr>
        <w:pStyle w:val="Indenta"/>
      </w:pPr>
      <w:r>
        <w:tab/>
        <w:t>(a)</w:t>
      </w:r>
      <w:r>
        <w:tab/>
        <w:t xml:space="preserve">the </w:t>
      </w:r>
      <w:r>
        <w:rPr>
          <w:i/>
          <w:iCs/>
        </w:rPr>
        <w:t>Construction Industry Portable Paid Long Service Leave Act 1985</w:t>
      </w:r>
      <w:r>
        <w:t xml:space="preserve"> sections 53 and 54A;</w:t>
      </w:r>
    </w:p>
    <w:p>
      <w:pPr>
        <w:pStyle w:val="Indenta"/>
      </w:pPr>
      <w:r>
        <w:tab/>
        <w:t>(b)</w:t>
      </w:r>
      <w:r>
        <w:tab/>
        <w:t>the LSL Act Part IV;</w:t>
      </w:r>
    </w:p>
    <w:p>
      <w:pPr>
        <w:pStyle w:val="Indenta"/>
      </w:pPr>
      <w:r>
        <w:tab/>
        <w:t>(c)</w:t>
      </w:r>
      <w:r>
        <w:tab/>
        <w:t xml:space="preserve">the </w:t>
      </w:r>
      <w:r>
        <w:rPr>
          <w:i/>
          <w:iCs/>
        </w:rPr>
        <w:t>Children and Community Services Act 2004</w:t>
      </w:r>
      <w:r>
        <w:t xml:space="preserve"> section 196(2).</w:t>
      </w:r>
    </w:p>
    <w:p>
      <w:pPr>
        <w:pStyle w:val="Footnotesection"/>
      </w:pPr>
      <w:r>
        <w:tab/>
        <w:t>[Section 81A inserted: No. 43 of 2024 s. 59.]</w:t>
      </w:r>
    </w:p>
    <w:p>
      <w:pPr>
        <w:pStyle w:val="Heading5"/>
      </w:pPr>
      <w:bookmarkStart w:id="434" w:name="_Toc182398510"/>
      <w:bookmarkStart w:id="435" w:name="_Toc188451299"/>
      <w:r>
        <w:rPr>
          <w:rStyle w:val="CharSectno"/>
        </w:rPr>
        <w:lastRenderedPageBreak/>
        <w:t>81AA</w:t>
      </w:r>
      <w:r>
        <w:t>.</w:t>
      </w:r>
      <w:r>
        <w:tab/>
        <w:t>Terms used</w:t>
      </w:r>
      <w:bookmarkEnd w:id="434"/>
      <w:bookmarkEnd w:id="435"/>
    </w:p>
    <w:p>
      <w:pPr>
        <w:pStyle w:val="Subsection"/>
      </w:pPr>
      <w:r>
        <w:tab/>
      </w:r>
      <w:r>
        <w:tab/>
        <w:t xml:space="preserve">In this Division — </w:t>
      </w:r>
    </w:p>
    <w:p>
      <w:pPr>
        <w:pStyle w:val="Defstart"/>
      </w:pPr>
      <w:r>
        <w:tab/>
      </w:r>
      <w:r>
        <w:rPr>
          <w:rStyle w:val="CharDefText"/>
        </w:rPr>
        <w:t>general jurisdiction</w:t>
      </w:r>
      <w:r>
        <w:t xml:space="preserve"> means the jurisdiction of an industrial magistrate’s court under section 81A other than the prosecution jurisdiction;</w:t>
      </w:r>
    </w:p>
    <w:p>
      <w:pPr>
        <w:pStyle w:val="Defstart"/>
      </w:pPr>
      <w:r>
        <w:tab/>
      </w:r>
      <w:r>
        <w:rPr>
          <w:rStyle w:val="CharDefText"/>
        </w:rPr>
        <w:t>prosecution jurisdiction</w:t>
      </w:r>
      <w:r>
        <w:t xml:space="preserve"> means the jurisdiction of an industrial magistrate’s court under — </w:t>
      </w:r>
    </w:p>
    <w:p>
      <w:pPr>
        <w:pStyle w:val="Defpara"/>
      </w:pPr>
      <w:r>
        <w:tab/>
        <w:t>(a)</w:t>
      </w:r>
      <w:r>
        <w:tab/>
        <w:t>section 83D; or</w:t>
      </w:r>
    </w:p>
    <w:p>
      <w:pPr>
        <w:pStyle w:val="Defpara"/>
      </w:pPr>
      <w:r>
        <w:tab/>
        <w:t>(b)</w:t>
      </w:r>
      <w:r>
        <w:tab/>
        <w:t xml:space="preserve">the </w:t>
      </w:r>
      <w:r>
        <w:rPr>
          <w:i/>
          <w:iCs/>
        </w:rPr>
        <w:t>Children and Community Services Act 2004</w:t>
      </w:r>
      <w:r>
        <w:t xml:space="preserve"> section 196(2).</w:t>
      </w:r>
    </w:p>
    <w:p>
      <w:pPr>
        <w:pStyle w:val="Footnotesection"/>
      </w:pPr>
      <w:r>
        <w:tab/>
        <w:t>[Section 81AA inserted: No. 43 of 2024 s. 59.]</w:t>
      </w:r>
    </w:p>
    <w:p>
      <w:pPr>
        <w:pStyle w:val="Heading5"/>
        <w:rPr>
          <w:snapToGrid w:val="0"/>
        </w:rPr>
      </w:pPr>
      <w:bookmarkStart w:id="436" w:name="_Toc188451300"/>
      <w:r>
        <w:rPr>
          <w:rStyle w:val="CharSectno"/>
        </w:rPr>
        <w:t>81B</w:t>
      </w:r>
      <w:r>
        <w:rPr>
          <w:snapToGrid w:val="0"/>
        </w:rPr>
        <w:t>.</w:t>
      </w:r>
      <w:r>
        <w:rPr>
          <w:snapToGrid w:val="0"/>
        </w:rPr>
        <w:tab/>
        <w:t>Industrial magistrate’s courts, constitution of</w:t>
      </w:r>
      <w:bookmarkEnd w:id="436"/>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 xml:space="preserve">or a </w:t>
      </w:r>
      <w:r>
        <w:lastRenderedPageBreak/>
        <w:t>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437" w:name="_Toc188451301"/>
      <w:r>
        <w:rPr>
          <w:rStyle w:val="CharSectno"/>
        </w:rPr>
        <w:t>81C</w:t>
      </w:r>
      <w:r>
        <w:rPr>
          <w:snapToGrid w:val="0"/>
        </w:rPr>
        <w:t>.</w:t>
      </w:r>
      <w:r>
        <w:rPr>
          <w:snapToGrid w:val="0"/>
        </w:rPr>
        <w:tab/>
        <w:t>Sittings of industrial magistrate’s courts</w:t>
      </w:r>
      <w:bookmarkEnd w:id="43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lastRenderedPageBreak/>
        <w:tab/>
        <w:t>[Section 81C inserted: No. 44 of 1991 s. 6; amended: No. 30 of 2021 s. 76(2).]</w:t>
      </w:r>
    </w:p>
    <w:p>
      <w:pPr>
        <w:pStyle w:val="Heading5"/>
        <w:rPr>
          <w:snapToGrid w:val="0"/>
        </w:rPr>
      </w:pPr>
      <w:bookmarkStart w:id="438" w:name="_Toc188451302"/>
      <w:r>
        <w:rPr>
          <w:rStyle w:val="CharSectno"/>
        </w:rPr>
        <w:t>81CA</w:t>
      </w:r>
      <w:r>
        <w:rPr>
          <w:snapToGrid w:val="0"/>
        </w:rPr>
        <w:t>.</w:t>
      </w:r>
      <w:r>
        <w:rPr>
          <w:snapToGrid w:val="0"/>
        </w:rPr>
        <w:tab/>
        <w:t>Procedure etc. of industrial magistrate’s courts</w:t>
      </w:r>
      <w:bookmarkEnd w:id="438"/>
    </w:p>
    <w:p>
      <w:pPr>
        <w:pStyle w:val="Ednotesubsection"/>
      </w:pPr>
      <w:r>
        <w:tab/>
        <w:t>[(1)-(4)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 No. 43 of 2024 s. 60.]</w:t>
      </w:r>
    </w:p>
    <w:p>
      <w:pPr>
        <w:pStyle w:val="Heading5"/>
      </w:pPr>
      <w:bookmarkStart w:id="439" w:name="_Toc182398513"/>
      <w:bookmarkStart w:id="440" w:name="_Toc188451303"/>
      <w:r>
        <w:rPr>
          <w:rStyle w:val="CharSectno"/>
        </w:rPr>
        <w:t>81CAA</w:t>
      </w:r>
      <w:r>
        <w:t>.</w:t>
      </w:r>
      <w:r>
        <w:tab/>
        <w:t>Onus of proving individual is or was not employee</w:t>
      </w:r>
      <w:bookmarkEnd w:id="439"/>
      <w:bookmarkEnd w:id="440"/>
    </w:p>
    <w:p>
      <w:pPr>
        <w:pStyle w:val="Subsection"/>
      </w:pPr>
      <w:r>
        <w:tab/>
      </w:r>
      <w:r>
        <w:tab/>
        <w:t>If, in proceedings before an industrial magistrate’s court, a party claims an individual who carries or carried out work for the party is or was not an employee of the party, it is for the party to prove the individual is or was not the party’s employee.</w:t>
      </w:r>
    </w:p>
    <w:p>
      <w:pPr>
        <w:pStyle w:val="Footnotesection"/>
      </w:pPr>
      <w:r>
        <w:tab/>
        <w:t>[Section 81CAA inserted: No. 43 of 2024 s. 61.]</w:t>
      </w:r>
    </w:p>
    <w:p>
      <w:pPr>
        <w:pStyle w:val="Heading5"/>
      </w:pPr>
      <w:bookmarkStart w:id="441" w:name="_Toc188451304"/>
      <w:r>
        <w:rPr>
          <w:rStyle w:val="CharSectno"/>
        </w:rPr>
        <w:lastRenderedPageBreak/>
        <w:t>81CB</w:t>
      </w:r>
      <w:r>
        <w:t>.</w:t>
      </w:r>
      <w:r>
        <w:tab/>
        <w:t>Industrial magistrate’s court judgments, enforcement of</w:t>
      </w:r>
      <w:bookmarkEnd w:id="44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 No. 43 of 2024 s. 62.]</w:t>
      </w:r>
    </w:p>
    <w:p>
      <w:pPr>
        <w:pStyle w:val="Heading5"/>
        <w:rPr>
          <w:snapToGrid w:val="0"/>
        </w:rPr>
      </w:pPr>
      <w:bookmarkStart w:id="442" w:name="_Toc188451305"/>
      <w:r>
        <w:rPr>
          <w:rStyle w:val="CharSectno"/>
        </w:rPr>
        <w:t>81D</w:t>
      </w:r>
      <w:r>
        <w:rPr>
          <w:snapToGrid w:val="0"/>
        </w:rPr>
        <w:t xml:space="preserve">. </w:t>
      </w:r>
      <w:r>
        <w:rPr>
          <w:snapToGrid w:val="0"/>
        </w:rPr>
        <w:tab/>
        <w:t>Clerks of industrial magistrate’s courts</w:t>
      </w:r>
      <w:bookmarkEnd w:id="442"/>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lastRenderedPageBreak/>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443" w:name="_Toc188451306"/>
      <w:r>
        <w:rPr>
          <w:rStyle w:val="CharSectno"/>
        </w:rPr>
        <w:t>81E</w:t>
      </w:r>
      <w:r>
        <w:t>.</w:t>
      </w:r>
      <w:r>
        <w:tab/>
        <w:t>Representation of parties in industrial magistrate’s court</w:t>
      </w:r>
      <w:bookmarkEnd w:id="443"/>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444" w:name="_Toc188451307"/>
      <w:r>
        <w:rPr>
          <w:rStyle w:val="CharSectno"/>
        </w:rPr>
        <w:t>81F</w:t>
      </w:r>
      <w:r>
        <w:t>.</w:t>
      </w:r>
      <w:r>
        <w:tab/>
        <w:t>Industrial magistrate’s court records, access to</w:t>
      </w:r>
      <w:bookmarkEnd w:id="444"/>
    </w:p>
    <w:p>
      <w:pPr>
        <w:pStyle w:val="Subsection"/>
      </w:pPr>
      <w:r>
        <w:tab/>
        <w:t>(1)</w:t>
      </w:r>
      <w:r>
        <w:tab/>
        <w:t xml:space="preserve">In respect of an industrial magistrate’s court’s records of proceedings under its prosecution jurisdiction,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lastRenderedPageBreak/>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 amended: No. 43 of 2024 s. 63.]</w:t>
      </w:r>
    </w:p>
    <w:p>
      <w:pPr>
        <w:pStyle w:val="Heading5"/>
      </w:pPr>
      <w:bookmarkStart w:id="445" w:name="_Toc188451308"/>
      <w:r>
        <w:rPr>
          <w:rStyle w:val="CharSectno"/>
        </w:rPr>
        <w:t>81G</w:t>
      </w:r>
      <w:r>
        <w:t>.</w:t>
      </w:r>
      <w:r>
        <w:tab/>
        <w:t>Industrial inspectors may assist industrial magistrate’s court</w:t>
      </w:r>
      <w:bookmarkEnd w:id="445"/>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proceedings that, in the opinion of the court, have broad or significant implications for the administration or operation of this Act, the LSL Act or the MCE Act; or</w:t>
      </w:r>
    </w:p>
    <w:p>
      <w:pPr>
        <w:pStyle w:val="Indenta"/>
      </w:pPr>
      <w:r>
        <w:lastRenderedPageBreak/>
        <w:tab/>
        <w:t>(b)</w:t>
      </w:r>
      <w:r>
        <w:tab/>
        <w:t>proceedings that involve special circumstances that satisfy the court that it would be in the public interest for the industrial inspector to assist the court; or</w:t>
      </w:r>
    </w:p>
    <w:p>
      <w:pPr>
        <w:pStyle w:val="Indenta"/>
      </w:pPr>
      <w:r>
        <w:tab/>
        <w:t>(c)</w:t>
      </w:r>
      <w:r>
        <w:tab/>
        <w:t>proceedings in which, in the opinion of the court, the orders sought or likely to be sought may, to a significant extent, affect the rights or entitlements of employees who are not parties to the proceedings.</w:t>
      </w:r>
    </w:p>
    <w:p>
      <w:pPr>
        <w:pStyle w:val="Footnotesection"/>
      </w:pPr>
      <w:r>
        <w:tab/>
        <w:t>[Section 81G inserted: No. 30 of 2021 s. 45; amended: No. 43 of 2024 s. 64.]</w:t>
      </w:r>
    </w:p>
    <w:p>
      <w:pPr>
        <w:pStyle w:val="Heading3"/>
      </w:pPr>
      <w:bookmarkStart w:id="446" w:name="_Toc187907437"/>
      <w:bookmarkStart w:id="447" w:name="_Toc188271669"/>
      <w:bookmarkStart w:id="448" w:name="_Toc188451309"/>
      <w:r>
        <w:rPr>
          <w:rStyle w:val="CharDivNo"/>
        </w:rPr>
        <w:t>Division 2</w:t>
      </w:r>
      <w:r>
        <w:t> — </w:t>
      </w:r>
      <w:r>
        <w:rPr>
          <w:rStyle w:val="CharDivText"/>
        </w:rPr>
        <w:t>Enforcement generally</w:t>
      </w:r>
      <w:bookmarkEnd w:id="446"/>
      <w:bookmarkEnd w:id="447"/>
      <w:bookmarkEnd w:id="448"/>
    </w:p>
    <w:p>
      <w:pPr>
        <w:pStyle w:val="Footnoteheading"/>
        <w:keepNext/>
        <w:keepLines/>
      </w:pPr>
      <w:r>
        <w:tab/>
        <w:t>[Heading inserted: No. 30 of 2021 s. 46.]</w:t>
      </w:r>
    </w:p>
    <w:p>
      <w:pPr>
        <w:pStyle w:val="Heading5"/>
        <w:rPr>
          <w:snapToGrid w:val="0"/>
        </w:rPr>
      </w:pPr>
      <w:bookmarkStart w:id="449" w:name="_Toc188451310"/>
      <w:r>
        <w:rPr>
          <w:rStyle w:val="CharSectno"/>
        </w:rPr>
        <w:t>82</w:t>
      </w:r>
      <w:r>
        <w:rPr>
          <w:snapToGrid w:val="0"/>
        </w:rPr>
        <w:t>.</w:t>
      </w:r>
      <w:r>
        <w:rPr>
          <w:snapToGrid w:val="0"/>
        </w:rPr>
        <w:tab/>
        <w:t>Jurisdiction of Full Bench</w:t>
      </w:r>
      <w:bookmarkEnd w:id="449"/>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450" w:name="_Toc188451311"/>
      <w:r>
        <w:rPr>
          <w:rStyle w:val="CharSectno"/>
        </w:rPr>
        <w:t>82A</w:t>
      </w:r>
      <w:r>
        <w:rPr>
          <w:snapToGrid w:val="0"/>
        </w:rPr>
        <w:t>.</w:t>
      </w:r>
      <w:r>
        <w:rPr>
          <w:snapToGrid w:val="0"/>
        </w:rPr>
        <w:tab/>
        <w:t>Time limit for certain applications</w:t>
      </w:r>
      <w:bookmarkEnd w:id="450"/>
    </w:p>
    <w:p>
      <w:pPr>
        <w:pStyle w:val="Subsection"/>
        <w:rPr>
          <w:snapToGrid w:val="0"/>
        </w:rPr>
      </w:pPr>
      <w:r>
        <w:rPr>
          <w:snapToGrid w:val="0"/>
        </w:rPr>
        <w:tab/>
      </w:r>
      <w:r>
        <w:rPr>
          <w:snapToGrid w:val="0"/>
        </w:rPr>
        <w:tab/>
        <w:t xml:space="preserve">An application under section 77, 83, 83B, 83E or 84A must be made within 6 years </w:t>
      </w:r>
      <w:r>
        <w:t>after the day on which the contravention or failure to comply is alleged to have taken place.</w:t>
      </w:r>
    </w:p>
    <w:p>
      <w:pPr>
        <w:pStyle w:val="Footnotesection"/>
      </w:pPr>
      <w:r>
        <w:lastRenderedPageBreak/>
        <w:tab/>
        <w:t>[Section 82A inserted: No. 94 of 1984 s. 50; amended: No. 79 of 1995 s. 23; No. 20 of 2002 s. 160(3); No. 30 of 2021 s. 76(2); No. 43 of 2024 s. 65.]</w:t>
      </w:r>
    </w:p>
    <w:p>
      <w:pPr>
        <w:pStyle w:val="Heading5"/>
      </w:pPr>
      <w:bookmarkStart w:id="451" w:name="_Toc188451312"/>
      <w:r>
        <w:rPr>
          <w:rStyle w:val="CharSectno"/>
        </w:rPr>
        <w:t>83</w:t>
      </w:r>
      <w:r>
        <w:t>.</w:t>
      </w:r>
      <w:r>
        <w:tab/>
        <w:t>Enforcing awards etc.</w:t>
      </w:r>
      <w:bookmarkEnd w:id="451"/>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tab/>
        <w:t>(ii)</w:t>
      </w:r>
      <w:r>
        <w:tab/>
        <w:t>to whom the entitlement provision applies under the LSL Act, the MCE Act or a local government long service leave provision;</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keepNext/>
      </w:pPr>
      <w:r>
        <w:lastRenderedPageBreak/>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 impose a pecuniary penalty under subsection (4A); or</w:t>
      </w:r>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$930 000; or</w:t>
      </w:r>
    </w:p>
    <w:p>
      <w:pPr>
        <w:pStyle w:val="Indenti"/>
      </w:pPr>
      <w:r>
        <w:tab/>
        <w:t>(ii)</w:t>
      </w:r>
      <w:r>
        <w:tab/>
        <w:t>if the contravention is not a serious contravention — $93 000;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$180 000; or</w:t>
      </w:r>
    </w:p>
    <w:p>
      <w:pPr>
        <w:pStyle w:val="Indenti"/>
      </w:pPr>
      <w:r>
        <w:tab/>
        <w:t>(ii)</w:t>
      </w:r>
      <w:r>
        <w:tab/>
        <w:t>if the contravention is not a serious contravention — $18 000.</w:t>
      </w:r>
    </w:p>
    <w:p>
      <w:pPr>
        <w:pStyle w:val="Subsection"/>
      </w:pPr>
      <w:r>
        <w:tab/>
        <w:t>(5)</w:t>
      </w:r>
      <w:r>
        <w:tab/>
        <w:t xml:space="preserve">If a contravention of an entitlement provision is proved against a person as mentioned in subsection (4) the industrial magistrate’s court may, in addition to imposing a penalty under that </w:t>
      </w:r>
      <w:r>
        <w:lastRenderedPageBreak/>
        <w:t>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 No. 43 of 2024 s. 66.]</w:t>
      </w:r>
    </w:p>
    <w:p>
      <w:pPr>
        <w:pStyle w:val="Heading5"/>
      </w:pPr>
      <w:bookmarkStart w:id="452" w:name="_Toc188451313"/>
      <w:r>
        <w:rPr>
          <w:rStyle w:val="CharSectno"/>
        </w:rPr>
        <w:t>83A</w:t>
      </w:r>
      <w:r>
        <w:t>.</w:t>
      </w:r>
      <w:r>
        <w:tab/>
        <w:t>Underpayment of employee, orders to remedy</w:t>
      </w:r>
      <w:bookmarkEnd w:id="452"/>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lastRenderedPageBreak/>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453" w:name="_Toc188451314"/>
      <w:r>
        <w:rPr>
          <w:rStyle w:val="CharSectno"/>
        </w:rPr>
        <w:t>83B</w:t>
      </w:r>
      <w:r>
        <w:t>.</w:t>
      </w:r>
      <w:r>
        <w:tab/>
        <w:t>Unfair dismissal, enforcing s. 23A order as to</w:t>
      </w:r>
      <w:bookmarkEnd w:id="45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 xml:space="preserve">an organisation of employees in which the employee in relation to whom the order is made is eligible to be </w:t>
      </w:r>
      <w:r>
        <w:lastRenderedPageBreak/>
        <w:t>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lastRenderedPageBreak/>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lastRenderedPageBreak/>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454" w:name="_Toc188451315"/>
      <w:r>
        <w:rPr>
          <w:rStyle w:val="CharSectno"/>
        </w:rPr>
        <w:t>83C</w:t>
      </w:r>
      <w:r>
        <w:t>.</w:t>
      </w:r>
      <w:r>
        <w:tab/>
        <w:t>Costs of enforcement orders under s. 83, 83A and 83B</w:t>
      </w:r>
      <w:bookmarkEnd w:id="454"/>
    </w:p>
    <w:p>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lastRenderedPageBreak/>
        <w:tab/>
        <w:t>(b)</w:t>
      </w:r>
      <w:r>
        <w:tab/>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455" w:name="_Toc188451316"/>
      <w:r>
        <w:rPr>
          <w:rStyle w:val="CharSectno"/>
        </w:rPr>
        <w:t>83D</w:t>
      </w:r>
      <w:r>
        <w:rPr>
          <w:snapToGrid w:val="0"/>
        </w:rPr>
        <w:t>.</w:t>
      </w:r>
      <w:r>
        <w:rPr>
          <w:snapToGrid w:val="0"/>
        </w:rPr>
        <w:tab/>
        <w:t>Offences under this Act, jurisdiction as to</w:t>
      </w:r>
      <w:bookmarkEnd w:id="45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456" w:name="_Toc188451317"/>
      <w:r>
        <w:rPr>
          <w:rStyle w:val="CharSectno"/>
        </w:rPr>
        <w:t>83E</w:t>
      </w:r>
      <w:r>
        <w:t>.</w:t>
      </w:r>
      <w:r>
        <w:tab/>
        <w:t>Proceedings for contravening civil penalty provisions</w:t>
      </w:r>
      <w:bookmarkEnd w:id="456"/>
    </w:p>
    <w:p>
      <w:pPr>
        <w:pStyle w:val="Subsection"/>
      </w:pPr>
      <w:r>
        <w:tab/>
        <w:t>(1)</w:t>
      </w:r>
      <w:r>
        <w:tab/>
        <w:t>If a person contravenes a civil penalty provision, the industrial magistrate’s court may, on an application to the court, make an 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$930 000; or</w:t>
      </w:r>
    </w:p>
    <w:p>
      <w:pPr>
        <w:pStyle w:val="Indenti"/>
      </w:pPr>
      <w:r>
        <w:tab/>
        <w:t>(ii)</w:t>
      </w:r>
      <w:r>
        <w:tab/>
        <w:t>if the contravention is not a serious contravention — $93 000;</w:t>
      </w:r>
    </w:p>
    <w:p>
      <w:pPr>
        <w:pStyle w:val="Indenta"/>
      </w:pPr>
      <w:r>
        <w:tab/>
      </w:r>
      <w:r>
        <w:tab/>
        <w:t xml:space="preserve">and </w:t>
      </w:r>
    </w:p>
    <w:p>
      <w:pPr>
        <w:pStyle w:val="Indenta"/>
      </w:pPr>
      <w:r>
        <w:lastRenderedPageBreak/>
        <w:tab/>
        <w:t>(b)</w:t>
      </w:r>
      <w:r>
        <w:tab/>
        <w:t xml:space="preserve">in the case of an individual — </w:t>
      </w:r>
    </w:p>
    <w:p>
      <w:pPr>
        <w:pStyle w:val="Indenti"/>
      </w:pPr>
      <w:r>
        <w:tab/>
        <w:t>(i)</w:t>
      </w:r>
      <w:r>
        <w:tab/>
        <w:t>if the contravention is a serious contravention — $180 000; or</w:t>
      </w:r>
    </w:p>
    <w:p>
      <w:pPr>
        <w:pStyle w:val="Indenti"/>
      </w:pPr>
      <w:r>
        <w:tab/>
        <w:t>(ii)</w:t>
      </w:r>
      <w:r>
        <w:tab/>
        <w:t>if the contravention is not a serious contravention — $18 000.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lastRenderedPageBreak/>
        <w:tab/>
        <w:t>(5)</w:t>
      </w:r>
      <w:r>
        <w:tab/>
        <w:t>An interim order may be made under subsection (2) pending final determination of an application under this section.</w:t>
      </w:r>
    </w:p>
    <w:p>
      <w:pPr>
        <w:pStyle w:val="Subsection"/>
        <w:spacing w:before="180"/>
      </w:pPr>
      <w:r>
        <w:tab/>
        <w:t>(6)</w:t>
      </w:r>
      <w:r>
        <w:tab/>
        <w:t>Except as provided in subsections (6a), (6B)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pPr>
      <w:r>
        <w:tab/>
        <w:t>(ba)</w:t>
      </w:r>
      <w:r>
        <w:tab/>
        <w:t>in the case of a contravention of section 100(1) — any organisation or association;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pPr>
      <w:r>
        <w:tab/>
        <w:t>(6B)</w:t>
      </w:r>
      <w:r>
        <w:tab/>
        <w:t>In the case of a contravention of section 84T(1), an application under this section may only be made by an industrial inspector.</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lastRenderedPageBreak/>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 No. 43 of 2024 s. 67.]</w:t>
      </w:r>
    </w:p>
    <w:p>
      <w:pPr>
        <w:pStyle w:val="Heading5"/>
      </w:pPr>
      <w:bookmarkStart w:id="457" w:name="_Toc188451318"/>
      <w:r>
        <w:rPr>
          <w:rStyle w:val="CharSectno"/>
        </w:rPr>
        <w:t>83EA</w:t>
      </w:r>
      <w:r>
        <w:t>.</w:t>
      </w:r>
      <w:r>
        <w:tab/>
        <w:t>Serious contravention of entitlement provision or civil penalty provision</w:t>
      </w:r>
      <w:bookmarkEnd w:id="457"/>
    </w:p>
    <w:p>
      <w:pPr>
        <w:pStyle w:val="Subsection"/>
      </w:pPr>
      <w:r>
        <w:tab/>
        <w:t>(1)</w:t>
      </w:r>
      <w:r>
        <w:tab/>
        <w:t xml:space="preserve">In this section — </w:t>
      </w:r>
    </w:p>
    <w:p>
      <w:pPr>
        <w:pStyle w:val="Defstart"/>
      </w:pPr>
      <w:r>
        <w:lastRenderedPageBreak/>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the person knowingly commits the contravention; or</w:t>
      </w:r>
    </w:p>
    <w:p>
      <w:pPr>
        <w:pStyle w:val="Indenta"/>
      </w:pPr>
      <w:r>
        <w:tab/>
        <w:t>(b)</w:t>
      </w:r>
      <w:r>
        <w:tab/>
        <w:t>the person is reckless as to whether the contravention would occur.</w:t>
      </w:r>
    </w:p>
    <w:p>
      <w:pPr>
        <w:pStyle w:val="Subsection"/>
      </w:pPr>
      <w:r>
        <w:tab/>
        <w:t>(3)</w:t>
      </w:r>
      <w:r>
        <w:tab/>
        <w:t>For the purposes of subsection (2), a body corporate knowingly commits a contravention if the body corporate expressly, tacitly or impliedly authorises the contravention.</w:t>
      </w:r>
    </w:p>
    <w:p>
      <w:pPr>
        <w:pStyle w:val="Subsection"/>
      </w:pPr>
      <w:r>
        <w:tab/>
        <w:t>(4)</w:t>
      </w:r>
      <w:r>
        <w:tab/>
        <w:t xml:space="preserve">For the purposes of subsection (2)(b), a person is reckless as to whether a contravention would occur if — </w:t>
      </w:r>
    </w:p>
    <w:p>
      <w:pPr>
        <w:pStyle w:val="Indenta"/>
      </w:pPr>
      <w:r>
        <w:tab/>
        <w:t>(a)</w:t>
      </w:r>
      <w:r>
        <w:tab/>
        <w:t>the person is aware of a substantial risk that the contravention would occur; and</w:t>
      </w:r>
    </w:p>
    <w:p>
      <w:pPr>
        <w:pStyle w:val="Indenta"/>
      </w:pPr>
      <w:r>
        <w:tab/>
        <w:t>(b)</w:t>
      </w:r>
      <w:r>
        <w:tab/>
        <w:t>having regard to the circumstances known to the person, it is unjustifiable to take the risk.</w:t>
      </w:r>
    </w:p>
    <w:p>
      <w:pPr>
        <w:pStyle w:val="Ednotesubsection"/>
      </w:pPr>
      <w:r>
        <w:tab/>
        <w:t>[(5)</w:t>
      </w:r>
      <w:r>
        <w:tab/>
        <w:t>deleted]</w:t>
      </w:r>
    </w:p>
    <w:p>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w:t>
      </w:r>
      <w:r>
        <w:lastRenderedPageBreak/>
        <w:t xml:space="preserve">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r>
        <w:tab/>
        <w:t>[Section 83EA inserted: No. 30 of 2021 s. 52; amended: No. 43 of 2024 s. 68.]</w:t>
      </w:r>
    </w:p>
    <w:p>
      <w:pPr>
        <w:pStyle w:val="Heading5"/>
      </w:pPr>
      <w:bookmarkStart w:id="458" w:name="_Toc188451319"/>
      <w:r>
        <w:rPr>
          <w:rStyle w:val="CharSectno"/>
        </w:rPr>
        <w:t>83EB</w:t>
      </w:r>
      <w:r>
        <w:t>.</w:t>
      </w:r>
      <w:r>
        <w:tab/>
        <w:t>Employer to have burden of disproving certain allegations by applicant under s. 83</w:t>
      </w:r>
      <w:bookmarkEnd w:id="458"/>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 xml:space="preserve">was required under this Act, the LSL Act or a local government long service leave provision 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tab/>
        <w:t>(2)</w:t>
      </w:r>
      <w:r>
        <w:tab/>
        <w:t>Subsection (1) does not apply if the employer provides a reasonable excuse for the failure to comply with the requirement.</w:t>
      </w:r>
    </w:p>
    <w:p>
      <w:pPr>
        <w:pStyle w:val="Footnotesection"/>
      </w:pPr>
      <w:r>
        <w:tab/>
        <w:t>[Section 83EB inserted: No. 30 of 2021 s. 52; amended: No. 43 of 2024 s. 69.]</w:t>
      </w:r>
    </w:p>
    <w:p>
      <w:pPr>
        <w:pStyle w:val="Heading5"/>
        <w:spacing w:before="240"/>
      </w:pPr>
      <w:bookmarkStart w:id="459" w:name="_Toc188451320"/>
      <w:r>
        <w:rPr>
          <w:rStyle w:val="CharSectno"/>
        </w:rPr>
        <w:t>83F</w:t>
      </w:r>
      <w:r>
        <w:t>.</w:t>
      </w:r>
      <w:r>
        <w:tab/>
        <w:t>Costs and penalties, payment of</w:t>
      </w:r>
      <w:bookmarkEnd w:id="459"/>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lastRenderedPageBreak/>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460" w:name="_Toc188451321"/>
      <w:r>
        <w:rPr>
          <w:rStyle w:val="CharSectno"/>
        </w:rPr>
        <w:t>84</w:t>
      </w:r>
      <w:r>
        <w:rPr>
          <w:snapToGrid w:val="0"/>
        </w:rPr>
        <w:t>.</w:t>
      </w:r>
      <w:r>
        <w:rPr>
          <w:snapToGrid w:val="0"/>
        </w:rPr>
        <w:tab/>
        <w:t>Appeal from industrial magistrate’s court to Full Bench</w:t>
      </w:r>
      <w:bookmarkEnd w:id="460"/>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keepNext/>
        <w:rPr>
          <w:snapToGrid w:val="0"/>
        </w:rPr>
      </w:pPr>
      <w:r>
        <w:rPr>
          <w:snapToGrid w:val="0"/>
        </w:rPr>
        <w:lastRenderedPageBreak/>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pPr>
        <w:pStyle w:val="Subsection"/>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461" w:name="_Toc188451322"/>
      <w:r>
        <w:rPr>
          <w:rStyle w:val="CharSectno"/>
        </w:rPr>
        <w:lastRenderedPageBreak/>
        <w:t>84AA</w:t>
      </w:r>
      <w:r>
        <w:t>.</w:t>
      </w:r>
      <w:r>
        <w:tab/>
        <w:t>Illegal contracts of employment may be treated as valid</w:t>
      </w:r>
      <w:bookmarkEnd w:id="461"/>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462" w:name="_Toc188451323"/>
      <w:r>
        <w:rPr>
          <w:rStyle w:val="CharSectno"/>
        </w:rPr>
        <w:t>84A</w:t>
      </w:r>
      <w:r>
        <w:rPr>
          <w:snapToGrid w:val="0"/>
        </w:rPr>
        <w:t>.</w:t>
      </w:r>
      <w:r>
        <w:rPr>
          <w:snapToGrid w:val="0"/>
        </w:rPr>
        <w:tab/>
        <w:t>Certain contraventions of Act, enforcement of before Full Bench</w:t>
      </w:r>
      <w:bookmarkEnd w:id="462"/>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lastRenderedPageBreak/>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$13 000;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lastRenderedPageBreak/>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 No. 43 of 2024 s. 70.]</w:t>
      </w:r>
    </w:p>
    <w:p>
      <w:pPr>
        <w:pStyle w:val="Heading3"/>
      </w:pPr>
      <w:bookmarkStart w:id="463" w:name="_Toc187907452"/>
      <w:bookmarkStart w:id="464" w:name="_Toc188271684"/>
      <w:bookmarkStart w:id="465" w:name="_Toc188451324"/>
      <w:r>
        <w:rPr>
          <w:rStyle w:val="CharDivNo"/>
        </w:rPr>
        <w:t>Division 3</w:t>
      </w:r>
      <w:r>
        <w:t> — </w:t>
      </w:r>
      <w:r>
        <w:rPr>
          <w:rStyle w:val="CharDivText"/>
        </w:rPr>
        <w:t>Civil infringement notices</w:t>
      </w:r>
      <w:bookmarkEnd w:id="463"/>
      <w:bookmarkEnd w:id="464"/>
      <w:bookmarkEnd w:id="465"/>
    </w:p>
    <w:p>
      <w:pPr>
        <w:pStyle w:val="Footnoteheading"/>
        <w:keepNext/>
        <w:keepLines/>
      </w:pPr>
      <w:r>
        <w:tab/>
        <w:t>[Heading inserted: No. 30 of 2021 s. 56.]</w:t>
      </w:r>
    </w:p>
    <w:p>
      <w:pPr>
        <w:pStyle w:val="Heading5"/>
      </w:pPr>
      <w:bookmarkStart w:id="466" w:name="_Toc188451325"/>
      <w:r>
        <w:rPr>
          <w:rStyle w:val="CharSectno"/>
        </w:rPr>
        <w:t>84B</w:t>
      </w:r>
      <w:r>
        <w:t>.</w:t>
      </w:r>
      <w:r>
        <w:tab/>
        <w:t>Terms used</w:t>
      </w:r>
      <w:bookmarkEnd w:id="466"/>
    </w:p>
    <w:p>
      <w:pPr>
        <w:pStyle w:val="Subsection"/>
      </w:pPr>
      <w:r>
        <w:tab/>
      </w:r>
      <w:r>
        <w:tab/>
        <w:t xml:space="preserve">In this Division — </w:t>
      </w:r>
    </w:p>
    <w:p>
      <w:pPr>
        <w:pStyle w:val="Defstart"/>
      </w:pPr>
      <w:r>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lastRenderedPageBreak/>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r>
        <w:tab/>
        <w:t>[Section 84B inserted: No. 30 of 2021 s. 56.]</w:t>
      </w:r>
    </w:p>
    <w:p>
      <w:pPr>
        <w:pStyle w:val="Heading5"/>
      </w:pPr>
      <w:bookmarkStart w:id="467" w:name="_Toc188451326"/>
      <w:r>
        <w:rPr>
          <w:rStyle w:val="CharSectno"/>
        </w:rPr>
        <w:t>84C</w:t>
      </w:r>
      <w:r>
        <w:t>.</w:t>
      </w:r>
      <w:r>
        <w:tab/>
        <w:t>Giving civil infringement notice</w:t>
      </w:r>
      <w:bookmarkEnd w:id="467"/>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Subsection"/>
      </w:pPr>
      <w:r>
        <w:tab/>
        <w:t>(5)</w:t>
      </w:r>
      <w:r>
        <w:tab/>
        <w:t>A civil infringement notice may be given by electronic means and, in that case, the requirement in section 84D(1)(l) for the notice to be signed is satisfied by an electronic signature.</w:t>
      </w:r>
    </w:p>
    <w:p>
      <w:pPr>
        <w:pStyle w:val="Footnotesection"/>
      </w:pPr>
      <w:r>
        <w:tab/>
        <w:t>[Section 84C inserted: No. 30 of 2021 s. 56; amended: No. 43 of 2024 s. 71.]</w:t>
      </w:r>
    </w:p>
    <w:p>
      <w:pPr>
        <w:pStyle w:val="Heading5"/>
      </w:pPr>
      <w:bookmarkStart w:id="468" w:name="_Toc188451327"/>
      <w:r>
        <w:rPr>
          <w:rStyle w:val="CharSectno"/>
        </w:rPr>
        <w:lastRenderedPageBreak/>
        <w:t>84D</w:t>
      </w:r>
      <w:r>
        <w:t>.</w:t>
      </w:r>
      <w:r>
        <w:tab/>
        <w:t>Content of civil infringement notice</w:t>
      </w:r>
      <w:bookmarkEnd w:id="468"/>
    </w:p>
    <w:p>
      <w:pPr>
        <w:pStyle w:val="Subsection"/>
        <w:keepNext/>
      </w:pPr>
      <w:r>
        <w:tab/>
        <w:t>(1)</w:t>
      </w:r>
      <w:r>
        <w:tab/>
        <w:t xml:space="preserve">A civil infringement notice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r>
        <w:tab/>
        <w:t>[Section 84D inserted: No. 30 of 2021 s. 56.]</w:t>
      </w:r>
    </w:p>
    <w:p>
      <w:pPr>
        <w:pStyle w:val="Heading5"/>
      </w:pPr>
      <w:bookmarkStart w:id="469" w:name="_Toc188451328"/>
      <w:r>
        <w:rPr>
          <w:rStyle w:val="CharSectno"/>
        </w:rPr>
        <w:lastRenderedPageBreak/>
        <w:t>84E</w:t>
      </w:r>
      <w:r>
        <w:t>.</w:t>
      </w:r>
      <w:r>
        <w:tab/>
        <w:t>Amount of civil infringement notice penalty</w:t>
      </w:r>
      <w:bookmarkEnd w:id="469"/>
    </w:p>
    <w:p>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pPr>
        <w:pStyle w:val="Footnotesection"/>
      </w:pPr>
      <w:r>
        <w:tab/>
        <w:t>[Section 84E inserted: No. 30 of 2021 s. 56.]</w:t>
      </w:r>
    </w:p>
    <w:p>
      <w:pPr>
        <w:pStyle w:val="Heading5"/>
      </w:pPr>
      <w:bookmarkStart w:id="470" w:name="_Toc188451329"/>
      <w:r>
        <w:rPr>
          <w:rStyle w:val="CharSectno"/>
        </w:rPr>
        <w:t>84F</w:t>
      </w:r>
      <w:r>
        <w:t>.</w:t>
      </w:r>
      <w:r>
        <w:tab/>
        <w:t>Time for payment of civil infringement notice penalty</w:t>
      </w:r>
      <w:bookmarkEnd w:id="470"/>
    </w:p>
    <w:p>
      <w:pPr>
        <w:pStyle w:val="Subsection"/>
      </w:pPr>
      <w:r>
        <w:tab/>
        <w:t>(1)</w:t>
      </w:r>
      <w:r>
        <w:tab/>
        <w:t>A civil infringement notice penalty must be paid within 28 days after the day on which the notice is given to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If the recipient applies for a further period of time in which to pay the civil infringement notice penalty and the application is refused, the penalty must be paid within 7 days after the notice of the refusal is given to the recipient.</w:t>
      </w:r>
    </w:p>
    <w:p>
      <w:pPr>
        <w:pStyle w:val="Subsection"/>
      </w:pPr>
      <w:r>
        <w:tab/>
        <w:t>(4)</w:t>
      </w:r>
      <w:r>
        <w:tab/>
        <w:t>If the recipient applies for the notice to be withdrawn and the application is refused, the civil infringement notice penalty must be paid within 28 days after the notice of the refusal is given to the recipient.</w:t>
      </w:r>
    </w:p>
    <w:p>
      <w:pPr>
        <w:pStyle w:val="Footnotesection"/>
      </w:pPr>
      <w:r>
        <w:tab/>
        <w:t>[Section 84F inserted: No. 30 of 2021 s. 56; amended: No. 43 of 2024 s. 72.]</w:t>
      </w:r>
    </w:p>
    <w:p>
      <w:pPr>
        <w:pStyle w:val="Heading5"/>
      </w:pPr>
      <w:bookmarkStart w:id="471" w:name="_Toc188451330"/>
      <w:r>
        <w:rPr>
          <w:rStyle w:val="CharSectno"/>
        </w:rPr>
        <w:t>84G</w:t>
      </w:r>
      <w:r>
        <w:t>.</w:t>
      </w:r>
      <w:r>
        <w:tab/>
        <w:t>Extension of time to pay civil infringement notice penalty</w:t>
      </w:r>
      <w:bookmarkEnd w:id="471"/>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lastRenderedPageBreak/>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tab/>
        <w:t>(b)</w:t>
      </w:r>
      <w:r>
        <w:tab/>
        <w:t>notify the recipient in writing of the decision and, if the decision is a refusal, the reasons for the decision.</w:t>
      </w:r>
    </w:p>
    <w:p>
      <w:pPr>
        <w:pStyle w:val="Footnotesection"/>
      </w:pPr>
      <w:r>
        <w:tab/>
        <w:t>[Section 84G inserted: No. 30 of 2021 s. 56.]</w:t>
      </w:r>
    </w:p>
    <w:p>
      <w:pPr>
        <w:pStyle w:val="Heading5"/>
      </w:pPr>
      <w:bookmarkStart w:id="472" w:name="_Toc188451331"/>
      <w:r>
        <w:rPr>
          <w:rStyle w:val="CharSectno"/>
        </w:rPr>
        <w:t>84H</w:t>
      </w:r>
      <w:r>
        <w:t>.</w:t>
      </w:r>
      <w:r>
        <w:tab/>
        <w:t>Withdrawal of civil infringement notice</w:t>
      </w:r>
      <w:bookmarkEnd w:id="472"/>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The nominated person or the inspector who issued it may also withdraw the civil infringement notice at any time by giving a notice of withdrawal to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r>
        <w:lastRenderedPageBreak/>
        <w:tab/>
        <w:t>[Section 84H inserted: No. 30 of 2021 s. 56; amended: No. 43 of 2024 s. 73.]</w:t>
      </w:r>
    </w:p>
    <w:p>
      <w:pPr>
        <w:pStyle w:val="Heading5"/>
      </w:pPr>
      <w:bookmarkStart w:id="473" w:name="_Toc188451332"/>
      <w:r>
        <w:rPr>
          <w:rStyle w:val="CharSectno"/>
        </w:rPr>
        <w:t>84I</w:t>
      </w:r>
      <w:r>
        <w:t>.</w:t>
      </w:r>
      <w:r>
        <w:tab/>
        <w:t>Effect of payment of civil infringement notice penalty</w:t>
      </w:r>
      <w:bookmarkEnd w:id="473"/>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r>
        <w:tab/>
        <w:t>[Section 84I inserted: No. 30 of 2021 s. 56.]</w:t>
      </w:r>
    </w:p>
    <w:p>
      <w:pPr>
        <w:pStyle w:val="Heading5"/>
      </w:pPr>
      <w:bookmarkStart w:id="474" w:name="_Toc188451333"/>
      <w:r>
        <w:rPr>
          <w:rStyle w:val="CharSectno"/>
        </w:rPr>
        <w:t>84J</w:t>
      </w:r>
      <w:r>
        <w:t>.</w:t>
      </w:r>
      <w:r>
        <w:tab/>
        <w:t>Refund of civil infringement notice penalty</w:t>
      </w:r>
      <w:bookmarkEnd w:id="474"/>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r>
        <w:tab/>
        <w:t>[Section 84J inserted: No. 30 of 2021 s. 56.]</w:t>
      </w:r>
    </w:p>
    <w:p>
      <w:pPr>
        <w:pStyle w:val="Heading3"/>
      </w:pPr>
      <w:bookmarkStart w:id="475" w:name="_Toc187907462"/>
      <w:bookmarkStart w:id="476" w:name="_Toc188271694"/>
      <w:bookmarkStart w:id="477" w:name="_Toc188451334"/>
      <w:r>
        <w:rPr>
          <w:rStyle w:val="CharDivNo"/>
        </w:rPr>
        <w:t>Division 4</w:t>
      </w:r>
      <w:r>
        <w:t> — </w:t>
      </w:r>
      <w:r>
        <w:rPr>
          <w:rStyle w:val="CharDivText"/>
        </w:rPr>
        <w:t>Enforceable undertakings</w:t>
      </w:r>
      <w:bookmarkEnd w:id="475"/>
      <w:bookmarkEnd w:id="476"/>
      <w:bookmarkEnd w:id="477"/>
    </w:p>
    <w:p>
      <w:pPr>
        <w:pStyle w:val="Footnoteheading"/>
        <w:keepNext/>
        <w:keepLines/>
      </w:pPr>
      <w:r>
        <w:tab/>
        <w:t>[Heading inserted: No. 30 of 2021 s. 56.]</w:t>
      </w:r>
    </w:p>
    <w:p>
      <w:pPr>
        <w:pStyle w:val="Heading5"/>
      </w:pPr>
      <w:bookmarkStart w:id="478" w:name="_Toc188451335"/>
      <w:r>
        <w:rPr>
          <w:rStyle w:val="CharSectno"/>
        </w:rPr>
        <w:t>84K</w:t>
      </w:r>
      <w:r>
        <w:t>.</w:t>
      </w:r>
      <w:r>
        <w:tab/>
        <w:t>Terms used</w:t>
      </w:r>
      <w:bookmarkEnd w:id="478"/>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lastRenderedPageBreak/>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r>
        <w:tab/>
        <w:t>[Section 84K inserted: No. 30 of 2021 s. 56.]</w:t>
      </w:r>
    </w:p>
    <w:p>
      <w:pPr>
        <w:pStyle w:val="Heading5"/>
      </w:pPr>
      <w:bookmarkStart w:id="479" w:name="_Toc188451336"/>
      <w:r>
        <w:rPr>
          <w:rStyle w:val="CharSectno"/>
        </w:rPr>
        <w:t>84L</w:t>
      </w:r>
      <w:r>
        <w:t>.</w:t>
      </w:r>
      <w:r>
        <w:tab/>
        <w:t>Application of Division</w:t>
      </w:r>
      <w:bookmarkEnd w:id="479"/>
    </w:p>
    <w:p>
      <w:pPr>
        <w:pStyle w:val="Subsection"/>
      </w:pPr>
      <w:r>
        <w:tab/>
      </w:r>
      <w:r>
        <w:tab/>
        <w:t>This Division applies if an industrial inspector reasonably believes that a person has committed a contravention.</w:t>
      </w:r>
    </w:p>
    <w:p>
      <w:pPr>
        <w:pStyle w:val="Footnotesection"/>
      </w:pPr>
      <w:r>
        <w:tab/>
        <w:t>[Section 84L inserted: No. 30 of 2021 s. 56.]</w:t>
      </w:r>
    </w:p>
    <w:p>
      <w:pPr>
        <w:pStyle w:val="Heading5"/>
      </w:pPr>
      <w:bookmarkStart w:id="480" w:name="_Toc188451337"/>
      <w:r>
        <w:rPr>
          <w:rStyle w:val="CharSectno"/>
        </w:rPr>
        <w:t>84M</w:t>
      </w:r>
      <w:r>
        <w:t>.</w:t>
      </w:r>
      <w:r>
        <w:tab/>
        <w:t>Enforceable undertaking</w:t>
      </w:r>
      <w:bookmarkEnd w:id="480"/>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pPr>
      <w:r>
        <w:tab/>
        <w:t>(4)</w:t>
      </w:r>
      <w:r>
        <w:tab/>
        <w:t>The industrial inspector must not accept an enforceable undertaking in relation to a contravention if —</w:t>
      </w:r>
    </w:p>
    <w:p>
      <w:pPr>
        <w:pStyle w:val="Indenta"/>
      </w:pPr>
      <w:r>
        <w:tab/>
        <w:t>(a)</w:t>
      </w:r>
      <w:r>
        <w:tab/>
        <w:t>the person has been given a compliance notice as defined in section 84Q in relation to the contravention; and</w:t>
      </w:r>
    </w:p>
    <w:p>
      <w:pPr>
        <w:pStyle w:val="Indenta"/>
      </w:pPr>
      <w:r>
        <w:tab/>
        <w:t>(b)</w:t>
      </w:r>
      <w:r>
        <w:tab/>
        <w:t xml:space="preserve">the compliance notice has not been — </w:t>
      </w:r>
    </w:p>
    <w:p>
      <w:pPr>
        <w:pStyle w:val="Indenti"/>
      </w:pPr>
      <w:r>
        <w:tab/>
        <w:t>(i)</w:t>
      </w:r>
      <w:r>
        <w:tab/>
        <w:t>cancelled under section 84U(4); or</w:t>
      </w:r>
    </w:p>
    <w:p>
      <w:pPr>
        <w:pStyle w:val="Indenti"/>
      </w:pPr>
      <w:r>
        <w:tab/>
        <w:t>(ii)</w:t>
      </w:r>
      <w:r>
        <w:tab/>
        <w:t>withdrawn under section 84V.</w:t>
      </w:r>
    </w:p>
    <w:p>
      <w:pPr>
        <w:pStyle w:val="Footnotesection"/>
      </w:pPr>
      <w:r>
        <w:tab/>
        <w:t>[Section 84M inserted: No. 30 of 2021 s. 56; amended: No. 43 of 2024 s. 74.]</w:t>
      </w:r>
    </w:p>
    <w:p>
      <w:pPr>
        <w:pStyle w:val="Heading5"/>
      </w:pPr>
      <w:bookmarkStart w:id="481" w:name="_Toc188451338"/>
      <w:r>
        <w:rPr>
          <w:rStyle w:val="CharSectno"/>
        </w:rPr>
        <w:lastRenderedPageBreak/>
        <w:t>84N</w:t>
      </w:r>
      <w:r>
        <w:t>.</w:t>
      </w:r>
      <w:r>
        <w:tab/>
        <w:t>Enforcement of enforceable undertakings</w:t>
      </w:r>
      <w:bookmarkEnd w:id="481"/>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keepNext/>
      </w:pPr>
      <w:r>
        <w:tab/>
        <w:t>(2)</w:t>
      </w:r>
      <w:r>
        <w:tab/>
        <w:t xml:space="preserve">If the industrial magistrate’s court is satisfied that the person has contravened a term of the enforceable undertaking, the court may make 1 or more of the following orders — </w:t>
      </w:r>
    </w:p>
    <w:p>
      <w:pPr>
        <w:pStyle w:val="Indenta"/>
      </w:pPr>
      <w:r>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r>
        <w:tab/>
        <w:t>[Section 84N inserted: No. 30 of 2021 s. 56.]</w:t>
      </w:r>
    </w:p>
    <w:p>
      <w:pPr>
        <w:pStyle w:val="Heading3"/>
      </w:pPr>
      <w:bookmarkStart w:id="482" w:name="_Toc187907467"/>
      <w:bookmarkStart w:id="483" w:name="_Toc188271699"/>
      <w:bookmarkStart w:id="484" w:name="_Toc188451339"/>
      <w:r>
        <w:rPr>
          <w:rStyle w:val="CharDivNo"/>
        </w:rPr>
        <w:t>Division 5</w:t>
      </w:r>
      <w:r>
        <w:t> — </w:t>
      </w:r>
      <w:r>
        <w:rPr>
          <w:rStyle w:val="CharDivText"/>
        </w:rPr>
        <w:t>Compliance notices</w:t>
      </w:r>
      <w:bookmarkEnd w:id="482"/>
      <w:bookmarkEnd w:id="483"/>
      <w:bookmarkEnd w:id="484"/>
    </w:p>
    <w:p>
      <w:pPr>
        <w:pStyle w:val="Footnoteheading"/>
        <w:keepNext/>
        <w:keepLines/>
      </w:pPr>
      <w:r>
        <w:tab/>
        <w:t>[Heading inserted: No. 30 of 2021 s. 56.]</w:t>
      </w:r>
    </w:p>
    <w:p>
      <w:pPr>
        <w:pStyle w:val="Heading5"/>
      </w:pPr>
      <w:bookmarkStart w:id="485" w:name="_Toc188451340"/>
      <w:r>
        <w:rPr>
          <w:rStyle w:val="CharSectno"/>
        </w:rPr>
        <w:t>84O</w:t>
      </w:r>
      <w:r>
        <w:t>.</w:t>
      </w:r>
      <w:r>
        <w:tab/>
        <w:t>Terms used</w:t>
      </w:r>
      <w:bookmarkEnd w:id="485"/>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r>
        <w:tab/>
        <w:t>[Section 84O inserted: No. 30 of 2021 s. 56.]</w:t>
      </w:r>
    </w:p>
    <w:p>
      <w:pPr>
        <w:pStyle w:val="Heading5"/>
      </w:pPr>
      <w:bookmarkStart w:id="486" w:name="_Toc188451341"/>
      <w:r>
        <w:rPr>
          <w:rStyle w:val="CharSectno"/>
        </w:rPr>
        <w:t>84P</w:t>
      </w:r>
      <w:r>
        <w:t>.</w:t>
      </w:r>
      <w:r>
        <w:tab/>
        <w:t>Application of Division</w:t>
      </w:r>
      <w:bookmarkEnd w:id="486"/>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r>
        <w:lastRenderedPageBreak/>
        <w:tab/>
        <w:t>[Section 84P inserted: No. 30 of 2021 s. 56.]</w:t>
      </w:r>
    </w:p>
    <w:p>
      <w:pPr>
        <w:pStyle w:val="Heading5"/>
      </w:pPr>
      <w:bookmarkStart w:id="487" w:name="_Toc188451342"/>
      <w:r>
        <w:rPr>
          <w:rStyle w:val="CharSectno"/>
        </w:rPr>
        <w:t>84Q</w:t>
      </w:r>
      <w:r>
        <w:t>.</w:t>
      </w:r>
      <w:r>
        <w:tab/>
        <w:t>Giving compliance notice</w:t>
      </w:r>
      <w:bookmarkEnd w:id="487"/>
    </w:p>
    <w:p>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pPr>
        <w:pStyle w:val="Indenta"/>
      </w:pPr>
      <w:r>
        <w:tab/>
        <w:t>(a)</w:t>
      </w:r>
      <w:r>
        <w:tab/>
        <w:t>take specified action to remedy the direct effects of the contravention, including, for example, to calculate and pay the amount of any underpayment;</w:t>
      </w:r>
    </w:p>
    <w:p>
      <w:pPr>
        <w:pStyle w:val="Indenta"/>
      </w:pPr>
      <w:r>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Subsection"/>
      </w:pPr>
      <w:r>
        <w:tab/>
        <w:t>(3)</w:t>
      </w:r>
      <w:r>
        <w:tab/>
        <w:t>The compliance notice must be given within 6 years after the day on which the contravention is alleged to have taken place.</w:t>
      </w:r>
    </w:p>
    <w:p>
      <w:pPr>
        <w:pStyle w:val="Subsection"/>
      </w:pPr>
      <w:r>
        <w:tab/>
        <w:t>(4)</w:t>
      </w:r>
      <w:r>
        <w:tab/>
        <w:t>A compliance notice may be given by electronic means.</w:t>
      </w:r>
    </w:p>
    <w:p>
      <w:pPr>
        <w:pStyle w:val="Footnotesection"/>
      </w:pPr>
      <w:r>
        <w:tab/>
        <w:t>[Section 84Q inserted: No. 30 of 2021 s. 56; amended: No. 43 of 2024 s. 75.]</w:t>
      </w:r>
    </w:p>
    <w:p>
      <w:pPr>
        <w:pStyle w:val="Heading5"/>
      </w:pPr>
      <w:bookmarkStart w:id="488" w:name="_Toc188451343"/>
      <w:r>
        <w:rPr>
          <w:rStyle w:val="CharSectno"/>
        </w:rPr>
        <w:lastRenderedPageBreak/>
        <w:t>84R</w:t>
      </w:r>
      <w:r>
        <w:t>.</w:t>
      </w:r>
      <w:r>
        <w:tab/>
        <w:t>Relationship with enforceable undertakings</w:t>
      </w:r>
      <w:bookmarkEnd w:id="488"/>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r>
        <w:tab/>
        <w:t>[Section 84R inserted: No. 30 of 2021 s. 56.]</w:t>
      </w:r>
    </w:p>
    <w:p>
      <w:pPr>
        <w:pStyle w:val="Heading5"/>
      </w:pPr>
      <w:bookmarkStart w:id="489" w:name="_Toc188451344"/>
      <w:r>
        <w:rPr>
          <w:rStyle w:val="CharSectno"/>
        </w:rPr>
        <w:t>84S</w:t>
      </w:r>
      <w:r>
        <w:t>.</w:t>
      </w:r>
      <w:r>
        <w:tab/>
        <w:t>Relationship with proceedings under s. 83</w:t>
      </w:r>
      <w:bookmarkEnd w:id="489"/>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r>
        <w:tab/>
        <w:t>[Section 84S inserted: No. 30 of 2021 s. 56.]</w:t>
      </w:r>
    </w:p>
    <w:p>
      <w:pPr>
        <w:pStyle w:val="Heading5"/>
      </w:pPr>
      <w:bookmarkStart w:id="490" w:name="_Toc188451345"/>
      <w:r>
        <w:rPr>
          <w:rStyle w:val="CharSectno"/>
        </w:rPr>
        <w:lastRenderedPageBreak/>
        <w:t>84T</w:t>
      </w:r>
      <w:r>
        <w:t>.</w:t>
      </w:r>
      <w:r>
        <w:tab/>
        <w:t>Person must comply with compliance notice</w:t>
      </w:r>
      <w:bookmarkEnd w:id="490"/>
    </w:p>
    <w:p>
      <w:pPr>
        <w:pStyle w:val="Subsection"/>
      </w:pPr>
      <w:r>
        <w:tab/>
        <w:t>(1)</w:t>
      </w:r>
      <w:r>
        <w:tab/>
        <w:t>A person must comply with a compliance notice.</w:t>
      </w:r>
    </w:p>
    <w:p>
      <w:pPr>
        <w:pStyle w:val="Subsection"/>
      </w:pPr>
      <w:r>
        <w:tab/>
        <w:t>(2)</w:t>
      </w:r>
      <w:r>
        <w:tab/>
        <w:t>A contravention of subsection (1) is not an offence but the subsection is a civil penalty provision for the purposes of section 83E.</w:t>
      </w:r>
    </w:p>
    <w:p>
      <w:pPr>
        <w:pStyle w:val="Subsection"/>
      </w:pPr>
      <w:r>
        <w:tab/>
        <w:t>(3)</w:t>
      </w:r>
      <w:r>
        <w:tab/>
        <w:t>Subsection (1) does not apply if the person has a reasonable excuse.</w:t>
      </w:r>
    </w:p>
    <w:p>
      <w:pPr>
        <w:pStyle w:val="Subsection"/>
      </w:pPr>
      <w:r>
        <w:tab/>
        <w:t>(4)</w:t>
      </w:r>
      <w:r>
        <w:tab/>
        <w:t xml:space="preserve">If an industrial magistrate’s court determines under section 83E that a person has contravened subsection (1), the court may — </w:t>
      </w:r>
    </w:p>
    <w:p>
      <w:pPr>
        <w:pStyle w:val="Indenta"/>
      </w:pPr>
      <w:r>
        <w:tab/>
        <w:t>(a)</w:t>
      </w:r>
      <w:r>
        <w:tab/>
        <w:t>order the person to comply with the compliance notice, wholly or in part; or</w:t>
      </w:r>
    </w:p>
    <w:p>
      <w:pPr>
        <w:pStyle w:val="Indenta"/>
      </w:pPr>
      <w:r>
        <w:tab/>
        <w:t>(b)</w:t>
      </w:r>
      <w:r>
        <w:tab/>
        <w:t>if the compliance notice requires the person to pay an amount to an employee — order the person to pay the amount to an industrial inspector.</w:t>
      </w:r>
    </w:p>
    <w:p>
      <w:pPr>
        <w:pStyle w:val="PermNoteHeading"/>
      </w:pPr>
      <w:r>
        <w:tab/>
        <w:t>Note for this subsection:</w:t>
      </w:r>
    </w:p>
    <w:p>
      <w:pPr>
        <w:pStyle w:val="PermNoteText"/>
      </w:pPr>
      <w:r>
        <w:tab/>
      </w:r>
      <w:r>
        <w:tab/>
        <w:t>Proceedings under section 83E for a contravention must be commenced within 6 years after the day on which the contravention is alleged to have taken place. See section 82A.</w:t>
      </w:r>
    </w:p>
    <w:p>
      <w:pPr>
        <w:pStyle w:val="Subsection"/>
      </w:pPr>
      <w:r>
        <w:tab/>
        <w:t>(5)</w:t>
      </w:r>
      <w:r>
        <w:tab/>
        <w:t>The court may make an order under this section in addition to imposing a penalty, or making another order, under section 83E.</w:t>
      </w:r>
    </w:p>
    <w:p>
      <w:pPr>
        <w:pStyle w:val="Subsection"/>
      </w:pPr>
      <w:r>
        <w:tab/>
        <w:t>(6)</w:t>
      </w:r>
      <w:r>
        <w:tab/>
        <w:t>A person must comply with an order made against the person under this section.</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84T inserted: No. 30 of 2021 s. 56; amended: No. 43 of 2024 s. 76.]</w:t>
      </w:r>
    </w:p>
    <w:p>
      <w:pPr>
        <w:pStyle w:val="Heading5"/>
      </w:pPr>
      <w:bookmarkStart w:id="491" w:name="_Toc188451346"/>
      <w:r>
        <w:rPr>
          <w:rStyle w:val="CharSectno"/>
        </w:rPr>
        <w:lastRenderedPageBreak/>
        <w:t>84U</w:t>
      </w:r>
      <w:r>
        <w:t>.</w:t>
      </w:r>
      <w:r>
        <w:tab/>
        <w:t>Review of compliance notices</w:t>
      </w:r>
      <w:bookmarkEnd w:id="491"/>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r>
        <w:tab/>
        <w:t>[Section 84U inserted: No. 30 of 2021 s. 56.]</w:t>
      </w:r>
    </w:p>
    <w:p>
      <w:pPr>
        <w:pStyle w:val="Heading5"/>
      </w:pPr>
      <w:bookmarkStart w:id="492" w:name="_Toc188451347"/>
      <w:r>
        <w:rPr>
          <w:rStyle w:val="CharSectno"/>
        </w:rPr>
        <w:t>84V</w:t>
      </w:r>
      <w:r>
        <w:t>.</w:t>
      </w:r>
      <w:r>
        <w:tab/>
        <w:t>Withdrawal of compliance notice</w:t>
      </w:r>
      <w:bookmarkEnd w:id="492"/>
    </w:p>
    <w:p>
      <w:pPr>
        <w:pStyle w:val="Subsection"/>
      </w:pPr>
      <w:r>
        <w:tab/>
        <w:t>(1)</w:t>
      </w:r>
      <w:r>
        <w:tab/>
        <w:t xml:space="preserve">An industrial inspector may withdraw the compliance notice at any time by giving a notice of withdrawal to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56; amended: No. 43 of 2024 s. 77.]</w:t>
      </w:r>
    </w:p>
    <w:p>
      <w:pPr>
        <w:pStyle w:val="Heading2"/>
      </w:pPr>
      <w:bookmarkStart w:id="493" w:name="_Toc187907476"/>
      <w:bookmarkStart w:id="494" w:name="_Toc188271708"/>
      <w:bookmarkStart w:id="495" w:name="_Toc188451348"/>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493"/>
      <w:bookmarkEnd w:id="494"/>
      <w:bookmarkEnd w:id="495"/>
    </w:p>
    <w:p>
      <w:pPr>
        <w:pStyle w:val="Heading5"/>
        <w:rPr>
          <w:snapToGrid w:val="0"/>
        </w:rPr>
      </w:pPr>
      <w:bookmarkStart w:id="496" w:name="_Toc188451349"/>
      <w:r>
        <w:rPr>
          <w:rStyle w:val="CharSectno"/>
        </w:rPr>
        <w:t>85</w:t>
      </w:r>
      <w:r>
        <w:rPr>
          <w:snapToGrid w:val="0"/>
        </w:rPr>
        <w:t>.</w:t>
      </w:r>
      <w:r>
        <w:rPr>
          <w:snapToGrid w:val="0"/>
        </w:rPr>
        <w:tab/>
        <w:t>Constitution of Court</w:t>
      </w:r>
      <w:bookmarkEnd w:id="496"/>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497" w:name="_Toc188451350"/>
      <w:r>
        <w:rPr>
          <w:rStyle w:val="CharSectno"/>
        </w:rPr>
        <w:t>86</w:t>
      </w:r>
      <w:r>
        <w:rPr>
          <w:snapToGrid w:val="0"/>
        </w:rPr>
        <w:t>.</w:t>
      </w:r>
      <w:r>
        <w:rPr>
          <w:snapToGrid w:val="0"/>
        </w:rPr>
        <w:tab/>
        <w:t>Jurisdiction of Court</w:t>
      </w:r>
      <w:bookmarkEnd w:id="497"/>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498" w:name="_Toc188451351"/>
      <w:r>
        <w:rPr>
          <w:rStyle w:val="CharSectno"/>
        </w:rPr>
        <w:lastRenderedPageBreak/>
        <w:t>87</w:t>
      </w:r>
      <w:r>
        <w:rPr>
          <w:snapToGrid w:val="0"/>
        </w:rPr>
        <w:t>.</w:t>
      </w:r>
      <w:r>
        <w:rPr>
          <w:snapToGrid w:val="0"/>
        </w:rPr>
        <w:tab/>
        <w:t>Decision of Court</w:t>
      </w:r>
      <w:bookmarkEnd w:id="498"/>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499" w:name="_Toc188451352"/>
      <w:r>
        <w:rPr>
          <w:rStyle w:val="CharSectno"/>
        </w:rPr>
        <w:t>88</w:t>
      </w:r>
      <w:r>
        <w:t>.</w:t>
      </w:r>
      <w:r>
        <w:tab/>
        <w:t>Judgments, enforcement of</w:t>
      </w:r>
      <w:bookmarkEnd w:id="49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00" w:name="_Toc188451353"/>
      <w:r>
        <w:rPr>
          <w:rStyle w:val="CharSectno"/>
        </w:rPr>
        <w:t>90</w:t>
      </w:r>
      <w:r>
        <w:rPr>
          <w:snapToGrid w:val="0"/>
        </w:rPr>
        <w:t>.</w:t>
      </w:r>
      <w:r>
        <w:rPr>
          <w:snapToGrid w:val="0"/>
        </w:rPr>
        <w:tab/>
        <w:t>Appeal from Commission to Court</w:t>
      </w:r>
      <w:bookmarkEnd w:id="500"/>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501" w:name="_Toc188451354"/>
      <w:r>
        <w:rPr>
          <w:rStyle w:val="CharSectno"/>
        </w:rPr>
        <w:lastRenderedPageBreak/>
        <w:t>91</w:t>
      </w:r>
      <w:r>
        <w:rPr>
          <w:snapToGrid w:val="0"/>
        </w:rPr>
        <w:t>.</w:t>
      </w:r>
      <w:r>
        <w:rPr>
          <w:snapToGrid w:val="0"/>
        </w:rPr>
        <w:tab/>
        <w:t>Representation before Court</w:t>
      </w:r>
      <w:bookmarkEnd w:id="501"/>
    </w:p>
    <w:p>
      <w:pPr>
        <w:pStyle w:val="Subsection"/>
        <w:keepNext/>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502" w:name="_Toc188451355"/>
      <w:r>
        <w:rPr>
          <w:rStyle w:val="CharSectno"/>
        </w:rPr>
        <w:t>91A</w:t>
      </w:r>
      <w:r>
        <w:t>.</w:t>
      </w:r>
      <w:r>
        <w:tab/>
        <w:t>Court’s power to order costs and expenses</w:t>
      </w:r>
      <w:bookmarkEnd w:id="502"/>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503" w:name="_Toc188451356"/>
      <w:r>
        <w:rPr>
          <w:rStyle w:val="CharSectno"/>
        </w:rPr>
        <w:t>92</w:t>
      </w:r>
      <w:r>
        <w:rPr>
          <w:snapToGrid w:val="0"/>
        </w:rPr>
        <w:t>.</w:t>
      </w:r>
      <w:r>
        <w:rPr>
          <w:snapToGrid w:val="0"/>
        </w:rPr>
        <w:tab/>
        <w:t>Contempt, Court’s powers as to</w:t>
      </w:r>
      <w:bookmarkEnd w:id="503"/>
    </w:p>
    <w:p>
      <w:pPr>
        <w:pStyle w:val="Subsection"/>
        <w:rPr>
          <w:snapToGrid w:val="0"/>
        </w:rPr>
      </w:pPr>
      <w:r>
        <w:rPr>
          <w:snapToGrid w:val="0"/>
        </w:rPr>
        <w:tab/>
        <w:t>(1)</w:t>
      </w:r>
      <w:r>
        <w:rPr>
          <w:snapToGrid w:val="0"/>
        </w:rPr>
        <w:tab/>
        <w:t xml:space="preserve">The Court has the same power to punish contempts of its power and authority as has the Supreme Court in respect of contempts </w:t>
      </w:r>
      <w:r>
        <w:rPr>
          <w:snapToGrid w:val="0"/>
        </w:rPr>
        <w:lastRenderedPageBreak/>
        <w:t>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504" w:name="_Toc187907485"/>
      <w:bookmarkStart w:id="505" w:name="_Toc188271717"/>
      <w:bookmarkStart w:id="506" w:name="_Toc188451357"/>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504"/>
      <w:bookmarkEnd w:id="505"/>
      <w:bookmarkEnd w:id="506"/>
    </w:p>
    <w:p>
      <w:pPr>
        <w:pStyle w:val="Footnoteheading"/>
        <w:rPr>
          <w:snapToGrid w:val="0"/>
        </w:rPr>
      </w:pPr>
      <w:r>
        <w:rPr>
          <w:snapToGrid w:val="0"/>
        </w:rPr>
        <w:tab/>
        <w:t>[Heading amended: No. 94 of 1984 s. 55.]</w:t>
      </w:r>
    </w:p>
    <w:p>
      <w:pPr>
        <w:pStyle w:val="Heading5"/>
        <w:rPr>
          <w:snapToGrid w:val="0"/>
        </w:rPr>
      </w:pPr>
      <w:bookmarkStart w:id="507" w:name="_Toc188451358"/>
      <w:r>
        <w:rPr>
          <w:rStyle w:val="CharSectno"/>
        </w:rPr>
        <w:t>93</w:t>
      </w:r>
      <w:r>
        <w:rPr>
          <w:snapToGrid w:val="0"/>
        </w:rPr>
        <w:t>.</w:t>
      </w:r>
      <w:r>
        <w:rPr>
          <w:snapToGrid w:val="0"/>
        </w:rPr>
        <w:tab/>
        <w:t>Appointment and duties of officers</w:t>
      </w:r>
      <w:bookmarkEnd w:id="507"/>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lastRenderedPageBreak/>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508" w:name="_Toc188451359"/>
      <w:r>
        <w:rPr>
          <w:rStyle w:val="CharSectno"/>
        </w:rPr>
        <w:t>94</w:t>
      </w:r>
      <w:r>
        <w:rPr>
          <w:snapToGrid w:val="0"/>
        </w:rPr>
        <w:t>.</w:t>
      </w:r>
      <w:r>
        <w:rPr>
          <w:snapToGrid w:val="0"/>
        </w:rPr>
        <w:tab/>
        <w:t>Authority of officers to do acts as directed</w:t>
      </w:r>
      <w:bookmarkEnd w:id="508"/>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509" w:name="_Toc188451360"/>
      <w:r>
        <w:rPr>
          <w:rStyle w:val="CharSectno"/>
        </w:rPr>
        <w:t>95</w:t>
      </w:r>
      <w:r>
        <w:rPr>
          <w:snapToGrid w:val="0"/>
        </w:rPr>
        <w:t>.</w:t>
      </w:r>
      <w:r>
        <w:rPr>
          <w:snapToGrid w:val="0"/>
        </w:rPr>
        <w:tab/>
        <w:t>Deputy registrar’s functions</w:t>
      </w:r>
      <w:bookmarkEnd w:id="509"/>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lastRenderedPageBreak/>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510" w:name="_Toc188451361"/>
      <w:r>
        <w:rPr>
          <w:rStyle w:val="CharSectno"/>
        </w:rPr>
        <w:t>96</w:t>
      </w:r>
      <w:r>
        <w:t>.</w:t>
      </w:r>
      <w:r>
        <w:tab/>
        <w:t>Delegation by Commission to Registrar</w:t>
      </w:r>
      <w:bookmarkEnd w:id="51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pPr>
      <w:r>
        <w:tab/>
        <w:t>(c)</w:t>
      </w:r>
      <w:r>
        <w:tab/>
        <w:t xml:space="preserve">right of entry permits under Part II Division 2G, including — </w:t>
      </w:r>
    </w:p>
    <w:p>
      <w:pPr>
        <w:pStyle w:val="Indenti"/>
      </w:pPr>
      <w:r>
        <w:tab/>
        <w:t>(i)</w:t>
      </w:r>
      <w:r>
        <w:tab/>
        <w:t>an application relating to a permit under section 49N, 49S(2) or 49V; and</w:t>
      </w:r>
    </w:p>
    <w:p>
      <w:pPr>
        <w:pStyle w:val="Indenti"/>
      </w:pPr>
      <w:r>
        <w:tab/>
        <w:t>(ii)</w:t>
      </w:r>
      <w:r>
        <w:tab/>
        <w:t>the return of a permit under section 49W.</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 and</w:t>
      </w:r>
    </w:p>
    <w:p>
      <w:pPr>
        <w:pStyle w:val="Indenta"/>
      </w:pPr>
      <w:r>
        <w:tab/>
        <w:t>(d)</w:t>
      </w:r>
      <w:r>
        <w:tab/>
        <w:t>to make an order under section 49T,</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lastRenderedPageBreak/>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lastRenderedPageBreak/>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 No. 43 of 2024 s. 78.]</w:t>
      </w:r>
    </w:p>
    <w:p>
      <w:pPr>
        <w:pStyle w:val="Ednotepart"/>
      </w:pPr>
      <w:r>
        <w:t>[Part VI deleted: No. 94 of 1984 s. 58.]</w:t>
      </w:r>
    </w:p>
    <w:p>
      <w:pPr>
        <w:pStyle w:val="Heading2"/>
      </w:pPr>
      <w:bookmarkStart w:id="511" w:name="_Toc187907490"/>
      <w:bookmarkStart w:id="512" w:name="_Toc188271722"/>
      <w:bookmarkStart w:id="513" w:name="_Toc188451362"/>
      <w:r>
        <w:rPr>
          <w:rStyle w:val="CharPartNo"/>
        </w:rPr>
        <w:lastRenderedPageBreak/>
        <w:t>Part VIA</w:t>
      </w:r>
      <w:r>
        <w:t xml:space="preserve"> — </w:t>
      </w:r>
      <w:r>
        <w:rPr>
          <w:rStyle w:val="CharPartText"/>
        </w:rPr>
        <w:t>Freedom of association</w:t>
      </w:r>
      <w:bookmarkEnd w:id="511"/>
      <w:bookmarkEnd w:id="512"/>
      <w:bookmarkEnd w:id="513"/>
    </w:p>
    <w:p>
      <w:pPr>
        <w:pStyle w:val="Footnoteheading"/>
        <w:rPr>
          <w:snapToGrid w:val="0"/>
        </w:rPr>
      </w:pPr>
      <w:r>
        <w:rPr>
          <w:snapToGrid w:val="0"/>
        </w:rPr>
        <w:tab/>
        <w:t>[Heading inserted: No. 15 of 1993 s. 28.]</w:t>
      </w:r>
    </w:p>
    <w:p>
      <w:pPr>
        <w:pStyle w:val="Heading5"/>
        <w:rPr>
          <w:snapToGrid w:val="0"/>
        </w:rPr>
      </w:pPr>
      <w:bookmarkStart w:id="514" w:name="_Toc188451363"/>
      <w:r>
        <w:rPr>
          <w:rStyle w:val="CharSectno"/>
        </w:rPr>
        <w:t>96A</w:t>
      </w:r>
      <w:r>
        <w:rPr>
          <w:snapToGrid w:val="0"/>
        </w:rPr>
        <w:t>.</w:t>
      </w:r>
      <w:r>
        <w:rPr>
          <w:snapToGrid w:val="0"/>
        </w:rPr>
        <w:tab/>
        <w:t>Terms used</w:t>
      </w:r>
      <w:bookmarkEnd w:id="514"/>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association of employees;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 amended: No. 43 of 2024 s. 79.]</w:t>
      </w:r>
    </w:p>
    <w:p>
      <w:pPr>
        <w:pStyle w:val="Heading5"/>
        <w:rPr>
          <w:snapToGrid w:val="0"/>
        </w:rPr>
      </w:pPr>
      <w:bookmarkStart w:id="515" w:name="_Toc188451364"/>
      <w:r>
        <w:rPr>
          <w:rStyle w:val="CharSectno"/>
        </w:rPr>
        <w:t>96B</w:t>
      </w:r>
      <w:r>
        <w:rPr>
          <w:snapToGrid w:val="0"/>
        </w:rPr>
        <w:t>.</w:t>
      </w:r>
      <w:r>
        <w:rPr>
          <w:snapToGrid w:val="0"/>
        </w:rPr>
        <w:tab/>
        <w:t>Awards etc. not to contain certain provisions about membership of organisations</w:t>
      </w:r>
      <w:bookmarkEnd w:id="515"/>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16" w:name="_Toc188451365"/>
      <w:r>
        <w:rPr>
          <w:rStyle w:val="CharSectno"/>
        </w:rPr>
        <w:t>96C</w:t>
      </w:r>
      <w:r>
        <w:rPr>
          <w:snapToGrid w:val="0"/>
        </w:rPr>
        <w:t>.</w:t>
      </w:r>
      <w:r>
        <w:rPr>
          <w:snapToGrid w:val="0"/>
        </w:rPr>
        <w:tab/>
        <w:t>Discrimination because of membership of organisation, offence</w:t>
      </w:r>
      <w:bookmarkEnd w:id="516"/>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lastRenderedPageBreak/>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517" w:name="_Toc18845136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1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lastRenderedPageBreak/>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lastRenderedPageBreak/>
        <w:tab/>
        <w:t>(ii)</w:t>
      </w:r>
      <w:r>
        <w:tab/>
        <w:t>a daily penalty of a fine of $500 for each day or part of a day during which the offence continues.</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518" w:name="_Toc18845136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18"/>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lastRenderedPageBreak/>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lastRenderedPageBreak/>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519" w:name="_Toc188451368"/>
      <w:r>
        <w:rPr>
          <w:rStyle w:val="CharSectno"/>
        </w:rPr>
        <w:t>96F</w:t>
      </w:r>
      <w:r>
        <w:rPr>
          <w:snapToGrid w:val="0"/>
        </w:rPr>
        <w:t>.</w:t>
      </w:r>
      <w:r>
        <w:rPr>
          <w:snapToGrid w:val="0"/>
        </w:rPr>
        <w:tab/>
        <w:t>Penalties under s. 96C, 96D and 96E, provisions about</w:t>
      </w:r>
      <w:bookmarkEnd w:id="51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 xml:space="preserve">An industrial magistrate’s court may permit an organisation of employees on which a penalty referred to in subsection (2) is imposed to pay that penalty within such period not exceeding 7 days from that imposition as the court thinks fit, in which case </w:t>
      </w:r>
      <w:r>
        <w:rPr>
          <w:snapToGrid w:val="0"/>
        </w:rPr>
        <w:lastRenderedPageBreak/>
        <w:t>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520" w:name="_Toc188451369"/>
      <w:r>
        <w:rPr>
          <w:rStyle w:val="CharSectno"/>
        </w:rPr>
        <w:t>96G</w:t>
      </w:r>
      <w:r>
        <w:rPr>
          <w:snapToGrid w:val="0"/>
        </w:rPr>
        <w:t>.</w:t>
      </w:r>
      <w:r>
        <w:rPr>
          <w:snapToGrid w:val="0"/>
        </w:rPr>
        <w:tab/>
        <w:t>Criminal responsibility of officers etc. for offences in s. 96C, 96D and 96E</w:t>
      </w:r>
      <w:bookmarkEnd w:id="52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lastRenderedPageBreak/>
        <w:tab/>
        <w:t>[Section 96G inserted: No. 15 of 1993 s. 28.]</w:t>
      </w:r>
    </w:p>
    <w:p>
      <w:pPr>
        <w:pStyle w:val="Heading5"/>
        <w:rPr>
          <w:snapToGrid w:val="0"/>
        </w:rPr>
      </w:pPr>
      <w:bookmarkStart w:id="521" w:name="_Toc188451370"/>
      <w:r>
        <w:rPr>
          <w:rStyle w:val="CharSectno"/>
        </w:rPr>
        <w:t>96H</w:t>
      </w:r>
      <w:r>
        <w:rPr>
          <w:snapToGrid w:val="0"/>
        </w:rPr>
        <w:t>.</w:t>
      </w:r>
      <w:r>
        <w:rPr>
          <w:snapToGrid w:val="0"/>
        </w:rPr>
        <w:tab/>
        <w:t>Criminal responsibility of corporations etc. for offences in s. 96C, 96D and 96E</w:t>
      </w:r>
      <w:bookmarkEnd w:id="52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522" w:name="_Toc188451371"/>
      <w:r>
        <w:rPr>
          <w:rStyle w:val="CharSectno"/>
        </w:rPr>
        <w:t>96I</w:t>
      </w:r>
      <w:r>
        <w:rPr>
          <w:snapToGrid w:val="0"/>
        </w:rPr>
        <w:t>.</w:t>
      </w:r>
      <w:r>
        <w:rPr>
          <w:snapToGrid w:val="0"/>
        </w:rPr>
        <w:tab/>
        <w:t>Evidentiary provisions for s. 96C, 96D and 96E</w:t>
      </w:r>
      <w:bookmarkEnd w:id="52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lastRenderedPageBreak/>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523" w:name="_Toc188451372"/>
      <w:r>
        <w:rPr>
          <w:rStyle w:val="CharSectno"/>
        </w:rPr>
        <w:t>96J</w:t>
      </w:r>
      <w:r>
        <w:rPr>
          <w:snapToGrid w:val="0"/>
        </w:rPr>
        <w:t>.</w:t>
      </w:r>
      <w:r>
        <w:rPr>
          <w:snapToGrid w:val="0"/>
        </w:rPr>
        <w:tab/>
        <w:t>Court may order compliance with s. 96C, 96D or 96E</w:t>
      </w:r>
      <w:bookmarkEnd w:id="52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lastRenderedPageBreak/>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524" w:name="_Toc188451373"/>
      <w:r>
        <w:rPr>
          <w:rStyle w:val="CharSectno"/>
        </w:rPr>
        <w:t>96K</w:t>
      </w:r>
      <w:r>
        <w:rPr>
          <w:snapToGrid w:val="0"/>
        </w:rPr>
        <w:t>.</w:t>
      </w:r>
      <w:r>
        <w:rPr>
          <w:snapToGrid w:val="0"/>
        </w:rPr>
        <w:tab/>
        <w:t>Appeal against decision under s. 96J</w:t>
      </w:r>
      <w:bookmarkEnd w:id="52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525" w:name="_Toc188451374"/>
      <w:r>
        <w:rPr>
          <w:rStyle w:val="CharSectno"/>
        </w:rPr>
        <w:lastRenderedPageBreak/>
        <w:t>96L</w:t>
      </w:r>
      <w:r>
        <w:rPr>
          <w:snapToGrid w:val="0"/>
        </w:rPr>
        <w:t>.</w:t>
      </w:r>
      <w:r>
        <w:rPr>
          <w:snapToGrid w:val="0"/>
        </w:rPr>
        <w:tab/>
        <w:t>Other court orders after conviction under s. 96C, 96D or 96E</w:t>
      </w:r>
      <w:bookmarkEnd w:id="52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526" w:name="_Toc187907503"/>
      <w:bookmarkStart w:id="527" w:name="_Toc188271735"/>
      <w:bookmarkStart w:id="528" w:name="_Toc188451375"/>
      <w:r>
        <w:rPr>
          <w:rStyle w:val="CharPartNo"/>
        </w:rPr>
        <w:lastRenderedPageBreak/>
        <w:t>Part 6B</w:t>
      </w:r>
      <w:r>
        <w:t> — </w:t>
      </w:r>
      <w:r>
        <w:rPr>
          <w:rStyle w:val="CharPartText"/>
        </w:rPr>
        <w:t>Protection of employee rights</w:t>
      </w:r>
      <w:bookmarkEnd w:id="526"/>
      <w:bookmarkEnd w:id="527"/>
      <w:bookmarkEnd w:id="528"/>
    </w:p>
    <w:p>
      <w:pPr>
        <w:pStyle w:val="Footnoteheading"/>
        <w:keepNext/>
        <w:keepLines/>
      </w:pPr>
      <w:r>
        <w:tab/>
        <w:t>[Heading inserted: No. 30 of 2021 s. 61.]</w:t>
      </w:r>
    </w:p>
    <w:p>
      <w:pPr>
        <w:pStyle w:val="Heading3"/>
      </w:pPr>
      <w:bookmarkStart w:id="529" w:name="_Toc187907504"/>
      <w:bookmarkStart w:id="530" w:name="_Toc188271736"/>
      <w:bookmarkStart w:id="531" w:name="_Toc188451376"/>
      <w:r>
        <w:rPr>
          <w:rStyle w:val="CharDivNo"/>
        </w:rPr>
        <w:t>Division 1</w:t>
      </w:r>
      <w:r>
        <w:t> — </w:t>
      </w:r>
      <w:r>
        <w:rPr>
          <w:rStyle w:val="CharDivText"/>
        </w:rPr>
        <w:t>Preliminary</w:t>
      </w:r>
      <w:bookmarkEnd w:id="529"/>
      <w:bookmarkEnd w:id="530"/>
      <w:bookmarkEnd w:id="531"/>
    </w:p>
    <w:p>
      <w:pPr>
        <w:pStyle w:val="Footnoteheading"/>
        <w:keepNext/>
        <w:keepLines/>
      </w:pPr>
      <w:r>
        <w:tab/>
        <w:t>[Heading inserted: No. 30 of 2021 s. 61.]</w:t>
      </w:r>
    </w:p>
    <w:p>
      <w:pPr>
        <w:pStyle w:val="Heading5"/>
      </w:pPr>
      <w:bookmarkStart w:id="532" w:name="_Toc188451377"/>
      <w:r>
        <w:rPr>
          <w:rStyle w:val="CharSectno"/>
        </w:rPr>
        <w:t>97</w:t>
      </w:r>
      <w:r>
        <w:t>.</w:t>
      </w:r>
      <w:r>
        <w:tab/>
        <w:t>Terms used</w:t>
      </w:r>
      <w:bookmarkEnd w:id="532"/>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r>
        <w:tab/>
        <w:t>[Section 97 inserted: No. 30 of 2021 s. 61.]</w:t>
      </w:r>
    </w:p>
    <w:p>
      <w:pPr>
        <w:pStyle w:val="Heading3"/>
      </w:pPr>
      <w:bookmarkStart w:id="533" w:name="_Toc187907506"/>
      <w:bookmarkStart w:id="534" w:name="_Toc188271738"/>
      <w:bookmarkStart w:id="535" w:name="_Toc188451378"/>
      <w:r>
        <w:rPr>
          <w:rStyle w:val="CharDivNo"/>
        </w:rPr>
        <w:lastRenderedPageBreak/>
        <w:t>Division 2</w:t>
      </w:r>
      <w:r>
        <w:t> — </w:t>
      </w:r>
      <w:r>
        <w:rPr>
          <w:rStyle w:val="CharDivText"/>
        </w:rPr>
        <w:t>Damaging action</w:t>
      </w:r>
      <w:bookmarkEnd w:id="533"/>
      <w:bookmarkEnd w:id="534"/>
      <w:bookmarkEnd w:id="535"/>
    </w:p>
    <w:p>
      <w:pPr>
        <w:pStyle w:val="Footnoteheading"/>
        <w:keepNext/>
        <w:keepLines/>
      </w:pPr>
      <w:r>
        <w:tab/>
        <w:t>[Heading inserted: No. 30 of 2021 s. 61.]</w:t>
      </w:r>
    </w:p>
    <w:p>
      <w:pPr>
        <w:pStyle w:val="Heading5"/>
      </w:pPr>
      <w:bookmarkStart w:id="536" w:name="_Toc188451379"/>
      <w:r>
        <w:rPr>
          <w:rStyle w:val="CharSectno"/>
        </w:rPr>
        <w:t>97A</w:t>
      </w:r>
      <w:r>
        <w:t>.</w:t>
      </w:r>
      <w:r>
        <w:tab/>
        <w:t>Damaging action because of inquiry or complaint</w:t>
      </w:r>
      <w:bookmarkEnd w:id="536"/>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r>
        <w:tab/>
        <w:t>[Section 97A inserted: No. 30 of 2021 s. 61.]</w:t>
      </w:r>
    </w:p>
    <w:p>
      <w:pPr>
        <w:pStyle w:val="Heading5"/>
      </w:pPr>
      <w:bookmarkStart w:id="537" w:name="_Toc188451380"/>
      <w:r>
        <w:rPr>
          <w:rStyle w:val="CharSectno"/>
        </w:rPr>
        <w:t>97B</w:t>
      </w:r>
      <w:r>
        <w:t>.</w:t>
      </w:r>
      <w:r>
        <w:tab/>
        <w:t>Court orders to employers</w:t>
      </w:r>
      <w:bookmarkEnd w:id="537"/>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r>
        <w:tab/>
        <w:t>[Section 97B inserted: No. 30 of 2021 s. 61.]</w:t>
      </w:r>
    </w:p>
    <w:p>
      <w:pPr>
        <w:pStyle w:val="Heading5"/>
      </w:pPr>
      <w:bookmarkStart w:id="538" w:name="_Toc188451381"/>
      <w:r>
        <w:t>97C.</w:t>
      </w:r>
      <w:r>
        <w:tab/>
        <w:t>Court orders to third parties</w:t>
      </w:r>
      <w:bookmarkEnd w:id="538"/>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97C inserted: No. 30 of 2021 s. 61.]</w:t>
      </w:r>
    </w:p>
    <w:p>
      <w:pPr>
        <w:pStyle w:val="Heading3"/>
      </w:pPr>
      <w:bookmarkStart w:id="539" w:name="_Toc187907510"/>
      <w:bookmarkStart w:id="540" w:name="_Toc188271742"/>
      <w:bookmarkStart w:id="541" w:name="_Toc188451382"/>
      <w:r>
        <w:rPr>
          <w:rStyle w:val="CharDivNo"/>
        </w:rPr>
        <w:t>Division 3</w:t>
      </w:r>
      <w:r>
        <w:t> — </w:t>
      </w:r>
      <w:r>
        <w:rPr>
          <w:rStyle w:val="CharDivText"/>
        </w:rPr>
        <w:t>Sham contracts for services</w:t>
      </w:r>
      <w:bookmarkEnd w:id="539"/>
      <w:bookmarkEnd w:id="540"/>
      <w:bookmarkEnd w:id="541"/>
    </w:p>
    <w:p>
      <w:pPr>
        <w:pStyle w:val="Footnoteheading"/>
        <w:keepNext/>
        <w:keepLines/>
      </w:pPr>
      <w:r>
        <w:tab/>
        <w:t>[Heading inserted: No. 30 of 2021 s. 61.]</w:t>
      </w:r>
    </w:p>
    <w:p>
      <w:pPr>
        <w:pStyle w:val="Heading5"/>
      </w:pPr>
      <w:bookmarkStart w:id="542" w:name="_Toc188451383"/>
      <w:r>
        <w:rPr>
          <w:rStyle w:val="CharSectno"/>
        </w:rPr>
        <w:t>97D</w:t>
      </w:r>
      <w:r>
        <w:t>.</w:t>
      </w:r>
      <w:r>
        <w:tab/>
        <w:t>Misrepresenting contract of employment as contract for services</w:t>
      </w:r>
      <w:bookmarkEnd w:id="542"/>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97D inserted: No. 30 of 2021 s. 61.]</w:t>
      </w:r>
    </w:p>
    <w:p>
      <w:pPr>
        <w:pStyle w:val="Heading5"/>
      </w:pPr>
      <w:bookmarkStart w:id="543" w:name="_Toc188451384"/>
      <w:r>
        <w:rPr>
          <w:rStyle w:val="CharSectno"/>
        </w:rPr>
        <w:t>97E</w:t>
      </w:r>
      <w:r>
        <w:t>.</w:t>
      </w:r>
      <w:r>
        <w:tab/>
        <w:t>Dismissing to engage under contract for services</w:t>
      </w:r>
      <w:bookmarkEnd w:id="543"/>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 xml:space="preserve">In any proceedings for a contravention of subsection (1), if it is proved that an employer dismissed, or threatened to dismiss, the employee, it is for the employer to prove that the employer did </w:t>
      </w:r>
      <w:r>
        <w:lastRenderedPageBreak/>
        <w:t>not do so in order to engage the employee under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97E inserted: No. 30 of 2021 s. 61.]</w:t>
      </w:r>
    </w:p>
    <w:p>
      <w:pPr>
        <w:pStyle w:val="Heading5"/>
      </w:pPr>
      <w:bookmarkStart w:id="544" w:name="_Toc188451385"/>
      <w:r>
        <w:rPr>
          <w:rStyle w:val="CharSectno"/>
        </w:rPr>
        <w:t>97F</w:t>
      </w:r>
      <w:r>
        <w:t>.</w:t>
      </w:r>
      <w:r>
        <w:tab/>
        <w:t>False statement to engage under contract for services</w:t>
      </w:r>
      <w:bookmarkEnd w:id="544"/>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97F inserted: No. 30 of 2021 s. 61.]</w:t>
      </w:r>
    </w:p>
    <w:p>
      <w:pPr>
        <w:pStyle w:val="Heading5"/>
      </w:pPr>
      <w:bookmarkStart w:id="545" w:name="_Toc188451386"/>
      <w:r>
        <w:rPr>
          <w:rStyle w:val="CharSectno"/>
        </w:rPr>
        <w:t>97G</w:t>
      </w:r>
      <w:r>
        <w:t>.</w:t>
      </w:r>
      <w:r>
        <w:tab/>
        <w:t>Court orders to employers</w:t>
      </w:r>
      <w:bookmarkEnd w:id="545"/>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lastRenderedPageBreak/>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r>
        <w:tab/>
        <w:t>[Section 97G inserted: No. 30 of 2021 s. 61.]</w:t>
      </w:r>
    </w:p>
    <w:p>
      <w:pPr>
        <w:pStyle w:val="Heading3"/>
      </w:pPr>
      <w:bookmarkStart w:id="546" w:name="_Toc187907515"/>
      <w:bookmarkStart w:id="547" w:name="_Toc188271747"/>
      <w:bookmarkStart w:id="548" w:name="_Toc188451387"/>
      <w:r>
        <w:rPr>
          <w:rStyle w:val="CharDivNo"/>
        </w:rPr>
        <w:t>Division 4</w:t>
      </w:r>
      <w:r>
        <w:t> — </w:t>
      </w:r>
      <w:r>
        <w:rPr>
          <w:rStyle w:val="CharDivText"/>
        </w:rPr>
        <w:t>Miscellaneous</w:t>
      </w:r>
      <w:bookmarkEnd w:id="546"/>
      <w:bookmarkEnd w:id="547"/>
      <w:bookmarkEnd w:id="548"/>
    </w:p>
    <w:p>
      <w:pPr>
        <w:pStyle w:val="Footnoteheading"/>
        <w:keepNext/>
        <w:keepLines/>
      </w:pPr>
      <w:r>
        <w:tab/>
        <w:t>[Heading inserted: No. 30 of 2021 s. 61.]</w:t>
      </w:r>
    </w:p>
    <w:p>
      <w:pPr>
        <w:pStyle w:val="Heading5"/>
      </w:pPr>
      <w:bookmarkStart w:id="549" w:name="_Toc188451388"/>
      <w:r>
        <w:rPr>
          <w:rStyle w:val="CharSectno"/>
        </w:rPr>
        <w:t>97H</w:t>
      </w:r>
      <w:r>
        <w:t>.</w:t>
      </w:r>
      <w:r>
        <w:tab/>
        <w:t>Certain advertising prohibited</w:t>
      </w:r>
      <w:bookmarkEnd w:id="549"/>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lastRenderedPageBreak/>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t>[</w:t>
      </w:r>
      <w:r>
        <w:rPr>
          <w:b/>
        </w:rPr>
        <w:t>97I-97M.</w:t>
      </w:r>
      <w:r>
        <w:tab/>
        <w:t>Deleted: No. 20 of 2002 s. 194(1).]</w:t>
      </w:r>
    </w:p>
    <w:p>
      <w:pPr>
        <w:pStyle w:val="Ednotepart"/>
      </w:pPr>
      <w:r>
        <w:t>[Part VIC (s. 97N</w:t>
      </w:r>
      <w:r>
        <w:noBreakHyphen/>
        <w:t>97U) deleted: No. 20 of 2002 s. 195(1).]</w:t>
      </w:r>
    </w:p>
    <w:p>
      <w:pPr>
        <w:pStyle w:val="Heading2"/>
      </w:pPr>
      <w:bookmarkStart w:id="550" w:name="_Toc187907517"/>
      <w:bookmarkStart w:id="551" w:name="_Toc188271749"/>
      <w:bookmarkStart w:id="552" w:name="_Toc188451389"/>
      <w:r>
        <w:rPr>
          <w:rStyle w:val="CharPartNo"/>
        </w:rPr>
        <w:lastRenderedPageBreak/>
        <w:t>Part VID</w:t>
      </w:r>
      <w:r>
        <w:t> — </w:t>
      </w:r>
      <w:r>
        <w:rPr>
          <w:rStyle w:val="CharPartText"/>
        </w:rPr>
        <w:t>Employer</w:t>
      </w:r>
      <w:r>
        <w:rPr>
          <w:rStyle w:val="CharPartText"/>
        </w:rPr>
        <w:noBreakHyphen/>
        <w:t>employee agreements</w:t>
      </w:r>
      <w:bookmarkEnd w:id="550"/>
      <w:bookmarkEnd w:id="551"/>
      <w:bookmarkEnd w:id="552"/>
    </w:p>
    <w:p>
      <w:pPr>
        <w:pStyle w:val="Footnoteheading"/>
        <w:tabs>
          <w:tab w:val="left" w:pos="851"/>
        </w:tabs>
      </w:pPr>
      <w:r>
        <w:tab/>
        <w:t>[Heading inserted: No. 20 of 2002 s. 4.]</w:t>
      </w:r>
    </w:p>
    <w:p>
      <w:pPr>
        <w:pStyle w:val="Heading3"/>
        <w:spacing w:before="260"/>
      </w:pPr>
      <w:bookmarkStart w:id="553" w:name="_Toc187907518"/>
      <w:bookmarkStart w:id="554" w:name="_Toc188271750"/>
      <w:bookmarkStart w:id="555" w:name="_Toc188451390"/>
      <w:r>
        <w:rPr>
          <w:rStyle w:val="CharDivNo"/>
        </w:rPr>
        <w:t>Division 1</w:t>
      </w:r>
      <w:r>
        <w:t> — </w:t>
      </w:r>
      <w:r>
        <w:rPr>
          <w:rStyle w:val="CharDivText"/>
        </w:rPr>
        <w:t>Preliminary</w:t>
      </w:r>
      <w:bookmarkEnd w:id="553"/>
      <w:bookmarkEnd w:id="554"/>
      <w:bookmarkEnd w:id="555"/>
    </w:p>
    <w:p>
      <w:pPr>
        <w:pStyle w:val="Footnoteheading"/>
        <w:tabs>
          <w:tab w:val="left" w:pos="851"/>
        </w:tabs>
      </w:pPr>
      <w:r>
        <w:tab/>
        <w:t>[Heading inserted: No. 20 of 2002 s. 4.]</w:t>
      </w:r>
    </w:p>
    <w:p>
      <w:pPr>
        <w:pStyle w:val="Heading5"/>
        <w:spacing w:before="240"/>
      </w:pPr>
      <w:bookmarkStart w:id="556" w:name="_Toc188451391"/>
      <w:r>
        <w:rPr>
          <w:rStyle w:val="CharSectno"/>
        </w:rPr>
        <w:t>97U</w:t>
      </w:r>
      <w:r>
        <w:t>.</w:t>
      </w:r>
      <w:r>
        <w:tab/>
        <w:t>Terms used</w:t>
      </w:r>
      <w:bookmarkEnd w:id="55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iCs/>
        </w:rPr>
        <w:t>Disability Services and Inclusion Act 2023</w:t>
      </w:r>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 No. 43 of 2024 s. 80.]</w:t>
      </w:r>
    </w:p>
    <w:p>
      <w:pPr>
        <w:pStyle w:val="Heading3"/>
      </w:pPr>
      <w:bookmarkStart w:id="557" w:name="_Toc187907520"/>
      <w:bookmarkStart w:id="558" w:name="_Toc188271752"/>
      <w:bookmarkStart w:id="559" w:name="_Toc188451392"/>
      <w:r>
        <w:rPr>
          <w:rStyle w:val="CharDivNo"/>
        </w:rPr>
        <w:lastRenderedPageBreak/>
        <w:t>Division 2 </w:t>
      </w:r>
      <w:r>
        <w:t>— </w:t>
      </w:r>
      <w:r>
        <w:rPr>
          <w:rStyle w:val="CharDivText"/>
        </w:rPr>
        <w:t>The making of an EEA</w:t>
      </w:r>
      <w:bookmarkEnd w:id="557"/>
      <w:bookmarkEnd w:id="558"/>
      <w:bookmarkEnd w:id="559"/>
    </w:p>
    <w:p>
      <w:pPr>
        <w:pStyle w:val="Footnoteheading"/>
        <w:tabs>
          <w:tab w:val="left" w:pos="851"/>
        </w:tabs>
      </w:pPr>
      <w:r>
        <w:tab/>
        <w:t>[Heading inserted: No. 20 of 2002 s. 4.]</w:t>
      </w:r>
    </w:p>
    <w:p>
      <w:pPr>
        <w:pStyle w:val="Heading5"/>
      </w:pPr>
      <w:bookmarkStart w:id="560" w:name="_Toc188451393"/>
      <w:r>
        <w:rPr>
          <w:rStyle w:val="CharSectno"/>
        </w:rPr>
        <w:t>97UA</w:t>
      </w:r>
      <w:r>
        <w:t>.</w:t>
      </w:r>
      <w:r>
        <w:tab/>
        <w:t>Employer and employee may make EEA</w:t>
      </w:r>
      <w:bookmarkEnd w:id="560"/>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561" w:name="_Toc188451394"/>
      <w:r>
        <w:rPr>
          <w:rStyle w:val="CharSectno"/>
        </w:rPr>
        <w:t>97UB</w:t>
      </w:r>
      <w:r>
        <w:t>.</w:t>
      </w:r>
      <w:r>
        <w:tab/>
        <w:t>EEA may deal with post</w:t>
      </w:r>
      <w:r>
        <w:noBreakHyphen/>
        <w:t>employment matters</w:t>
      </w:r>
      <w:bookmarkEnd w:id="561"/>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562" w:name="_Toc188451395"/>
      <w:r>
        <w:rPr>
          <w:rStyle w:val="CharSectno"/>
        </w:rPr>
        <w:t>97UC</w:t>
      </w:r>
      <w:r>
        <w:t>.</w:t>
      </w:r>
      <w:r>
        <w:tab/>
        <w:t>Other provisions about making EEA</w:t>
      </w:r>
      <w:bookmarkEnd w:id="562"/>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563" w:name="_Toc188451396"/>
      <w:r>
        <w:rPr>
          <w:rStyle w:val="CharSectno"/>
        </w:rPr>
        <w:lastRenderedPageBreak/>
        <w:t>97UD</w:t>
      </w:r>
      <w:r>
        <w:t>.</w:t>
      </w:r>
      <w:r>
        <w:tab/>
        <w:t>Making of EEA by person with a mental disability</w:t>
      </w:r>
      <w:bookmarkEnd w:id="563"/>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564" w:name="_Toc188451397"/>
      <w:r>
        <w:rPr>
          <w:rStyle w:val="CharSectno"/>
        </w:rPr>
        <w:t>97UE</w:t>
      </w:r>
      <w:r>
        <w:t>.</w:t>
      </w:r>
      <w:r>
        <w:tab/>
        <w:t>Effect of EEA</w:t>
      </w:r>
      <w:bookmarkEnd w:id="564"/>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tab/>
        <w:t>(3)</w:t>
      </w:r>
      <w:r>
        <w:tab/>
        <w:t>The provisions of an EEA have effect subject to section 5 of the MCE Act.</w:t>
      </w:r>
    </w:p>
    <w:p>
      <w:pPr>
        <w:pStyle w:val="Footnotesection"/>
      </w:pPr>
      <w:r>
        <w:tab/>
        <w:t>[Section 97UE inserted: No. 20 of 2002 s. 4.]</w:t>
      </w:r>
    </w:p>
    <w:p>
      <w:pPr>
        <w:pStyle w:val="Heading5"/>
      </w:pPr>
      <w:bookmarkStart w:id="565" w:name="_Toc188451398"/>
      <w:r>
        <w:rPr>
          <w:rStyle w:val="CharSectno"/>
        </w:rPr>
        <w:t>97UF</w:t>
      </w:r>
      <w:r>
        <w:t>.</w:t>
      </w:r>
      <w:r>
        <w:tab/>
        <w:t>EEA not to be made while industrial agreement in operation</w:t>
      </w:r>
      <w:bookmarkEnd w:id="565"/>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lastRenderedPageBreak/>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566" w:name="_Toc188451399"/>
      <w:r>
        <w:rPr>
          <w:rStyle w:val="CharSectno"/>
        </w:rPr>
        <w:t>97UG</w:t>
      </w:r>
      <w:r>
        <w:t>.</w:t>
      </w:r>
      <w:r>
        <w:tab/>
        <w:t>Documents etc. to be given to employee before EEA signed</w:t>
      </w:r>
      <w:bookmarkEnd w:id="566"/>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lastRenderedPageBreak/>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567" w:name="_Toc188451400"/>
      <w:r>
        <w:rPr>
          <w:rStyle w:val="CharSectno"/>
        </w:rPr>
        <w:t>97UH</w:t>
      </w:r>
      <w:r>
        <w:t>.</w:t>
      </w:r>
      <w:r>
        <w:tab/>
        <w:t>Application of s. 97UG if draft EEA amended</w:t>
      </w:r>
      <w:bookmarkEnd w:id="567"/>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lastRenderedPageBreak/>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568" w:name="_Toc188451401"/>
      <w:r>
        <w:rPr>
          <w:rStyle w:val="CharSectno"/>
        </w:rPr>
        <w:t>97UI</w:t>
      </w:r>
      <w:r>
        <w:t>.</w:t>
      </w:r>
      <w:r>
        <w:tab/>
        <w:t>EEA information statement, form of (s. 97UG(2)(b))</w:t>
      </w:r>
      <w:bookmarkEnd w:id="56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569" w:name="_Toc188451402"/>
      <w:r>
        <w:rPr>
          <w:rStyle w:val="CharSectno"/>
        </w:rPr>
        <w:lastRenderedPageBreak/>
        <w:t>97UJ</w:t>
      </w:r>
      <w:r>
        <w:t>.</w:t>
      </w:r>
      <w:r>
        <w:tab/>
        <w:t>Bargaining agents, appointing etc.</w:t>
      </w:r>
      <w:bookmarkEnd w:id="569"/>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Despite the </w:t>
      </w:r>
      <w:r>
        <w:rPr>
          <w:i/>
        </w:rPr>
        <w:t>Legal Profession Uniform Law (WA)</w:t>
      </w:r>
      <w:r>
        <w:t xml:space="preserve"> section 10, 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 No. 30 of 2021 s. 77(13); No. 9 of 2022 s. 424.]</w:t>
      </w:r>
    </w:p>
    <w:p>
      <w:pPr>
        <w:pStyle w:val="Heading5"/>
      </w:pPr>
      <w:bookmarkStart w:id="570" w:name="_Toc188451403"/>
      <w:r>
        <w:rPr>
          <w:rStyle w:val="CharSectno"/>
        </w:rPr>
        <w:lastRenderedPageBreak/>
        <w:t>97UK</w:t>
      </w:r>
      <w:r>
        <w:t>.</w:t>
      </w:r>
      <w:r>
        <w:tab/>
        <w:t>Prohibited conduct relating to bargaining agents</w:t>
      </w:r>
      <w:bookmarkEnd w:id="57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571" w:name="_Toc187907532"/>
      <w:bookmarkStart w:id="572" w:name="_Toc188271764"/>
      <w:bookmarkStart w:id="573" w:name="_Toc188451404"/>
      <w:r>
        <w:rPr>
          <w:rStyle w:val="CharDivNo"/>
        </w:rPr>
        <w:t>Division 3</w:t>
      </w:r>
      <w:r>
        <w:t> — </w:t>
      </w:r>
      <w:r>
        <w:rPr>
          <w:rStyle w:val="CharDivText"/>
        </w:rPr>
        <w:t>Form and content of EEA</w:t>
      </w:r>
      <w:bookmarkEnd w:id="571"/>
      <w:bookmarkEnd w:id="572"/>
      <w:bookmarkEnd w:id="573"/>
    </w:p>
    <w:p>
      <w:pPr>
        <w:pStyle w:val="Footnoteheading"/>
        <w:tabs>
          <w:tab w:val="left" w:pos="851"/>
        </w:tabs>
      </w:pPr>
      <w:r>
        <w:tab/>
        <w:t>[Heading inserted: No. 20 of 2002 s. 4.]</w:t>
      </w:r>
    </w:p>
    <w:p>
      <w:pPr>
        <w:pStyle w:val="Heading5"/>
      </w:pPr>
      <w:bookmarkStart w:id="574" w:name="_Toc188451405"/>
      <w:r>
        <w:rPr>
          <w:rStyle w:val="CharSectno"/>
        </w:rPr>
        <w:t>97UL</w:t>
      </w:r>
      <w:r>
        <w:t>.</w:t>
      </w:r>
      <w:r>
        <w:tab/>
        <w:t>Form of EEA</w:t>
      </w:r>
      <w:bookmarkEnd w:id="574"/>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lastRenderedPageBreak/>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575" w:name="_Toc188451406"/>
      <w:r>
        <w:rPr>
          <w:rStyle w:val="CharSectno"/>
        </w:rPr>
        <w:t>97UM</w:t>
      </w:r>
      <w:r>
        <w:t>.</w:t>
      </w:r>
      <w:r>
        <w:tab/>
        <w:t>Additional formalities for EEA made with employee under 18</w:t>
      </w:r>
      <w:bookmarkEnd w:id="575"/>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576" w:name="_Toc188451407"/>
      <w:r>
        <w:rPr>
          <w:rStyle w:val="CharSectno"/>
        </w:rPr>
        <w:lastRenderedPageBreak/>
        <w:t>97UN</w:t>
      </w:r>
      <w:r>
        <w:t>.</w:t>
      </w:r>
      <w:r>
        <w:tab/>
        <w:t>EEA must provide for resolution of disputes</w:t>
      </w:r>
      <w:bookmarkEnd w:id="576"/>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the Commission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 amended: No. 43 of 2024 s. 92.]</w:t>
      </w:r>
    </w:p>
    <w:p>
      <w:pPr>
        <w:pStyle w:val="Heading5"/>
        <w:spacing w:before="240"/>
      </w:pPr>
      <w:bookmarkStart w:id="577" w:name="_Toc188451408"/>
      <w:r>
        <w:rPr>
          <w:rStyle w:val="CharSectno"/>
        </w:rPr>
        <w:t>97UO</w:t>
      </w:r>
      <w:r>
        <w:t>.</w:t>
      </w:r>
      <w:r>
        <w:tab/>
        <w:t>EEA dispute provisions, content of</w:t>
      </w:r>
      <w:bookmarkEnd w:id="577"/>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lastRenderedPageBreak/>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578" w:name="_Toc188451409"/>
      <w:r>
        <w:rPr>
          <w:rStyle w:val="CharSectno"/>
        </w:rPr>
        <w:t>97UP</w:t>
      </w:r>
      <w:r>
        <w:t>.</w:t>
      </w:r>
      <w:r>
        <w:tab/>
      </w:r>
      <w:r>
        <w:rPr>
          <w:bCs/>
        </w:rPr>
        <w:t>Commission may be specified as arbitrator</w:t>
      </w:r>
      <w:bookmarkEnd w:id="578"/>
    </w:p>
    <w:p>
      <w:pPr>
        <w:pStyle w:val="Subsection"/>
      </w:pPr>
      <w:r>
        <w:tab/>
      </w:r>
      <w:r>
        <w:tab/>
        <w:t>EEA dispute provisions may provide for a party to refer to the Commission constituted by a commissioner, for arbitration in accordance with section 97WI, any question, dispute or difficulty that arises out of or in the course of the employment.</w:t>
      </w:r>
    </w:p>
    <w:p>
      <w:pPr>
        <w:pStyle w:val="Footnotesection"/>
      </w:pPr>
      <w:r>
        <w:tab/>
        <w:t>[Section 97UP inserted: No. 20 of 2002 s. 4; amended: No. 43 of 2024 s. 92.]</w:t>
      </w:r>
    </w:p>
    <w:p>
      <w:pPr>
        <w:pStyle w:val="Heading3"/>
        <w:spacing w:before="220"/>
      </w:pPr>
      <w:bookmarkStart w:id="579" w:name="_Toc187907538"/>
      <w:bookmarkStart w:id="580" w:name="_Toc188271770"/>
      <w:bookmarkStart w:id="581" w:name="_Toc188451410"/>
      <w:r>
        <w:rPr>
          <w:rStyle w:val="CharDivNo"/>
        </w:rPr>
        <w:lastRenderedPageBreak/>
        <w:t>Division 4 </w:t>
      </w:r>
      <w:r>
        <w:t>— </w:t>
      </w:r>
      <w:r>
        <w:rPr>
          <w:rStyle w:val="CharDivText"/>
        </w:rPr>
        <w:t>Commencement, duration and variation</w:t>
      </w:r>
      <w:bookmarkEnd w:id="579"/>
      <w:bookmarkEnd w:id="580"/>
      <w:bookmarkEnd w:id="581"/>
    </w:p>
    <w:p>
      <w:pPr>
        <w:pStyle w:val="Footnoteheading"/>
        <w:tabs>
          <w:tab w:val="left" w:pos="851"/>
        </w:tabs>
      </w:pPr>
      <w:r>
        <w:tab/>
        <w:t>[Heading inserted: No. 20 of 2002 s. 4.]</w:t>
      </w:r>
    </w:p>
    <w:p>
      <w:pPr>
        <w:pStyle w:val="Heading5"/>
      </w:pPr>
      <w:bookmarkStart w:id="582" w:name="_Toc188451411"/>
      <w:r>
        <w:rPr>
          <w:rStyle w:val="CharSectno"/>
        </w:rPr>
        <w:t>97UQ</w:t>
      </w:r>
      <w:r>
        <w:t>.</w:t>
      </w:r>
      <w:r>
        <w:tab/>
        <w:t>New employee, when EEA commences</w:t>
      </w:r>
      <w:bookmarkEnd w:id="58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583" w:name="_Toc188451412"/>
      <w:r>
        <w:rPr>
          <w:rStyle w:val="CharSectno"/>
        </w:rPr>
        <w:t>97UR</w:t>
      </w:r>
      <w:r>
        <w:t>.</w:t>
      </w:r>
      <w:r>
        <w:tab/>
        <w:t>Existing employee, when EEA commences</w:t>
      </w:r>
      <w:bookmarkEnd w:id="58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584" w:name="_Toc188451413"/>
      <w:r>
        <w:rPr>
          <w:rStyle w:val="CharSectno"/>
        </w:rPr>
        <w:t>97US</w:t>
      </w:r>
      <w:r>
        <w:t>.</w:t>
      </w:r>
      <w:r>
        <w:tab/>
        <w:t>Expiry of EEA</w:t>
      </w:r>
      <w:bookmarkEnd w:id="58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585" w:name="_Toc188451414"/>
      <w:r>
        <w:rPr>
          <w:rStyle w:val="CharSectno"/>
        </w:rPr>
        <w:lastRenderedPageBreak/>
        <w:t>97UT</w:t>
      </w:r>
      <w:r>
        <w:t>.</w:t>
      </w:r>
      <w:r>
        <w:tab/>
        <w:t>Employment conditions applicable on expiry of EEA</w:t>
      </w:r>
      <w:bookmarkEnd w:id="58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586" w:name="_Toc188451415"/>
      <w:r>
        <w:rPr>
          <w:rStyle w:val="CharSectno"/>
        </w:rPr>
        <w:t>97UU</w:t>
      </w:r>
      <w:r>
        <w:t>.</w:t>
      </w:r>
      <w:r>
        <w:tab/>
        <w:t>EEA cannot be varied</w:t>
      </w:r>
      <w:bookmarkEnd w:id="58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lastRenderedPageBreak/>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587" w:name="_Toc188451416"/>
      <w:r>
        <w:rPr>
          <w:rStyle w:val="CharSectno"/>
        </w:rPr>
        <w:t>97UV</w:t>
      </w:r>
      <w:r>
        <w:t>.</w:t>
      </w:r>
      <w:r>
        <w:tab/>
        <w:t>Cancelling EEA</w:t>
      </w:r>
      <w:bookmarkEnd w:id="58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588" w:name="_Toc188451417"/>
      <w:r>
        <w:rPr>
          <w:rStyle w:val="CharSectno"/>
        </w:rPr>
        <w:t>97UW</w:t>
      </w:r>
      <w:r>
        <w:t>.</w:t>
      </w:r>
      <w:r>
        <w:tab/>
        <w:t>Termination of employment, effect of on EEA</w:t>
      </w:r>
      <w:bookmarkEnd w:id="588"/>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589" w:name="_Toc187907546"/>
      <w:bookmarkStart w:id="590" w:name="_Toc188271778"/>
      <w:bookmarkStart w:id="591" w:name="_Toc188451418"/>
      <w:r>
        <w:rPr>
          <w:rStyle w:val="CharDivNo"/>
        </w:rPr>
        <w:t>Division 5</w:t>
      </w:r>
      <w:r>
        <w:t> — </w:t>
      </w:r>
      <w:r>
        <w:rPr>
          <w:rStyle w:val="CharDivText"/>
        </w:rPr>
        <w:t>Registration of EEAs</w:t>
      </w:r>
      <w:bookmarkEnd w:id="589"/>
      <w:bookmarkEnd w:id="590"/>
      <w:bookmarkEnd w:id="591"/>
    </w:p>
    <w:p>
      <w:pPr>
        <w:pStyle w:val="Footnoteheading"/>
        <w:keepNext/>
        <w:keepLines/>
        <w:tabs>
          <w:tab w:val="left" w:pos="851"/>
        </w:tabs>
      </w:pPr>
      <w:r>
        <w:tab/>
        <w:t>[Heading inserted: No. 20 of 2002 s. 4.]</w:t>
      </w:r>
    </w:p>
    <w:p>
      <w:pPr>
        <w:pStyle w:val="Heading4"/>
        <w:keepLines/>
        <w:spacing w:before="260"/>
      </w:pPr>
      <w:bookmarkStart w:id="592" w:name="_Toc187907547"/>
      <w:bookmarkStart w:id="593" w:name="_Toc188271779"/>
      <w:bookmarkStart w:id="594" w:name="_Toc188451419"/>
      <w:r>
        <w:t>Subdivision 1 — Preliminary</w:t>
      </w:r>
      <w:bookmarkEnd w:id="592"/>
      <w:bookmarkEnd w:id="593"/>
      <w:bookmarkEnd w:id="594"/>
    </w:p>
    <w:p>
      <w:pPr>
        <w:pStyle w:val="Footnoteheading"/>
        <w:keepLines/>
        <w:tabs>
          <w:tab w:val="left" w:pos="851"/>
        </w:tabs>
      </w:pPr>
      <w:r>
        <w:tab/>
        <w:t>[Heading inserted: No. 20 of 2002 s. 4.]</w:t>
      </w:r>
    </w:p>
    <w:p>
      <w:pPr>
        <w:pStyle w:val="Heading5"/>
        <w:keepNext w:val="0"/>
        <w:spacing w:before="240"/>
      </w:pPr>
      <w:bookmarkStart w:id="595" w:name="_Toc188451420"/>
      <w:r>
        <w:rPr>
          <w:rStyle w:val="CharSectno"/>
        </w:rPr>
        <w:t>97UX</w:t>
      </w:r>
      <w:r>
        <w:t>.</w:t>
      </w:r>
      <w:r>
        <w:tab/>
        <w:t>Delegation by Registrar</w:t>
      </w:r>
      <w:bookmarkEnd w:id="595"/>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596" w:name="_Toc187907549"/>
      <w:bookmarkStart w:id="597" w:name="_Toc188271781"/>
      <w:bookmarkStart w:id="598" w:name="_Toc188451421"/>
      <w:r>
        <w:t>Subdivision 2 — Registration</w:t>
      </w:r>
      <w:bookmarkEnd w:id="596"/>
      <w:bookmarkEnd w:id="597"/>
      <w:bookmarkEnd w:id="598"/>
    </w:p>
    <w:p>
      <w:pPr>
        <w:pStyle w:val="Footnoteheading"/>
        <w:keepNext/>
        <w:keepLines/>
        <w:tabs>
          <w:tab w:val="left" w:pos="851"/>
        </w:tabs>
      </w:pPr>
      <w:r>
        <w:tab/>
        <w:t>[Heading inserted: No. 20 of 2002 s. 4.]</w:t>
      </w:r>
    </w:p>
    <w:p>
      <w:pPr>
        <w:pStyle w:val="Heading5"/>
      </w:pPr>
      <w:bookmarkStart w:id="599" w:name="_Toc188451422"/>
      <w:r>
        <w:rPr>
          <w:rStyle w:val="CharSectno"/>
        </w:rPr>
        <w:t>97UY</w:t>
      </w:r>
      <w:r>
        <w:t>.</w:t>
      </w:r>
      <w:r>
        <w:tab/>
        <w:t>Lodgment of EEA for registration</w:t>
      </w:r>
      <w:bookmarkEnd w:id="59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600" w:name="_Toc188451423"/>
      <w:r>
        <w:rPr>
          <w:rStyle w:val="CharSectno"/>
        </w:rPr>
        <w:t>97UZ</w:t>
      </w:r>
      <w:r>
        <w:t>.</w:t>
      </w:r>
      <w:r>
        <w:tab/>
        <w:t>EEA with new employee, effect of not lodging</w:t>
      </w:r>
      <w:bookmarkEnd w:id="60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601" w:name="_Toc188451424"/>
      <w:r>
        <w:rPr>
          <w:rStyle w:val="CharSectno"/>
        </w:rPr>
        <w:t>97V</w:t>
      </w:r>
      <w:r>
        <w:rPr>
          <w:snapToGrid w:val="0"/>
        </w:rPr>
        <w:t>.</w:t>
      </w:r>
      <w:r>
        <w:rPr>
          <w:snapToGrid w:val="0"/>
        </w:rPr>
        <w:tab/>
        <w:t>Recovery of money if s. 97UZ applies</w:t>
      </w:r>
      <w:bookmarkEnd w:id="60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lastRenderedPageBreak/>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602" w:name="_Toc188451425"/>
      <w:r>
        <w:rPr>
          <w:rStyle w:val="CharSectno"/>
        </w:rPr>
        <w:t>97VA</w:t>
      </w:r>
      <w:r>
        <w:t>.</w:t>
      </w:r>
      <w:r>
        <w:tab/>
        <w:t>Employment conditions of new employee if EEA not lodged</w:t>
      </w:r>
      <w:bookmarkEnd w:id="602"/>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603" w:name="_Toc188451426"/>
      <w:r>
        <w:rPr>
          <w:rStyle w:val="CharSectno"/>
        </w:rPr>
        <w:lastRenderedPageBreak/>
        <w:t>97VB</w:t>
      </w:r>
      <w:r>
        <w:t>.</w:t>
      </w:r>
      <w:r>
        <w:tab/>
        <w:t>Registrar to be satisfied EEA is in order for registration</w:t>
      </w:r>
      <w:bookmarkEnd w:id="603"/>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604" w:name="_Toc188451427"/>
      <w:r>
        <w:rPr>
          <w:rStyle w:val="CharSectno"/>
        </w:rPr>
        <w:t>97VC</w:t>
      </w:r>
      <w:r>
        <w:t>.</w:t>
      </w:r>
      <w:r>
        <w:tab/>
        <w:t>Registrar’s powers for s. 97VB</w:t>
      </w:r>
      <w:bookmarkEnd w:id="604"/>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605" w:name="_Toc188451428"/>
      <w:r>
        <w:rPr>
          <w:rStyle w:val="CharSectno"/>
        </w:rPr>
        <w:lastRenderedPageBreak/>
        <w:t>97VD</w:t>
      </w:r>
      <w:r>
        <w:t>.</w:t>
      </w:r>
      <w:r>
        <w:tab/>
        <w:t>Registrar to notify parties of certain deficiencies in EEA</w:t>
      </w:r>
      <w:bookmarkEnd w:id="605"/>
    </w:p>
    <w:p>
      <w:pPr>
        <w:pStyle w:val="Subsection"/>
        <w:keepNext/>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606" w:name="_Toc188451429"/>
      <w:r>
        <w:rPr>
          <w:rStyle w:val="CharSectno"/>
        </w:rPr>
        <w:t>97VE</w:t>
      </w:r>
      <w:r>
        <w:t>.</w:t>
      </w:r>
      <w:r>
        <w:tab/>
        <w:t>Parties may correct deficiencies in EEA</w:t>
      </w:r>
      <w:bookmarkEnd w:id="60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lastRenderedPageBreak/>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607" w:name="_Toc188451430"/>
      <w:r>
        <w:rPr>
          <w:rStyle w:val="CharSectno"/>
        </w:rPr>
        <w:t>97VF</w:t>
      </w:r>
      <w:r>
        <w:t>.</w:t>
      </w:r>
      <w:r>
        <w:tab/>
        <w:t>Registration of EEA</w:t>
      </w:r>
      <w:bookmarkEnd w:id="607"/>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608" w:name="_Toc188451431"/>
      <w:r>
        <w:rPr>
          <w:rStyle w:val="CharSectno"/>
        </w:rPr>
        <w:t>97VG</w:t>
      </w:r>
      <w:r>
        <w:t>.</w:t>
      </w:r>
      <w:r>
        <w:tab/>
        <w:t>Refusal of registration of EEA</w:t>
      </w:r>
      <w:bookmarkEnd w:id="608"/>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609" w:name="_Toc188451432"/>
      <w:r>
        <w:rPr>
          <w:rStyle w:val="CharSectno"/>
        </w:rPr>
        <w:t>97VH</w:t>
      </w:r>
      <w:r>
        <w:t>.</w:t>
      </w:r>
      <w:r>
        <w:tab/>
        <w:t>When refusal has effect</w:t>
      </w:r>
      <w:bookmarkEnd w:id="60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lastRenderedPageBreak/>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Commission for want of prosecution.</w:t>
      </w:r>
    </w:p>
    <w:p>
      <w:pPr>
        <w:pStyle w:val="Footnotesection"/>
        <w:spacing w:before="100"/>
        <w:ind w:left="890" w:hanging="890"/>
      </w:pPr>
      <w:r>
        <w:tab/>
        <w:t>[Section 97VH inserted: No. 20 of 2002 s. 4; amended: No. 43 of 2024 s. 92.]</w:t>
      </w:r>
    </w:p>
    <w:p>
      <w:pPr>
        <w:pStyle w:val="Heading5"/>
        <w:spacing w:before="180"/>
      </w:pPr>
      <w:bookmarkStart w:id="610" w:name="_Toc188451433"/>
      <w:r>
        <w:rPr>
          <w:rStyle w:val="CharSectno"/>
        </w:rPr>
        <w:t>97VI</w:t>
      </w:r>
      <w:r>
        <w:t>.</w:t>
      </w:r>
      <w:r>
        <w:tab/>
        <w:t>EEA for new employee refused registration, effect ceases</w:t>
      </w:r>
      <w:bookmarkEnd w:id="610"/>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611" w:name="_Toc188451434"/>
      <w:r>
        <w:rPr>
          <w:rStyle w:val="CharSectno"/>
        </w:rPr>
        <w:t>97VJ</w:t>
      </w:r>
      <w:r>
        <w:rPr>
          <w:snapToGrid w:val="0"/>
        </w:rPr>
        <w:t>.</w:t>
      </w:r>
      <w:r>
        <w:rPr>
          <w:snapToGrid w:val="0"/>
        </w:rPr>
        <w:tab/>
        <w:t>Recovery of money if s. 97VI applies</w:t>
      </w:r>
      <w:bookmarkEnd w:id="611"/>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lastRenderedPageBreak/>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612" w:name="_Toc188451435"/>
      <w:r>
        <w:rPr>
          <w:rStyle w:val="CharSectno"/>
        </w:rPr>
        <w:t>97VK</w:t>
      </w:r>
      <w:r>
        <w:t>.</w:t>
      </w:r>
      <w:r>
        <w:tab/>
        <w:t>Employment conditions of new employee if registration refused</w:t>
      </w:r>
      <w:bookmarkEnd w:id="612"/>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613" w:name="_Toc188451436"/>
      <w:r>
        <w:rPr>
          <w:rStyle w:val="CharSectno"/>
        </w:rPr>
        <w:t>97VL</w:t>
      </w:r>
      <w:r>
        <w:t>.</w:t>
      </w:r>
      <w:r>
        <w:tab/>
        <w:t>Registrar to provide copy of registered EEA</w:t>
      </w:r>
      <w:bookmarkEnd w:id="613"/>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lastRenderedPageBreak/>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by order of the Commission under section 97VP(2)(b).</w:t>
      </w:r>
    </w:p>
    <w:p>
      <w:pPr>
        <w:pStyle w:val="Footnotesection"/>
      </w:pPr>
      <w:r>
        <w:tab/>
        <w:t>[Section 97VL inserted: No. 20 of 2002 s. 4; amended: No. 43 of 2024 s. 92.]</w:t>
      </w:r>
    </w:p>
    <w:p>
      <w:pPr>
        <w:pStyle w:val="Heading4"/>
      </w:pPr>
      <w:bookmarkStart w:id="614" w:name="_Toc187907565"/>
      <w:bookmarkStart w:id="615" w:name="_Toc188271797"/>
      <w:bookmarkStart w:id="616" w:name="_Toc188451437"/>
      <w:r>
        <w:t>Subdivision 3 — Appeal against refusal of registration</w:t>
      </w:r>
      <w:bookmarkEnd w:id="614"/>
      <w:bookmarkEnd w:id="615"/>
      <w:bookmarkEnd w:id="616"/>
    </w:p>
    <w:p>
      <w:pPr>
        <w:pStyle w:val="Footnoteheading"/>
        <w:tabs>
          <w:tab w:val="left" w:pos="851"/>
        </w:tabs>
      </w:pPr>
      <w:r>
        <w:tab/>
        <w:t>[Heading inserted: No. 20 of 2002 s. 4.]</w:t>
      </w:r>
    </w:p>
    <w:p>
      <w:pPr>
        <w:pStyle w:val="Heading5"/>
        <w:spacing w:before="180"/>
      </w:pPr>
      <w:bookmarkStart w:id="617" w:name="_Toc188451438"/>
      <w:r>
        <w:rPr>
          <w:rStyle w:val="CharSectno"/>
        </w:rPr>
        <w:t>97VM</w:t>
      </w:r>
      <w:r>
        <w:t>.</w:t>
      </w:r>
      <w:r>
        <w:tab/>
        <w:t>Appeal against refusal of registration</w:t>
      </w:r>
      <w:bookmarkEnd w:id="617"/>
    </w:p>
    <w:p>
      <w:pPr>
        <w:pStyle w:val="Subsection"/>
      </w:pPr>
      <w:r>
        <w:tab/>
        <w:t>(1)</w:t>
      </w:r>
      <w:r>
        <w:tab/>
        <w:t>The employer or the employee under an EEA may appeal to the Commission constituted by a commissioner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 amended: No. 43 of 2024 s. 92.]</w:t>
      </w:r>
    </w:p>
    <w:p>
      <w:pPr>
        <w:pStyle w:val="Heading5"/>
      </w:pPr>
      <w:bookmarkStart w:id="618" w:name="_Toc188451439"/>
      <w:r>
        <w:rPr>
          <w:rStyle w:val="CharSectno"/>
        </w:rPr>
        <w:t>97VN</w:t>
      </w:r>
      <w:r>
        <w:t>.</w:t>
      </w:r>
      <w:r>
        <w:tab/>
      </w:r>
      <w:r>
        <w:rPr>
          <w:bCs/>
        </w:rPr>
        <w:t>Commission to notify parties of certain deficiencies in EEA</w:t>
      </w:r>
      <w:bookmarkEnd w:id="61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lastRenderedPageBreak/>
        <w:tab/>
        <w:t>(2)</w:t>
      </w:r>
      <w:r>
        <w:tab/>
        <w:t>Where this section applies the Commission may give notice in writing to the parties setting out —</w:t>
      </w:r>
    </w:p>
    <w:p>
      <w:pPr>
        <w:pStyle w:val="Indenta"/>
        <w:spacing w:before="60"/>
      </w:pPr>
      <w:r>
        <w:tab/>
        <w:t>(a)</w:t>
      </w:r>
      <w:r>
        <w:tab/>
        <w:t>the deficiencies in the EEA that, in the opinion of the Commission,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 amended: No. 43 of 2024 s. 92.]</w:t>
      </w:r>
    </w:p>
    <w:p>
      <w:pPr>
        <w:pStyle w:val="Heading5"/>
      </w:pPr>
      <w:bookmarkStart w:id="619" w:name="_Toc188451440"/>
      <w:r>
        <w:rPr>
          <w:rStyle w:val="CharSectno"/>
        </w:rPr>
        <w:t>97VO</w:t>
      </w:r>
      <w:r>
        <w:t>.</w:t>
      </w:r>
      <w:r>
        <w:tab/>
        <w:t>Parties may correct deficiencies in EEA</w:t>
      </w:r>
      <w:bookmarkEnd w:id="619"/>
    </w:p>
    <w:p>
      <w:pPr>
        <w:pStyle w:val="Subsection"/>
      </w:pPr>
      <w:r>
        <w:tab/>
        <w:t>(1)</w:t>
      </w:r>
      <w:r>
        <w:tab/>
        <w:t>If a notice is given to the parties under section 97VN they may, in accordance with the regulations, lodge a revised EEA with the Commission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Commission is satisfied that it is in order for registration,</w:t>
      </w:r>
    </w:p>
    <w:p>
      <w:pPr>
        <w:pStyle w:val="Subsection"/>
        <w:spacing w:before="120"/>
      </w:pPr>
      <w:r>
        <w:tab/>
      </w:r>
      <w:r>
        <w:tab/>
        <w:t>the Commission may cause it to be registered by disposing of the appeal in the manner provided for by section 97VP(2)(b)(i).</w:t>
      </w:r>
    </w:p>
    <w:p>
      <w:pPr>
        <w:pStyle w:val="Subsection"/>
      </w:pPr>
      <w:r>
        <w:tab/>
        <w:t>(3)</w:t>
      </w:r>
      <w:r>
        <w:tab/>
        <w:t>If —</w:t>
      </w:r>
    </w:p>
    <w:p>
      <w:pPr>
        <w:pStyle w:val="Indenta"/>
      </w:pPr>
      <w:r>
        <w:tab/>
        <w:t>(a)</w:t>
      </w:r>
      <w:r>
        <w:tab/>
        <w:t>the Commission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Commission must dispose of the appeal in the manner provided for by section 97VP(2)(a).</w:t>
      </w:r>
    </w:p>
    <w:p>
      <w:pPr>
        <w:pStyle w:val="Footnotesection"/>
        <w:tabs>
          <w:tab w:val="left" w:pos="5715"/>
        </w:tabs>
        <w:ind w:left="890" w:hanging="890"/>
      </w:pPr>
      <w:r>
        <w:tab/>
        <w:t>[Section 97VO inserted: No. 20 of 2002 s. 4; amended: No. 43 of 2024 s. 92.]</w:t>
      </w:r>
    </w:p>
    <w:p>
      <w:pPr>
        <w:pStyle w:val="Heading5"/>
      </w:pPr>
      <w:bookmarkStart w:id="620" w:name="_Toc188451441"/>
      <w:r>
        <w:rPr>
          <w:rStyle w:val="CharSectno"/>
        </w:rPr>
        <w:lastRenderedPageBreak/>
        <w:t>97VP</w:t>
      </w:r>
      <w:r>
        <w:t>.</w:t>
      </w:r>
      <w:r>
        <w:tab/>
        <w:t>Determination of appeal</w:t>
      </w:r>
      <w:bookmarkEnd w:id="620"/>
    </w:p>
    <w:p>
      <w:pPr>
        <w:pStyle w:val="Subsection"/>
      </w:pPr>
      <w:r>
        <w:tab/>
        <w:t>(1)</w:t>
      </w:r>
      <w:r>
        <w:tab/>
        <w:t>In determining an appeal the Commission is not limited to the material that was before the Registrar, but may inform itself in such manner as it thinks fit.</w:t>
      </w:r>
    </w:p>
    <w:p>
      <w:pPr>
        <w:pStyle w:val="Subsection"/>
      </w:pPr>
      <w:r>
        <w:tab/>
        <w:t>(2)</w:t>
      </w:r>
      <w:r>
        <w:tab/>
        <w:t>On the determination of an appeal the Commission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Commission thinks fit.</w:t>
      </w:r>
    </w:p>
    <w:p>
      <w:pPr>
        <w:pStyle w:val="Subsection"/>
      </w:pPr>
      <w:r>
        <w:tab/>
        <w:t>(3)</w:t>
      </w:r>
      <w:r>
        <w:tab/>
        <w:t>the Commission must give the parties notice in writing of its determination within 7 days after it is made.</w:t>
      </w:r>
    </w:p>
    <w:p>
      <w:pPr>
        <w:pStyle w:val="Footnotesection"/>
        <w:ind w:left="890" w:hanging="890"/>
      </w:pPr>
      <w:r>
        <w:tab/>
        <w:t>[Section 97VP inserted: No. 20 of 2002 s. 4; amended: No. 43 of 2024 s. 92.]</w:t>
      </w:r>
    </w:p>
    <w:p>
      <w:pPr>
        <w:pStyle w:val="Heading5"/>
        <w:spacing w:before="240"/>
      </w:pPr>
      <w:bookmarkStart w:id="621" w:name="_Toc188451442"/>
      <w:r>
        <w:rPr>
          <w:rStyle w:val="CharSectno"/>
        </w:rPr>
        <w:t>97VQ</w:t>
      </w:r>
      <w:r>
        <w:t>.</w:t>
      </w:r>
      <w:r>
        <w:tab/>
        <w:t>Procedure on appeal</w:t>
      </w:r>
      <w:bookmarkEnd w:id="62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Commission may exercise such of the powers set out in sections 27, 28 and 33 as the Commission considers it necessary or expedient to exercise for the purposes of an appeal under this Subdivision.</w:t>
      </w:r>
    </w:p>
    <w:p>
      <w:pPr>
        <w:pStyle w:val="Footnotesection"/>
        <w:spacing w:before="80"/>
        <w:ind w:left="890" w:hanging="890"/>
      </w:pPr>
      <w:r>
        <w:tab/>
        <w:t>[Section 97VQ inserted: No. 20 of 2002 s. 4; amended: No. 43 of 2024 s. 92.]</w:t>
      </w:r>
    </w:p>
    <w:p>
      <w:pPr>
        <w:pStyle w:val="Heading3"/>
      </w:pPr>
      <w:bookmarkStart w:id="622" w:name="_Toc187907571"/>
      <w:bookmarkStart w:id="623" w:name="_Toc188271803"/>
      <w:bookmarkStart w:id="624" w:name="_Toc188451443"/>
      <w:r>
        <w:rPr>
          <w:rStyle w:val="CharDivNo"/>
        </w:rPr>
        <w:lastRenderedPageBreak/>
        <w:t>Division 6</w:t>
      </w:r>
      <w:r>
        <w:t> — </w:t>
      </w:r>
      <w:r>
        <w:rPr>
          <w:rStyle w:val="CharDivText"/>
        </w:rPr>
        <w:t>No</w:t>
      </w:r>
      <w:r>
        <w:rPr>
          <w:rStyle w:val="CharDivText"/>
        </w:rPr>
        <w:noBreakHyphen/>
        <w:t>disadvantage test</w:t>
      </w:r>
      <w:bookmarkEnd w:id="622"/>
      <w:bookmarkEnd w:id="623"/>
      <w:bookmarkEnd w:id="624"/>
    </w:p>
    <w:p>
      <w:pPr>
        <w:pStyle w:val="Footnoteheading"/>
        <w:keepNext/>
        <w:tabs>
          <w:tab w:val="left" w:pos="851"/>
        </w:tabs>
      </w:pPr>
      <w:r>
        <w:tab/>
        <w:t>[Heading inserted: No. 20 of 2002 s. 4.]</w:t>
      </w:r>
    </w:p>
    <w:p>
      <w:pPr>
        <w:pStyle w:val="Heading4"/>
      </w:pPr>
      <w:bookmarkStart w:id="625" w:name="_Toc187907572"/>
      <w:bookmarkStart w:id="626" w:name="_Toc188271804"/>
      <w:bookmarkStart w:id="627" w:name="_Toc188451444"/>
      <w:r>
        <w:t>Subdivision 1 — Definition</w:t>
      </w:r>
      <w:bookmarkEnd w:id="625"/>
      <w:bookmarkEnd w:id="626"/>
      <w:bookmarkEnd w:id="627"/>
    </w:p>
    <w:p>
      <w:pPr>
        <w:pStyle w:val="Footnoteheading"/>
        <w:keepNext/>
        <w:tabs>
          <w:tab w:val="left" w:pos="851"/>
        </w:tabs>
      </w:pPr>
      <w:r>
        <w:tab/>
        <w:t>[Heading inserted: No. 20 of 2002 s. 4.]</w:t>
      </w:r>
    </w:p>
    <w:p>
      <w:pPr>
        <w:pStyle w:val="Heading5"/>
      </w:pPr>
      <w:bookmarkStart w:id="628" w:name="_Toc188451445"/>
      <w:r>
        <w:rPr>
          <w:rStyle w:val="CharSectno"/>
        </w:rPr>
        <w:t>97VR</w:t>
      </w:r>
      <w:r>
        <w:t>.</w:t>
      </w:r>
      <w:r>
        <w:tab/>
        <w:t>Terms used</w:t>
      </w:r>
      <w:bookmarkEnd w:id="628"/>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629" w:name="_Toc188451446"/>
      <w:r>
        <w:rPr>
          <w:rStyle w:val="CharSectno"/>
        </w:rPr>
        <w:t>97VS</w:t>
      </w:r>
      <w:r>
        <w:t>.</w:t>
      </w:r>
      <w:r>
        <w:tab/>
        <w:t>No</w:t>
      </w:r>
      <w:r>
        <w:noBreakHyphen/>
        <w:t>disadvantage test defined</w:t>
      </w:r>
      <w:bookmarkEnd w:id="629"/>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lastRenderedPageBreak/>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keepNext/>
      </w:pPr>
      <w:r>
        <w:tab/>
        <w:t>(5)</w:t>
      </w:r>
      <w:r>
        <w:tab/>
        <w:t>If the Registrar is satisfied that there is no award that would otherwise extend to the employee, subsection (2) applies to —</w:t>
      </w:r>
    </w:p>
    <w:p>
      <w:pPr>
        <w:pStyle w:val="Indenta"/>
      </w:pPr>
      <w:r>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lastRenderedPageBreak/>
        <w:tab/>
        <w:t>Note for this subsection:</w:t>
      </w:r>
    </w:p>
    <w:p>
      <w:pPr>
        <w:pStyle w:val="PermNoteText"/>
      </w:pPr>
      <w:r>
        <w:tab/>
      </w:r>
      <w:r>
        <w:tab/>
        <w:t>The MCE Act section 5(2) provides that a provision in, or condition of, an industrial instrument or contract of employment that is less favourable to the employee than a minimum condition of employment has no effect, and the minimum condition is taken to be the term of the industrial instrument or contract of employment instead.</w:t>
      </w:r>
    </w:p>
    <w:p>
      <w:pPr>
        <w:pStyle w:val="Footnotesection"/>
      </w:pPr>
      <w:r>
        <w:tab/>
        <w:t>[Section 97VS inserted: No. 20 of 2002 s. 4; amended: No. 53 of 2011 s. 38; No. 30 of 2021 s. 75(1) and 77(7); No. 43 of 2024 s. 81.]</w:t>
      </w:r>
    </w:p>
    <w:p>
      <w:pPr>
        <w:pStyle w:val="Heading5"/>
      </w:pPr>
      <w:bookmarkStart w:id="630" w:name="_Toc188451447"/>
      <w:r>
        <w:rPr>
          <w:rStyle w:val="CharSectno"/>
        </w:rPr>
        <w:t>97VT</w:t>
      </w:r>
      <w:r>
        <w:t>.</w:t>
      </w:r>
      <w:r>
        <w:tab/>
        <w:t>Determining which award etc. is relevant for s. 97VS</w:t>
      </w:r>
      <w:bookmarkEnd w:id="63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keepNext/>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631" w:name="_Toc188451448"/>
      <w:r>
        <w:rPr>
          <w:rStyle w:val="CharSectno"/>
        </w:rPr>
        <w:lastRenderedPageBreak/>
        <w:t>97VU</w:t>
      </w:r>
      <w:r>
        <w:t>.</w:t>
      </w:r>
      <w:r>
        <w:tab/>
        <w:t>All entitlements to be considered</w:t>
      </w:r>
      <w:bookmarkEnd w:id="631"/>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632" w:name="_Toc188451449"/>
      <w:r>
        <w:rPr>
          <w:rStyle w:val="CharSectno"/>
        </w:rPr>
        <w:t>97VV</w:t>
      </w:r>
      <w:r>
        <w:t>.</w:t>
      </w:r>
      <w:r>
        <w:tab/>
        <w:t>Application of test if Supported Wage System applies</w:t>
      </w:r>
      <w:bookmarkEnd w:id="632"/>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 amended: No. 30 of 2021 s. 77(7).]</w:t>
      </w:r>
    </w:p>
    <w:p>
      <w:pPr>
        <w:pStyle w:val="Heading4"/>
      </w:pPr>
      <w:bookmarkStart w:id="633" w:name="_Toc187907578"/>
      <w:bookmarkStart w:id="634" w:name="_Toc188271810"/>
      <w:bookmarkStart w:id="635" w:name="_Toc188451450"/>
      <w:r>
        <w:t>Subdivision 2 — Principles to be followed in application of no</w:t>
      </w:r>
      <w:r>
        <w:noBreakHyphen/>
        <w:t>disadvantage test</w:t>
      </w:r>
      <w:bookmarkEnd w:id="633"/>
      <w:bookmarkEnd w:id="634"/>
      <w:bookmarkEnd w:id="635"/>
    </w:p>
    <w:p>
      <w:pPr>
        <w:pStyle w:val="Footnoteheading"/>
        <w:keepNext/>
        <w:tabs>
          <w:tab w:val="left" w:pos="851"/>
        </w:tabs>
        <w:spacing w:before="100"/>
      </w:pPr>
      <w:r>
        <w:tab/>
        <w:t>[Heading inserted: No. 20 of 2002 s. 4.]</w:t>
      </w:r>
    </w:p>
    <w:p>
      <w:pPr>
        <w:pStyle w:val="Heading5"/>
      </w:pPr>
      <w:bookmarkStart w:id="636" w:name="_Toc188451451"/>
      <w:r>
        <w:rPr>
          <w:rStyle w:val="CharSectno"/>
        </w:rPr>
        <w:t>97VW</w:t>
      </w:r>
      <w:r>
        <w:t>.</w:t>
      </w:r>
      <w:r>
        <w:tab/>
      </w:r>
      <w:r>
        <w:rPr>
          <w:snapToGrid w:val="0"/>
        </w:rPr>
        <w:t>Term used: Commission</w:t>
      </w:r>
      <w:bookmarkEnd w:id="636"/>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637" w:name="_Toc188451452"/>
      <w:r>
        <w:rPr>
          <w:rStyle w:val="CharSectno"/>
        </w:rPr>
        <w:lastRenderedPageBreak/>
        <w:t>97VX</w:t>
      </w:r>
      <w:r>
        <w:t>.</w:t>
      </w:r>
      <w:r>
        <w:tab/>
        <w:t>Commission to establish principles and guidelines</w:t>
      </w:r>
      <w:bookmarkEnd w:id="63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638" w:name="_Toc188451453"/>
      <w:r>
        <w:rPr>
          <w:rStyle w:val="CharSectno"/>
        </w:rPr>
        <w:t>97VY</w:t>
      </w:r>
      <w:r>
        <w:t>.</w:t>
      </w:r>
      <w:r>
        <w:tab/>
        <w:t>Registrar and Commission to give effect to s. 97VX instrument</w:t>
      </w:r>
      <w:bookmarkEnd w:id="638"/>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Commission in the determination of an appeal under section 97VP, so far as it relates to a determination under that paragraph.</w:t>
      </w:r>
    </w:p>
    <w:p>
      <w:pPr>
        <w:pStyle w:val="Footnotesection"/>
        <w:spacing w:before="100"/>
        <w:ind w:left="890" w:hanging="890"/>
      </w:pPr>
      <w:r>
        <w:tab/>
        <w:t>[Section 97VY inserted: No. 20 of 2002 s. 4; amended: No. 43 of 2024 s. 92.]</w:t>
      </w:r>
    </w:p>
    <w:p>
      <w:pPr>
        <w:pStyle w:val="Heading5"/>
        <w:spacing w:before="260"/>
      </w:pPr>
      <w:bookmarkStart w:id="639" w:name="_Toc188451454"/>
      <w:r>
        <w:rPr>
          <w:rStyle w:val="CharSectno"/>
        </w:rPr>
        <w:lastRenderedPageBreak/>
        <w:t>97VZ</w:t>
      </w:r>
      <w:r>
        <w:t>.</w:t>
      </w:r>
      <w:r>
        <w:tab/>
        <w:t>Minister or peak industry body may seek amendment etc. of s. 97VX instrument</w:t>
      </w:r>
      <w:bookmarkEnd w:id="639"/>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and the Chamber.</w:t>
      </w:r>
    </w:p>
    <w:p>
      <w:pPr>
        <w:pStyle w:val="Footnotesection"/>
        <w:spacing w:before="100"/>
        <w:ind w:left="890" w:hanging="890"/>
      </w:pPr>
      <w:r>
        <w:tab/>
        <w:t>[Section 97VZ inserted: No. 20 of 2002 s. 4; amended: No. 53 of 2011 s. 48; No. 43 of 2024 s. 91.]</w:t>
      </w:r>
    </w:p>
    <w:p>
      <w:pPr>
        <w:pStyle w:val="Heading5"/>
      </w:pPr>
      <w:bookmarkStart w:id="640" w:name="_Toc188451455"/>
      <w:r>
        <w:rPr>
          <w:rStyle w:val="CharSectno"/>
        </w:rPr>
        <w:t>97W</w:t>
      </w:r>
      <w:r>
        <w:t>.</w:t>
      </w:r>
      <w:r>
        <w:tab/>
        <w:t>Public comment to be sought before s. 97VX instrument amended etc.</w:t>
      </w:r>
      <w:bookmarkEnd w:id="64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641" w:name="_Toc188451456"/>
      <w:r>
        <w:rPr>
          <w:rStyle w:val="CharSectno"/>
        </w:rPr>
        <w:t>97WA</w:t>
      </w:r>
      <w:r>
        <w:t>.</w:t>
      </w:r>
      <w:r>
        <w:tab/>
        <w:t>How public comment to be sought</w:t>
      </w:r>
      <w:bookmarkEnd w:id="641"/>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lastRenderedPageBreak/>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642" w:name="_Toc187907585"/>
      <w:bookmarkStart w:id="643" w:name="_Toc188271817"/>
      <w:bookmarkStart w:id="644" w:name="_Toc188451457"/>
      <w:r>
        <w:rPr>
          <w:rStyle w:val="CharDivNo"/>
        </w:rPr>
        <w:t>Division 7</w:t>
      </w:r>
      <w:r>
        <w:t> — </w:t>
      </w:r>
      <w:r>
        <w:rPr>
          <w:rStyle w:val="CharDivText"/>
        </w:rPr>
        <w:t>Register</w:t>
      </w:r>
      <w:bookmarkEnd w:id="642"/>
      <w:bookmarkEnd w:id="643"/>
      <w:bookmarkEnd w:id="644"/>
    </w:p>
    <w:p>
      <w:pPr>
        <w:pStyle w:val="Footnoteheading"/>
        <w:keepNext/>
        <w:tabs>
          <w:tab w:val="left" w:pos="851"/>
        </w:tabs>
        <w:spacing w:before="100"/>
      </w:pPr>
      <w:r>
        <w:tab/>
        <w:t>[Heading inserted: No. 20 of 2002 s. 4.]</w:t>
      </w:r>
    </w:p>
    <w:p>
      <w:pPr>
        <w:pStyle w:val="Heading5"/>
      </w:pPr>
      <w:bookmarkStart w:id="645" w:name="_Toc188451458"/>
      <w:r>
        <w:rPr>
          <w:rStyle w:val="CharSectno"/>
        </w:rPr>
        <w:t>97WB</w:t>
      </w:r>
      <w:r>
        <w:t>.</w:t>
      </w:r>
      <w:r>
        <w:tab/>
      </w:r>
      <w:r>
        <w:rPr>
          <w:snapToGrid w:val="0"/>
        </w:rPr>
        <w:t>Terms used</w:t>
      </w:r>
      <w:bookmarkEnd w:id="645"/>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lastRenderedPageBreak/>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646" w:name="_Toc188451459"/>
      <w:r>
        <w:rPr>
          <w:rStyle w:val="CharSectno"/>
        </w:rPr>
        <w:t>97WC</w:t>
      </w:r>
      <w:r>
        <w:t>.</w:t>
      </w:r>
      <w:r>
        <w:tab/>
        <w:t>Register of EEAs</w:t>
      </w:r>
      <w:bookmarkEnd w:id="646"/>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647" w:name="_Toc188451460"/>
      <w:r>
        <w:rPr>
          <w:rStyle w:val="CharSectno"/>
        </w:rPr>
        <w:t>97WD</w:t>
      </w:r>
      <w:r>
        <w:t>.</w:t>
      </w:r>
      <w:r>
        <w:tab/>
        <w:t>Inspection of register</w:t>
      </w:r>
      <w:bookmarkEnd w:id="647"/>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648" w:name="_Toc188451461"/>
      <w:r>
        <w:rPr>
          <w:rStyle w:val="CharSectno"/>
        </w:rPr>
        <w:t>97WE</w:t>
      </w:r>
      <w:r>
        <w:t>.</w:t>
      </w:r>
      <w:r>
        <w:tab/>
        <w:t>Commission may exempt an EEA from inspection</w:t>
      </w:r>
      <w:bookmarkEnd w:id="64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lastRenderedPageBreak/>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649" w:name="_Toc188451462"/>
      <w:r>
        <w:rPr>
          <w:rStyle w:val="CharSectno"/>
        </w:rPr>
        <w:t>97WF</w:t>
      </w:r>
      <w:r>
        <w:t>.</w:t>
      </w:r>
      <w:r>
        <w:tab/>
        <w:t>Protected information not to be disclosed</w:t>
      </w:r>
      <w:bookmarkEnd w:id="649"/>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650" w:name="_Toc188451463"/>
      <w:r>
        <w:rPr>
          <w:rStyle w:val="CharSectno"/>
        </w:rPr>
        <w:lastRenderedPageBreak/>
        <w:t>97WG</w:t>
      </w:r>
      <w:r>
        <w:t>.</w:t>
      </w:r>
      <w:r>
        <w:tab/>
        <w:t>Certified copies of EEAs</w:t>
      </w:r>
      <w:bookmarkEnd w:id="65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651" w:name="_Toc187907592"/>
      <w:bookmarkStart w:id="652" w:name="_Toc188271824"/>
      <w:bookmarkStart w:id="653" w:name="_Toc188451464"/>
      <w:r>
        <w:rPr>
          <w:rStyle w:val="CharDivNo"/>
        </w:rPr>
        <w:t>Division 8</w:t>
      </w:r>
      <w:r>
        <w:t> — </w:t>
      </w:r>
      <w:r>
        <w:rPr>
          <w:rStyle w:val="CharDivText"/>
        </w:rPr>
        <w:t>Disputes</w:t>
      </w:r>
      <w:bookmarkEnd w:id="651"/>
      <w:bookmarkEnd w:id="652"/>
      <w:bookmarkEnd w:id="653"/>
    </w:p>
    <w:p>
      <w:pPr>
        <w:pStyle w:val="Footnoteheading"/>
        <w:keepNext/>
        <w:keepLines/>
        <w:tabs>
          <w:tab w:val="left" w:pos="851"/>
        </w:tabs>
      </w:pPr>
      <w:r>
        <w:tab/>
        <w:t>[Heading inserted: No. 20 of 2002 s. 4.]</w:t>
      </w:r>
    </w:p>
    <w:p>
      <w:pPr>
        <w:pStyle w:val="Heading5"/>
      </w:pPr>
      <w:bookmarkStart w:id="654" w:name="_Toc188451465"/>
      <w:r>
        <w:rPr>
          <w:rStyle w:val="CharSectno"/>
        </w:rPr>
        <w:t>97WH</w:t>
      </w:r>
      <w:r>
        <w:t>.</w:t>
      </w:r>
      <w:r>
        <w:tab/>
      </w:r>
      <w:r>
        <w:rPr>
          <w:snapToGrid w:val="0"/>
        </w:rPr>
        <w:t>Terms used</w:t>
      </w:r>
      <w:bookmarkEnd w:id="654"/>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the Commission constituted by a commissioner;</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 amended: No. 43 of 2024 s. 92.]</w:t>
      </w:r>
    </w:p>
    <w:p>
      <w:pPr>
        <w:pStyle w:val="Heading5"/>
      </w:pPr>
      <w:bookmarkStart w:id="655" w:name="_Toc188451466"/>
      <w:r>
        <w:rPr>
          <w:rStyle w:val="CharSectno"/>
        </w:rPr>
        <w:t>97WI</w:t>
      </w:r>
      <w:r>
        <w:t>.</w:t>
      </w:r>
      <w:r>
        <w:tab/>
      </w:r>
      <w:r>
        <w:rPr>
          <w:bCs/>
        </w:rPr>
        <w:t>Arbitration jurisdiction of Commission</w:t>
      </w:r>
      <w:bookmarkEnd w:id="655"/>
    </w:p>
    <w:p>
      <w:pPr>
        <w:pStyle w:val="Subsection"/>
      </w:pPr>
      <w:r>
        <w:tab/>
        <w:t>(1)</w:t>
      </w:r>
      <w:r>
        <w:tab/>
        <w:t xml:space="preserve">The Commission constituted by a commissioner has jurisdiction to deal with and determine any dispute that is referred to the Commission for arbitration under a provision of the kind </w:t>
      </w:r>
      <w:r>
        <w:lastRenderedPageBreak/>
        <w:t>mentioned in section 97UP that is included in EEA dispute provisions.</w:t>
      </w:r>
    </w:p>
    <w:p>
      <w:pPr>
        <w:pStyle w:val="Subsection"/>
        <w:keepNext/>
      </w:pPr>
      <w:r>
        <w:tab/>
        <w:t>(2)</w:t>
      </w:r>
      <w:r>
        <w:tab/>
        <w:t>In conducting an arbitration the Commission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Commission is empowered by the provisions of the EEA to do so.</w:t>
      </w:r>
    </w:p>
    <w:p>
      <w:pPr>
        <w:pStyle w:val="Footnotesection"/>
      </w:pPr>
      <w:r>
        <w:tab/>
        <w:t>[Section 97WI inserted: No. 20 of 2002 s. 4; amended: No. 43 of 2024 s. 92.]</w:t>
      </w:r>
    </w:p>
    <w:p>
      <w:pPr>
        <w:pStyle w:val="Heading5"/>
        <w:spacing w:before="240"/>
      </w:pPr>
      <w:bookmarkStart w:id="656" w:name="_Toc188451467"/>
      <w:r>
        <w:rPr>
          <w:rStyle w:val="CharSectno"/>
        </w:rPr>
        <w:t>97WJ</w:t>
      </w:r>
      <w:r>
        <w:t>.</w:t>
      </w:r>
      <w:r>
        <w:tab/>
        <w:t>Representation of parties</w:t>
      </w:r>
      <w:bookmarkEnd w:id="656"/>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tab/>
        <w:t>[Section 97WJ inserted: No. 20 of 2002 s. 4; amended: No. 30 of 2021 s. 77(13).]</w:t>
      </w:r>
    </w:p>
    <w:p>
      <w:pPr>
        <w:pStyle w:val="Heading5"/>
        <w:spacing w:before="240"/>
      </w:pPr>
      <w:bookmarkStart w:id="657" w:name="_Toc188451468"/>
      <w:r>
        <w:rPr>
          <w:rStyle w:val="CharSectno"/>
        </w:rPr>
        <w:t>97WK</w:t>
      </w:r>
      <w:r>
        <w:t>.</w:t>
      </w:r>
      <w:r>
        <w:tab/>
      </w:r>
      <w:r>
        <w:rPr>
          <w:bCs/>
        </w:rPr>
        <w:t>Referral of alleged delay in dispute resolution to Commission</w:t>
      </w:r>
      <w:bookmarkEnd w:id="657"/>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Commission.</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lastRenderedPageBreak/>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Commission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Commission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If the Commission is not satisfied that the allegation is proved —</w:t>
      </w:r>
    </w:p>
    <w:p>
      <w:pPr>
        <w:pStyle w:val="Indenta"/>
        <w:spacing w:before="70"/>
      </w:pPr>
      <w:r>
        <w:tab/>
        <w:t>(a)</w:t>
      </w:r>
      <w:r>
        <w:tab/>
        <w:t>the Commission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 amended: No. 43 of 2024 s. 92.]</w:t>
      </w:r>
    </w:p>
    <w:p>
      <w:pPr>
        <w:pStyle w:val="Heading5"/>
      </w:pPr>
      <w:bookmarkStart w:id="658" w:name="_Toc188451469"/>
      <w:r>
        <w:rPr>
          <w:rStyle w:val="CharSectno"/>
        </w:rPr>
        <w:t>97WL</w:t>
      </w:r>
      <w:r>
        <w:t>.</w:t>
      </w:r>
      <w:r>
        <w:tab/>
        <w:t>Several disputes may be subject of one arbitration</w:t>
      </w:r>
      <w:bookmarkEnd w:id="658"/>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lastRenderedPageBreak/>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659" w:name="_Toc188451470"/>
      <w:r>
        <w:rPr>
          <w:rStyle w:val="CharSectno"/>
        </w:rPr>
        <w:t>97WM</w:t>
      </w:r>
      <w:r>
        <w:t>.</w:t>
      </w:r>
      <w:r>
        <w:tab/>
        <w:t>Arbitrator’s power to obtain information</w:t>
      </w:r>
      <w:bookmarkEnd w:id="65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660" w:name="_Toc188451471"/>
      <w:r>
        <w:rPr>
          <w:rStyle w:val="CharSectno"/>
        </w:rPr>
        <w:t>97WN</w:t>
      </w:r>
      <w:r>
        <w:t>.</w:t>
      </w:r>
      <w:r>
        <w:tab/>
        <w:t>Orders and determinations of arbitrators</w:t>
      </w:r>
      <w:bookmarkEnd w:id="66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the Commission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lastRenderedPageBreak/>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 No. 43 of 2024 s. 92.]</w:t>
      </w:r>
    </w:p>
    <w:p>
      <w:pPr>
        <w:pStyle w:val="Heading5"/>
      </w:pPr>
      <w:bookmarkStart w:id="661" w:name="_Toc188451472"/>
      <w:r>
        <w:rPr>
          <w:rStyle w:val="CharSectno"/>
        </w:rPr>
        <w:t>97WO</w:t>
      </w:r>
      <w:r>
        <w:t>.</w:t>
      </w:r>
      <w:r>
        <w:tab/>
        <w:t>Orders and determinations, form of etc.</w:t>
      </w:r>
      <w:bookmarkEnd w:id="661"/>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662" w:name="_Toc188451473"/>
      <w:r>
        <w:rPr>
          <w:rStyle w:val="CharSectno"/>
        </w:rPr>
        <w:lastRenderedPageBreak/>
        <w:t>97WP</w:t>
      </w:r>
      <w:r>
        <w:t>.</w:t>
      </w:r>
      <w:r>
        <w:tab/>
        <w:t>Enforcing orders and determinations</w:t>
      </w:r>
      <w:bookmarkEnd w:id="662"/>
    </w:p>
    <w:p>
      <w:pPr>
        <w:pStyle w:val="Subsection"/>
        <w:spacing w:before="140"/>
      </w:pPr>
      <w:r>
        <w:tab/>
        <w:t>(1)</w:t>
      </w:r>
      <w:r>
        <w:tab/>
        <w:t>An order or determination referred to in section 97WN(4)(b) and (c) made by a Commissioner is enforceable under section 83.</w:t>
      </w:r>
    </w:p>
    <w:p>
      <w:pPr>
        <w:pStyle w:val="Subsection"/>
        <w:spacing w:before="140"/>
      </w:pPr>
      <w:r>
        <w:tab/>
        <w:t>(2)</w:t>
      </w:r>
      <w:r>
        <w:tab/>
        <w:t>Where an order or determination referred to in section 97WN(4)(b) and (c) is made by an arbitrator that is not the Commission,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 amended: No. 43 of 2024 s. 92.]</w:t>
      </w:r>
    </w:p>
    <w:p>
      <w:pPr>
        <w:pStyle w:val="Heading5"/>
      </w:pPr>
      <w:bookmarkStart w:id="663" w:name="_Toc188451474"/>
      <w:r>
        <w:rPr>
          <w:rStyle w:val="CharSectno"/>
        </w:rPr>
        <w:t>97WQ</w:t>
      </w:r>
      <w:r>
        <w:t>.</w:t>
      </w:r>
      <w:r>
        <w:tab/>
        <w:t>Industrial magistrate’s court not bound by arbitrator’s interpretation of EEA</w:t>
      </w:r>
      <w:bookmarkEnd w:id="663"/>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664" w:name="_Toc187907603"/>
      <w:bookmarkStart w:id="665" w:name="_Toc188271835"/>
      <w:bookmarkStart w:id="666" w:name="_Toc188451475"/>
      <w:r>
        <w:rPr>
          <w:rStyle w:val="CharDivNo"/>
        </w:rPr>
        <w:lastRenderedPageBreak/>
        <w:t>Division 9</w:t>
      </w:r>
      <w:r>
        <w:t> — </w:t>
      </w:r>
      <w:r>
        <w:rPr>
          <w:rStyle w:val="CharDivText"/>
        </w:rPr>
        <w:t>EEAs for persons with mental disabilities</w:t>
      </w:r>
      <w:bookmarkEnd w:id="664"/>
      <w:bookmarkEnd w:id="665"/>
      <w:bookmarkEnd w:id="666"/>
    </w:p>
    <w:p>
      <w:pPr>
        <w:pStyle w:val="Footnoteheading"/>
        <w:keepNext/>
        <w:tabs>
          <w:tab w:val="left" w:pos="851"/>
        </w:tabs>
        <w:spacing w:before="80"/>
      </w:pPr>
      <w:r>
        <w:tab/>
        <w:t>[Heading inserted: No. 20 of 2002 s. 4.]</w:t>
      </w:r>
    </w:p>
    <w:p>
      <w:pPr>
        <w:pStyle w:val="Heading4"/>
      </w:pPr>
      <w:bookmarkStart w:id="667" w:name="_Toc187907604"/>
      <w:bookmarkStart w:id="668" w:name="_Toc188271836"/>
      <w:bookmarkStart w:id="669" w:name="_Toc188451476"/>
      <w:r>
        <w:t>Subdivision 1 — Preliminary</w:t>
      </w:r>
      <w:bookmarkEnd w:id="667"/>
      <w:bookmarkEnd w:id="668"/>
      <w:bookmarkEnd w:id="669"/>
    </w:p>
    <w:p>
      <w:pPr>
        <w:pStyle w:val="Footnoteheading"/>
        <w:keepNext/>
        <w:tabs>
          <w:tab w:val="left" w:pos="851"/>
        </w:tabs>
        <w:spacing w:before="80"/>
      </w:pPr>
      <w:r>
        <w:tab/>
        <w:t>[Heading inserted: No. 20 of 2002 s. 4.]</w:t>
      </w:r>
    </w:p>
    <w:p>
      <w:pPr>
        <w:pStyle w:val="Heading5"/>
      </w:pPr>
      <w:bookmarkStart w:id="670" w:name="_Toc188451477"/>
      <w:r>
        <w:rPr>
          <w:rStyle w:val="CharSectno"/>
        </w:rPr>
        <w:t>97WR</w:t>
      </w:r>
      <w:r>
        <w:t>.</w:t>
      </w:r>
      <w:r>
        <w:tab/>
        <w:t>Terms used</w:t>
      </w:r>
      <w:bookmarkEnd w:id="670"/>
    </w:p>
    <w:p>
      <w:pPr>
        <w:pStyle w:val="Subsection"/>
        <w:keepNext/>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671"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672" w:name="_Toc188451478"/>
      <w:r>
        <w:rPr>
          <w:rStyle w:val="CharSectno"/>
        </w:rPr>
        <w:lastRenderedPageBreak/>
        <w:t>97WS</w:t>
      </w:r>
      <w:r>
        <w:t>.</w:t>
      </w:r>
      <w:r>
        <w:tab/>
      </w:r>
      <w:r>
        <w:rPr>
          <w:i/>
        </w:rPr>
        <w:t>Guardianship and Administration Act 1990</w:t>
      </w:r>
      <w:r>
        <w:t>, relationship of this Division to</w:t>
      </w:r>
      <w:bookmarkEnd w:id="67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 amended: No. 30 of 2021 s. 77(13).]</w:t>
      </w:r>
    </w:p>
    <w:p>
      <w:pPr>
        <w:pStyle w:val="Heading5"/>
      </w:pPr>
      <w:bookmarkStart w:id="673" w:name="_Toc188451479"/>
      <w:r>
        <w:rPr>
          <w:rStyle w:val="CharSectno"/>
        </w:rPr>
        <w:lastRenderedPageBreak/>
        <w:t>97WT</w:t>
      </w:r>
      <w:r>
        <w:t>.</w:t>
      </w:r>
      <w:r>
        <w:tab/>
        <w:t>Registrar to notify Public Advocate of applications and orders for approval of representative</w:t>
      </w:r>
      <w:bookmarkEnd w:id="673"/>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674" w:name="_Toc188451480"/>
      <w:r>
        <w:rPr>
          <w:rStyle w:val="CharSectno"/>
        </w:rPr>
        <w:t>97WU</w:t>
      </w:r>
      <w:r>
        <w:t>.</w:t>
      </w:r>
      <w:r>
        <w:tab/>
        <w:t>Public Advocate to notify Registrar of relevant guardianship orders</w:t>
      </w:r>
      <w:bookmarkEnd w:id="674"/>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lastRenderedPageBreak/>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675" w:name="_Toc187907609"/>
      <w:bookmarkStart w:id="676" w:name="_Toc188271841"/>
      <w:bookmarkStart w:id="677" w:name="_Toc188451481"/>
      <w:r>
        <w:t>Subdivision 2 — Approval of person to act on behalf of person with a mental disability</w:t>
      </w:r>
      <w:bookmarkEnd w:id="675"/>
      <w:bookmarkEnd w:id="676"/>
      <w:bookmarkEnd w:id="677"/>
    </w:p>
    <w:p>
      <w:pPr>
        <w:pStyle w:val="Footnoteheading"/>
        <w:tabs>
          <w:tab w:val="left" w:pos="851"/>
        </w:tabs>
      </w:pPr>
      <w:r>
        <w:tab/>
        <w:t>[Heading inserted: No. 20 of 2002 s. 4.]</w:t>
      </w:r>
    </w:p>
    <w:p>
      <w:pPr>
        <w:pStyle w:val="Heading5"/>
      </w:pPr>
      <w:bookmarkStart w:id="678" w:name="_Toc188451482"/>
      <w:r>
        <w:rPr>
          <w:rStyle w:val="CharSectno"/>
        </w:rPr>
        <w:t>97WV</w:t>
      </w:r>
      <w:r>
        <w:t>.</w:t>
      </w:r>
      <w:r>
        <w:tab/>
        <w:t>Application for approval</w:t>
      </w:r>
      <w:bookmarkEnd w:id="67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lastRenderedPageBreak/>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679" w:name="_Toc188451483"/>
      <w:r>
        <w:rPr>
          <w:rStyle w:val="CharSectno"/>
        </w:rPr>
        <w:t>97WW</w:t>
      </w:r>
      <w:r>
        <w:t>.</w:t>
      </w:r>
      <w:r>
        <w:tab/>
        <w:t>Requirements for s. 97WV application</w:t>
      </w:r>
      <w:bookmarkEnd w:id="679"/>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680" w:name="_Toc188451484"/>
      <w:r>
        <w:rPr>
          <w:rStyle w:val="CharSectno"/>
        </w:rPr>
        <w:lastRenderedPageBreak/>
        <w:t>97WX</w:t>
      </w:r>
      <w:r>
        <w:t>.</w:t>
      </w:r>
      <w:r>
        <w:tab/>
        <w:t>Forms for s. 97WW to be prescribed</w:t>
      </w:r>
      <w:bookmarkEnd w:id="68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681" w:name="_Toc188451485"/>
      <w:r>
        <w:rPr>
          <w:rStyle w:val="CharSectno"/>
        </w:rPr>
        <w:t>97WY</w:t>
      </w:r>
      <w:r>
        <w:t>.</w:t>
      </w:r>
      <w:r>
        <w:tab/>
        <w:t>Who may be approved as a representative</w:t>
      </w:r>
      <w:bookmarkEnd w:id="681"/>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lastRenderedPageBreak/>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682" w:name="_Toc188451486"/>
      <w:r>
        <w:rPr>
          <w:rStyle w:val="CharSectno"/>
        </w:rPr>
        <w:t>97WZ</w:t>
      </w:r>
      <w:r>
        <w:t>.</w:t>
      </w:r>
      <w:r>
        <w:tab/>
        <w:t>Approval of representative</w:t>
      </w:r>
      <w:bookmarkEnd w:id="682"/>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 No. 30 of 2021 s. 77(12) and (13).]</w:t>
      </w:r>
    </w:p>
    <w:p>
      <w:pPr>
        <w:pStyle w:val="Heading5"/>
      </w:pPr>
      <w:bookmarkStart w:id="683" w:name="_Toc188451487"/>
      <w:r>
        <w:rPr>
          <w:rStyle w:val="CharSectno"/>
        </w:rPr>
        <w:lastRenderedPageBreak/>
        <w:t>97X</w:t>
      </w:r>
      <w:r>
        <w:t>.</w:t>
      </w:r>
      <w:r>
        <w:tab/>
        <w:t>Effect of s. 97WZ order</w:t>
      </w:r>
      <w:bookmarkEnd w:id="683"/>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684" w:name="_Toc188451488"/>
      <w:r>
        <w:rPr>
          <w:rStyle w:val="CharSectno"/>
        </w:rPr>
        <w:t>97XA</w:t>
      </w:r>
      <w:r>
        <w:t>.</w:t>
      </w:r>
      <w:r>
        <w:tab/>
        <w:t>Refusal of approval</w:t>
      </w:r>
      <w:bookmarkEnd w:id="684"/>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685" w:name="_Toc188451489"/>
      <w:r>
        <w:rPr>
          <w:rStyle w:val="CharSectno"/>
        </w:rPr>
        <w:t>97XB</w:t>
      </w:r>
      <w:r>
        <w:t>.</w:t>
      </w:r>
      <w:r>
        <w:tab/>
        <w:t>Appeal against refusal of approval</w:t>
      </w:r>
      <w:bookmarkEnd w:id="685"/>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 amended: No. 30 of 2021 s. 77(13).]</w:t>
      </w:r>
    </w:p>
    <w:p>
      <w:pPr>
        <w:pStyle w:val="Heading5"/>
      </w:pPr>
      <w:bookmarkStart w:id="686" w:name="_Toc188451490"/>
      <w:r>
        <w:rPr>
          <w:rStyle w:val="CharSectno"/>
        </w:rPr>
        <w:lastRenderedPageBreak/>
        <w:t>97XC</w:t>
      </w:r>
      <w:r>
        <w:t>.</w:t>
      </w:r>
      <w:r>
        <w:tab/>
        <w:t>Determination of appeal</w:t>
      </w:r>
      <w:bookmarkEnd w:id="68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687" w:name="_Toc187907619"/>
      <w:bookmarkStart w:id="688" w:name="_Toc188271851"/>
      <w:bookmarkStart w:id="689" w:name="_Toc188451491"/>
      <w:r>
        <w:t>Subdivision 3 — Functions of representative</w:t>
      </w:r>
      <w:bookmarkEnd w:id="687"/>
      <w:bookmarkEnd w:id="688"/>
      <w:bookmarkEnd w:id="689"/>
    </w:p>
    <w:p>
      <w:pPr>
        <w:pStyle w:val="Footnoteheading"/>
        <w:keepNext/>
        <w:tabs>
          <w:tab w:val="left" w:pos="851"/>
        </w:tabs>
        <w:spacing w:before="100"/>
      </w:pPr>
      <w:r>
        <w:tab/>
        <w:t>[Heading inserted: No. 20 of 2002 s. 4.]</w:t>
      </w:r>
    </w:p>
    <w:p>
      <w:pPr>
        <w:pStyle w:val="Heading5"/>
      </w:pPr>
      <w:bookmarkStart w:id="690" w:name="_Toc188451492"/>
      <w:r>
        <w:rPr>
          <w:rStyle w:val="CharSectno"/>
        </w:rPr>
        <w:t>97XD</w:t>
      </w:r>
      <w:r>
        <w:t>.</w:t>
      </w:r>
      <w:r>
        <w:tab/>
        <w:t>Functions</w:t>
      </w:r>
      <w:bookmarkEnd w:id="690"/>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lastRenderedPageBreak/>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691" w:name="_Toc188451493"/>
      <w:r>
        <w:rPr>
          <w:rStyle w:val="CharSectno"/>
        </w:rPr>
        <w:t>97XE</w:t>
      </w:r>
      <w:r>
        <w:t>.</w:t>
      </w:r>
      <w:r>
        <w:tab/>
        <w:t>Effect of acts of representative</w:t>
      </w:r>
      <w:bookmarkEnd w:id="691"/>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692" w:name="_Toc188451494"/>
      <w:r>
        <w:rPr>
          <w:rStyle w:val="CharSectno"/>
        </w:rPr>
        <w:t>97XF</w:t>
      </w:r>
      <w:r>
        <w:t>.</w:t>
      </w:r>
      <w:r>
        <w:tab/>
        <w:t>Duties of representative</w:t>
      </w:r>
      <w:bookmarkEnd w:id="692"/>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lastRenderedPageBreak/>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693" w:name="_Toc187907623"/>
      <w:bookmarkStart w:id="694" w:name="_Toc188271855"/>
      <w:bookmarkStart w:id="695" w:name="_Toc188451495"/>
      <w:r>
        <w:t>Subdivision 4 — Termination of representative’s authority to act</w:t>
      </w:r>
      <w:bookmarkEnd w:id="693"/>
      <w:bookmarkEnd w:id="694"/>
      <w:bookmarkEnd w:id="695"/>
    </w:p>
    <w:p>
      <w:pPr>
        <w:pStyle w:val="Footnoteheading"/>
        <w:tabs>
          <w:tab w:val="left" w:pos="851"/>
        </w:tabs>
      </w:pPr>
      <w:r>
        <w:tab/>
        <w:t>[Heading inserted: No. 20 of 2002 s. 4.]</w:t>
      </w:r>
    </w:p>
    <w:p>
      <w:pPr>
        <w:pStyle w:val="Heading5"/>
      </w:pPr>
      <w:bookmarkStart w:id="696" w:name="_Toc188451496"/>
      <w:r>
        <w:rPr>
          <w:rStyle w:val="CharSectno"/>
        </w:rPr>
        <w:t>97XG</w:t>
      </w:r>
      <w:r>
        <w:t>.</w:t>
      </w:r>
      <w:r>
        <w:tab/>
        <w:t>Duration of order approving representative</w:t>
      </w:r>
      <w:bookmarkEnd w:id="69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lastRenderedPageBreak/>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697" w:name="_Toc188451497"/>
      <w:r>
        <w:rPr>
          <w:rStyle w:val="CharSectno"/>
        </w:rPr>
        <w:t>97XH</w:t>
      </w:r>
      <w:r>
        <w:t>.</w:t>
      </w:r>
      <w:r>
        <w:tab/>
        <w:t>Resignation of representative</w:t>
      </w:r>
      <w:bookmarkEnd w:id="697"/>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698" w:name="_Toc188451498"/>
      <w:r>
        <w:rPr>
          <w:rStyle w:val="CharSectno"/>
        </w:rPr>
        <w:t>97XI</w:t>
      </w:r>
      <w:r>
        <w:t>.</w:t>
      </w:r>
      <w:r>
        <w:tab/>
        <w:t>Revocation order, application to SAT for</w:t>
      </w:r>
      <w:bookmarkEnd w:id="698"/>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lastRenderedPageBreak/>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699" w:name="_Toc188451499"/>
      <w:r>
        <w:rPr>
          <w:rStyle w:val="CharSectno"/>
        </w:rPr>
        <w:t>97XJ</w:t>
      </w:r>
      <w:r>
        <w:t>.</w:t>
      </w:r>
      <w:r>
        <w:tab/>
        <w:t>Right to be heard on s. 97XI application</w:t>
      </w:r>
      <w:bookmarkEnd w:id="699"/>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700" w:name="_Toc188451500"/>
      <w:r>
        <w:rPr>
          <w:rStyle w:val="CharSectno"/>
        </w:rPr>
        <w:t>97XK</w:t>
      </w:r>
      <w:r>
        <w:t>.</w:t>
      </w:r>
      <w:r>
        <w:tab/>
        <w:t>SAT may make revocation order</w:t>
      </w:r>
      <w:bookmarkEnd w:id="700"/>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lastRenderedPageBreak/>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 No. 30 of 2021 s. 77(13).]</w:t>
      </w:r>
    </w:p>
    <w:p>
      <w:pPr>
        <w:pStyle w:val="Heading5"/>
      </w:pPr>
      <w:bookmarkStart w:id="701" w:name="_Toc188451501"/>
      <w:r>
        <w:rPr>
          <w:rStyle w:val="CharSectno"/>
        </w:rPr>
        <w:t>97XL</w:t>
      </w:r>
      <w:r>
        <w:t>.</w:t>
      </w:r>
      <w:r>
        <w:tab/>
      </w:r>
      <w:r>
        <w:rPr>
          <w:i/>
        </w:rPr>
        <w:t>Guardianship and Administration Act 1990</w:t>
      </w:r>
      <w:r>
        <w:t>, application of for s. 97XK</w:t>
      </w:r>
      <w:bookmarkEnd w:id="70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702" w:name="_Toc187907630"/>
      <w:bookmarkStart w:id="703" w:name="_Toc188271862"/>
      <w:bookmarkStart w:id="704" w:name="_Toc188451502"/>
      <w:r>
        <w:lastRenderedPageBreak/>
        <w:t>Subdivision 5 — Approval of new representative</w:t>
      </w:r>
      <w:bookmarkEnd w:id="702"/>
      <w:bookmarkEnd w:id="703"/>
      <w:bookmarkEnd w:id="704"/>
    </w:p>
    <w:p>
      <w:pPr>
        <w:pStyle w:val="Footnoteheading"/>
        <w:keepNext/>
        <w:tabs>
          <w:tab w:val="left" w:pos="851"/>
        </w:tabs>
      </w:pPr>
      <w:r>
        <w:tab/>
        <w:t>[Heading inserted: No. 20 of 2002 s. 4.]</w:t>
      </w:r>
    </w:p>
    <w:p>
      <w:pPr>
        <w:pStyle w:val="Heading5"/>
      </w:pPr>
      <w:bookmarkStart w:id="705" w:name="_Toc188451503"/>
      <w:r>
        <w:rPr>
          <w:rStyle w:val="CharSectno"/>
        </w:rPr>
        <w:t>97XM</w:t>
      </w:r>
      <w:r>
        <w:t>.</w:t>
      </w:r>
      <w:r>
        <w:tab/>
        <w:t>Application for new approval where representative dies or approval is revoked</w:t>
      </w:r>
      <w:bookmarkEnd w:id="70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lastRenderedPageBreak/>
        <w:tab/>
        <w:t>[Section 97XM inserted: No. 20 of 2002 s. 4; amended: No. 30 of 2021 s. 77(13).]</w:t>
      </w:r>
    </w:p>
    <w:p>
      <w:pPr>
        <w:pStyle w:val="Heading5"/>
      </w:pPr>
      <w:bookmarkStart w:id="706" w:name="_Toc188451504"/>
      <w:r>
        <w:rPr>
          <w:rStyle w:val="CharSectno"/>
        </w:rPr>
        <w:t>97XN</w:t>
      </w:r>
      <w:r>
        <w:t>.</w:t>
      </w:r>
      <w:r>
        <w:tab/>
        <w:t>Approval of representative</w:t>
      </w:r>
      <w:bookmarkEnd w:id="706"/>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707" w:name="_Toc188451505"/>
      <w:r>
        <w:rPr>
          <w:rStyle w:val="CharSectno"/>
        </w:rPr>
        <w:t>97XO</w:t>
      </w:r>
      <w:r>
        <w:t>.</w:t>
      </w:r>
      <w:r>
        <w:tab/>
        <w:t>Effect of s. 97XN order</w:t>
      </w:r>
      <w:bookmarkEnd w:id="70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lastRenderedPageBreak/>
        <w:tab/>
        <w:t>[Section 97XO inserted: No. 20 of 2002 s. 4.]</w:t>
      </w:r>
    </w:p>
    <w:p>
      <w:pPr>
        <w:pStyle w:val="Heading5"/>
      </w:pPr>
      <w:bookmarkStart w:id="708" w:name="_Toc188451506"/>
      <w:r>
        <w:rPr>
          <w:rStyle w:val="CharSectno"/>
        </w:rPr>
        <w:t>97XP</w:t>
      </w:r>
      <w:r>
        <w:t>.</w:t>
      </w:r>
      <w:r>
        <w:tab/>
        <w:t>Refusal of approval</w:t>
      </w:r>
      <w:bookmarkEnd w:id="708"/>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709" w:name="_Toc188451507"/>
      <w:r>
        <w:rPr>
          <w:rStyle w:val="CharSectno"/>
        </w:rPr>
        <w:t>97XQ</w:t>
      </w:r>
      <w:r>
        <w:t>.</w:t>
      </w:r>
      <w:r>
        <w:tab/>
        <w:t>Appeal against refusal of approval</w:t>
      </w:r>
      <w:bookmarkEnd w:id="709"/>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710" w:name="_Toc187907636"/>
      <w:bookmarkStart w:id="711" w:name="_Toc188271868"/>
      <w:bookmarkStart w:id="712" w:name="_Toc188451508"/>
      <w:r>
        <w:t>Subdivision 6 — Miscellaneous</w:t>
      </w:r>
      <w:bookmarkEnd w:id="710"/>
      <w:bookmarkEnd w:id="711"/>
      <w:bookmarkEnd w:id="712"/>
    </w:p>
    <w:p>
      <w:pPr>
        <w:pStyle w:val="Footnoteheading"/>
        <w:keepNext/>
        <w:tabs>
          <w:tab w:val="left" w:pos="851"/>
        </w:tabs>
      </w:pPr>
      <w:r>
        <w:tab/>
        <w:t>[Heading inserted: No. 20 of 2002 s. 4.]</w:t>
      </w:r>
    </w:p>
    <w:p>
      <w:pPr>
        <w:pStyle w:val="Heading5"/>
      </w:pPr>
      <w:bookmarkStart w:id="713" w:name="_Toc188451509"/>
      <w:r>
        <w:rPr>
          <w:rStyle w:val="CharSectno"/>
        </w:rPr>
        <w:t>97XR</w:t>
      </w:r>
      <w:r>
        <w:t>.</w:t>
      </w:r>
      <w:r>
        <w:tab/>
        <w:t>Registrar’s powers for s. 97WV and 97XM</w:t>
      </w:r>
      <w:bookmarkEnd w:id="713"/>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714" w:name="_Toc188451510"/>
      <w:r>
        <w:rPr>
          <w:rStyle w:val="CharSectno"/>
        </w:rPr>
        <w:lastRenderedPageBreak/>
        <w:t>97XS</w:t>
      </w:r>
      <w:r>
        <w:t>.</w:t>
      </w:r>
      <w:r>
        <w:tab/>
        <w:t>EEA not affected by revocation of order or vacancy in position of representative</w:t>
      </w:r>
      <w:bookmarkEnd w:id="714"/>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715" w:name="_Toc188451511"/>
      <w:r>
        <w:rPr>
          <w:rStyle w:val="CharSectno"/>
        </w:rPr>
        <w:t>97XT</w:t>
      </w:r>
      <w:r>
        <w:t>.</w:t>
      </w:r>
      <w:r>
        <w:tab/>
        <w:t>Register of s. 97WZ and 97XN orders</w:t>
      </w:r>
      <w:bookmarkEnd w:id="715"/>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716" w:name="_Toc188451512"/>
      <w:r>
        <w:rPr>
          <w:rStyle w:val="CharSectno"/>
        </w:rPr>
        <w:t>97XU</w:t>
      </w:r>
      <w:r>
        <w:t>.</w:t>
      </w:r>
      <w:r>
        <w:tab/>
        <w:t>Certified copies of registered entry</w:t>
      </w:r>
      <w:bookmarkEnd w:id="71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lastRenderedPageBreak/>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717" w:name="_Toc188451513"/>
      <w:r>
        <w:rPr>
          <w:rStyle w:val="CharSectno"/>
        </w:rPr>
        <w:t>97XV</w:t>
      </w:r>
      <w:r>
        <w:t>.</w:t>
      </w:r>
      <w:r>
        <w:tab/>
        <w:t>Information obtained under this Division not to be disclosed</w:t>
      </w:r>
      <w:bookmarkEnd w:id="717"/>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718" w:name="_Toc188451514"/>
      <w:r>
        <w:rPr>
          <w:rStyle w:val="CharSectno"/>
        </w:rPr>
        <w:t>97XW</w:t>
      </w:r>
      <w:r>
        <w:t>.</w:t>
      </w:r>
      <w:r>
        <w:tab/>
        <w:t>Procedure in proceedings under this Division</w:t>
      </w:r>
      <w:bookmarkEnd w:id="718"/>
    </w:p>
    <w:p>
      <w:pPr>
        <w:pStyle w:val="Subsection"/>
      </w:pPr>
      <w:r>
        <w:tab/>
        <w:t>(1)</w:t>
      </w:r>
      <w:r>
        <w:tab/>
        <w:t>The Commission may make regulations under section 113 providing for the practice and procedure to be followed for the purposes of —</w:t>
      </w:r>
    </w:p>
    <w:p>
      <w:pPr>
        <w:pStyle w:val="Indenta"/>
      </w:pPr>
      <w:r>
        <w:lastRenderedPageBreak/>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719" w:name="_Toc187907643"/>
      <w:bookmarkStart w:id="720" w:name="_Toc188271875"/>
      <w:bookmarkStart w:id="721" w:name="_Toc188451515"/>
      <w:r>
        <w:rPr>
          <w:rStyle w:val="CharDivNo"/>
        </w:rPr>
        <w:t>Division 10</w:t>
      </w:r>
      <w:r>
        <w:t> — </w:t>
      </w:r>
      <w:r>
        <w:rPr>
          <w:rStyle w:val="CharDivText"/>
        </w:rPr>
        <w:t>Certain conduct prohibited</w:t>
      </w:r>
      <w:bookmarkEnd w:id="719"/>
      <w:bookmarkEnd w:id="720"/>
      <w:bookmarkEnd w:id="721"/>
    </w:p>
    <w:p>
      <w:pPr>
        <w:pStyle w:val="Footnoteheading"/>
        <w:keepNext/>
        <w:tabs>
          <w:tab w:val="left" w:pos="851"/>
        </w:tabs>
      </w:pPr>
      <w:r>
        <w:tab/>
        <w:t>[Heading inserted: No. 20 of 2002 s. 4.]</w:t>
      </w:r>
    </w:p>
    <w:p>
      <w:pPr>
        <w:pStyle w:val="Heading5"/>
      </w:pPr>
      <w:bookmarkStart w:id="722" w:name="_Toc188451516"/>
      <w:r>
        <w:rPr>
          <w:rStyle w:val="CharSectno"/>
        </w:rPr>
        <w:t>97XX</w:t>
      </w:r>
      <w:r>
        <w:t>.</w:t>
      </w:r>
      <w:r>
        <w:tab/>
        <w:t>Purpose of this Division</w:t>
      </w:r>
      <w:bookmarkEnd w:id="722"/>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723" w:name="_Toc188451517"/>
      <w:r>
        <w:rPr>
          <w:rStyle w:val="CharSectno"/>
        </w:rPr>
        <w:t>97XY</w:t>
      </w:r>
      <w:r>
        <w:t>.</w:t>
      </w:r>
      <w:r>
        <w:tab/>
        <w:t>Enforcing prohibitions in this Division</w:t>
      </w:r>
      <w:bookmarkEnd w:id="723"/>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724" w:name="_Toc188451518"/>
      <w:r>
        <w:rPr>
          <w:rStyle w:val="CharSectno"/>
        </w:rPr>
        <w:lastRenderedPageBreak/>
        <w:t>97XZ</w:t>
      </w:r>
      <w:r>
        <w:t>.</w:t>
      </w:r>
      <w:r>
        <w:tab/>
        <w:t>Making employment etc. conditional on EEA being entered into prohibited</w:t>
      </w:r>
      <w:bookmarkEnd w:id="724"/>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725" w:name="_Toc188451519"/>
      <w:r>
        <w:rPr>
          <w:rStyle w:val="CharSectno"/>
        </w:rPr>
        <w:lastRenderedPageBreak/>
        <w:t>97Y</w:t>
      </w:r>
      <w:r>
        <w:t>.</w:t>
      </w:r>
      <w:r>
        <w:tab/>
        <w:t>Certain advertising prohibited</w:t>
      </w:r>
      <w:bookmarkEnd w:id="725"/>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726" w:name="_Toc188451520"/>
      <w:r>
        <w:rPr>
          <w:rStyle w:val="CharSectno"/>
        </w:rPr>
        <w:t>97YA</w:t>
      </w:r>
      <w:r>
        <w:t>.</w:t>
      </w:r>
      <w:r>
        <w:tab/>
        <w:t>Exception to s. 97XZ and 97YB</w:t>
      </w:r>
      <w:bookmarkEnd w:id="726"/>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727" w:name="_Toc188451521"/>
      <w:r>
        <w:rPr>
          <w:rStyle w:val="CharSectno"/>
        </w:rPr>
        <w:t>97YB</w:t>
      </w:r>
      <w:r>
        <w:t>.</w:t>
      </w:r>
      <w:r>
        <w:tab/>
        <w:t>Employer offering EEA to also offer other employment arrangements</w:t>
      </w:r>
      <w:bookmarkEnd w:id="727"/>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lastRenderedPageBreak/>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728" w:name="_Toc188451522"/>
      <w:r>
        <w:rPr>
          <w:rStyle w:val="CharSectno"/>
        </w:rPr>
        <w:t>97YC</w:t>
      </w:r>
      <w:r>
        <w:t>.</w:t>
      </w:r>
      <w:r>
        <w:tab/>
        <w:t>Order for compliance with s. 97YB</w:t>
      </w:r>
      <w:bookmarkEnd w:id="72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lastRenderedPageBreak/>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729" w:name="_Toc188451523"/>
      <w:r>
        <w:rPr>
          <w:rStyle w:val="CharSectno"/>
        </w:rPr>
        <w:t>97YD</w:t>
      </w:r>
      <w:r>
        <w:t>.</w:t>
      </w:r>
      <w:r>
        <w:tab/>
        <w:t>Threats and intimidation as to EEA prohibited</w:t>
      </w:r>
      <w:bookmarkEnd w:id="72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730" w:name="_Toc188451524"/>
      <w:r>
        <w:rPr>
          <w:rStyle w:val="CharSectno"/>
        </w:rPr>
        <w:lastRenderedPageBreak/>
        <w:t>97YE</w:t>
      </w:r>
      <w:r>
        <w:t>.</w:t>
      </w:r>
      <w:r>
        <w:tab/>
        <w:t>Misinformation prohibited</w:t>
      </w:r>
      <w:bookmarkEnd w:id="730"/>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731" w:name="_Toc188451525"/>
      <w:r>
        <w:rPr>
          <w:rStyle w:val="CharSectno"/>
        </w:rPr>
        <w:t>97YF</w:t>
      </w:r>
      <w:r>
        <w:t>.</w:t>
      </w:r>
      <w:r>
        <w:tab/>
        <w:t>Dismissal etc. because of refusal to make or cancel EEA prohibited</w:t>
      </w:r>
      <w:bookmarkEnd w:id="731"/>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732" w:name="_Toc188451526"/>
      <w:r>
        <w:rPr>
          <w:rStyle w:val="CharSectno"/>
        </w:rPr>
        <w:lastRenderedPageBreak/>
        <w:t>97YG</w:t>
      </w:r>
      <w:r>
        <w:t>.</w:t>
      </w:r>
      <w:r>
        <w:tab/>
        <w:t>Breach of s. 97YF, court orders that may be made for</w:t>
      </w:r>
      <w:bookmarkEnd w:id="73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lastRenderedPageBreak/>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733" w:name="_Toc188451527"/>
      <w:r>
        <w:rPr>
          <w:rStyle w:val="CharSectno"/>
        </w:rPr>
        <w:t>97YH</w:t>
      </w:r>
      <w:r>
        <w:t>.</w:t>
      </w:r>
      <w:r>
        <w:tab/>
        <w:t>Burden of proof in s. 97YF proceedings</w:t>
      </w:r>
      <w:bookmarkEnd w:id="733"/>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4; amended: No. 30 of 2021 s. 77(13).]</w:t>
      </w:r>
    </w:p>
    <w:p>
      <w:pPr>
        <w:pStyle w:val="Heading3"/>
      </w:pPr>
      <w:bookmarkStart w:id="734" w:name="_Toc187907656"/>
      <w:bookmarkStart w:id="735" w:name="_Toc188271888"/>
      <w:bookmarkStart w:id="736" w:name="_Toc188451528"/>
      <w:r>
        <w:rPr>
          <w:rStyle w:val="CharDivNo"/>
        </w:rPr>
        <w:t>Division 11</w:t>
      </w:r>
      <w:r>
        <w:t> — </w:t>
      </w:r>
      <w:r>
        <w:rPr>
          <w:rStyle w:val="CharDivText"/>
        </w:rPr>
        <w:t>General</w:t>
      </w:r>
      <w:bookmarkEnd w:id="734"/>
      <w:bookmarkEnd w:id="735"/>
      <w:bookmarkEnd w:id="736"/>
    </w:p>
    <w:p>
      <w:pPr>
        <w:pStyle w:val="Footnoteheading"/>
        <w:keepNext/>
        <w:tabs>
          <w:tab w:val="left" w:pos="851"/>
        </w:tabs>
      </w:pPr>
      <w:r>
        <w:tab/>
        <w:t>[Heading inserted: No. 20 of 2002 s. 4.]</w:t>
      </w:r>
    </w:p>
    <w:p>
      <w:pPr>
        <w:pStyle w:val="Heading5"/>
      </w:pPr>
      <w:bookmarkStart w:id="737" w:name="_Toc188451529"/>
      <w:r>
        <w:rPr>
          <w:rStyle w:val="CharSectno"/>
        </w:rPr>
        <w:t>97YI</w:t>
      </w:r>
      <w:r>
        <w:t>.</w:t>
      </w:r>
      <w:r>
        <w:tab/>
        <w:t>Review of Div. 5, 6 and 7</w:t>
      </w:r>
      <w:bookmarkEnd w:id="737"/>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lastRenderedPageBreak/>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738" w:name="_Toc188451530"/>
      <w:r>
        <w:rPr>
          <w:rStyle w:val="CharSectno"/>
        </w:rPr>
        <w:t>97YJ</w:t>
      </w:r>
      <w:r>
        <w:t>.</w:t>
      </w:r>
      <w:r>
        <w:tab/>
        <w:t>Regulations</w:t>
      </w:r>
      <w:bookmarkEnd w:id="738"/>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739" w:name="_Toc187907659"/>
      <w:bookmarkStart w:id="740" w:name="_Toc188271891"/>
      <w:bookmarkStart w:id="741" w:name="_Toc188451531"/>
      <w:r>
        <w:rPr>
          <w:rStyle w:val="CharPartNo"/>
        </w:rPr>
        <w:lastRenderedPageBreak/>
        <w:t>Part VII</w:t>
      </w:r>
      <w:r>
        <w:rPr>
          <w:rStyle w:val="CharDivNo"/>
        </w:rPr>
        <w:t> </w:t>
      </w:r>
      <w:r>
        <w:t>—</w:t>
      </w:r>
      <w:r>
        <w:rPr>
          <w:rStyle w:val="CharDivText"/>
        </w:rPr>
        <w:t> </w:t>
      </w:r>
      <w:r>
        <w:rPr>
          <w:rStyle w:val="CharPartText"/>
        </w:rPr>
        <w:t>Miscellaneous</w:t>
      </w:r>
      <w:bookmarkEnd w:id="739"/>
      <w:bookmarkEnd w:id="740"/>
      <w:bookmarkEnd w:id="741"/>
    </w:p>
    <w:p>
      <w:pPr>
        <w:pStyle w:val="Heading5"/>
        <w:rPr>
          <w:snapToGrid w:val="0"/>
        </w:rPr>
      </w:pPr>
      <w:bookmarkStart w:id="742" w:name="_Toc188451532"/>
      <w:r>
        <w:rPr>
          <w:rStyle w:val="CharSectno"/>
        </w:rPr>
        <w:t>98</w:t>
      </w:r>
      <w:r>
        <w:rPr>
          <w:snapToGrid w:val="0"/>
        </w:rPr>
        <w:t>.</w:t>
      </w:r>
      <w:r>
        <w:rPr>
          <w:snapToGrid w:val="0"/>
        </w:rPr>
        <w:tab/>
        <w:t>Industrial inspectors, designation and functions of etc.</w:t>
      </w:r>
      <w:bookmarkEnd w:id="742"/>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pPr>
      <w:r>
        <w:rPr>
          <w:snapToGrid w:val="0"/>
        </w:rPr>
        <w:tab/>
        <w:t>(2)</w:t>
      </w:r>
      <w:r>
        <w:rPr>
          <w:snapToGrid w:val="0"/>
        </w:rPr>
        <w:tab/>
        <w:t xml:space="preserve">Subject to this Act, an industrial inspector must perform such duties and must make such investigations and reports in relation to the </w:t>
      </w:r>
      <w:r>
        <w:t>observance of the following, as the Minister directs —</w:t>
      </w:r>
    </w:p>
    <w:p>
      <w:pPr>
        <w:pStyle w:val="Indenta"/>
      </w:pPr>
      <w:r>
        <w:tab/>
        <w:t>(a)</w:t>
      </w:r>
      <w:r>
        <w:tab/>
        <w:t>the provisions of this Act;</w:t>
      </w:r>
    </w:p>
    <w:p>
      <w:pPr>
        <w:pStyle w:val="Indenta"/>
      </w:pPr>
      <w:r>
        <w:tab/>
        <w:t>(b)</w:t>
      </w:r>
      <w:r>
        <w:tab/>
        <w:t>the provisions of an instrument to which this section applies;</w:t>
      </w:r>
    </w:p>
    <w:p>
      <w:pPr>
        <w:pStyle w:val="Indenta"/>
      </w:pPr>
      <w:r>
        <w:tab/>
        <w:t>(c)</w:t>
      </w:r>
      <w:r>
        <w:tab/>
        <w:t xml:space="preserve">an entitlement provision that is — </w:t>
      </w:r>
    </w:p>
    <w:p>
      <w:pPr>
        <w:pStyle w:val="Indenti"/>
      </w:pPr>
      <w:r>
        <w:tab/>
        <w:t>(i)</w:t>
      </w:r>
      <w:r>
        <w:tab/>
        <w:t xml:space="preserve">a provision of the LSL Act or the MCE Act; or </w:t>
      </w:r>
    </w:p>
    <w:p>
      <w:pPr>
        <w:pStyle w:val="Indenti"/>
      </w:pPr>
      <w:r>
        <w:tab/>
        <w:t>(ii)</w:t>
      </w:r>
      <w:r>
        <w:tab/>
        <w:t>a local government long service leave provision.</w:t>
      </w:r>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lastRenderedPageBreak/>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w:t>
      </w:r>
      <w:r>
        <w:lastRenderedPageBreak/>
        <w:t xml:space="preserve">(an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lastRenderedPageBreak/>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lastRenderedPageBreak/>
        <w:tab/>
        <w:t>[Section 98 amended: No. 121 of 1982 s. 32; No. 32 of 1994 s. 14; No. 79 of 1995 s. 38; No. 20 of 2002 s. 147; No. 14 of 2005 s. 9; No. 53 of 2011 s. 45; No. 39 of 2018 s. 59; No. 30 of 2021 s. 65, 76(2) and (8), 77(13) and 78(7); No. 43 of 2024 s. 82.]</w:t>
      </w:r>
    </w:p>
    <w:p>
      <w:pPr>
        <w:pStyle w:val="Heading5"/>
      </w:pPr>
      <w:bookmarkStart w:id="743" w:name="_Toc188451533"/>
      <w:r>
        <w:rPr>
          <w:rStyle w:val="CharSectno"/>
        </w:rPr>
        <w:t>98A</w:t>
      </w:r>
      <w:r>
        <w:t>.</w:t>
      </w:r>
      <w:r>
        <w:tab/>
        <w:t>Information obtained under s. 98 not to be disclosed</w:t>
      </w:r>
      <w:bookmarkEnd w:id="743"/>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744" w:name="_Toc188451534"/>
      <w:r>
        <w:rPr>
          <w:rStyle w:val="CharSectno"/>
        </w:rPr>
        <w:t>99A</w:t>
      </w:r>
      <w:r>
        <w:t>.</w:t>
      </w:r>
      <w:r>
        <w:tab/>
        <w:t>Identity cards for industrial inspectors</w:t>
      </w:r>
      <w:bookmarkEnd w:id="744"/>
    </w:p>
    <w:p>
      <w:pPr>
        <w:pStyle w:val="Subsection"/>
      </w:pPr>
      <w:r>
        <w:tab/>
        <w:t>(1)</w:t>
      </w:r>
      <w:r>
        <w:tab/>
        <w:t>Every industrial inspector is to be provided with an identity card signed by the CEO or a departmental officer authorised in that behalf by the CEO.</w:t>
      </w:r>
    </w:p>
    <w:p>
      <w:pPr>
        <w:pStyle w:val="Subsection"/>
      </w:pPr>
      <w:r>
        <w:lastRenderedPageBreak/>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745" w:name="_Toc188451535"/>
      <w:r>
        <w:rPr>
          <w:rStyle w:val="CharSectno"/>
        </w:rPr>
        <w:t>99B</w:t>
      </w:r>
      <w:r>
        <w:t>.</w:t>
      </w:r>
      <w:r>
        <w:tab/>
        <w:t>Production of identity card</w:t>
      </w:r>
      <w:bookmarkEnd w:id="74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746" w:name="_Toc188451536"/>
      <w:r>
        <w:rPr>
          <w:rStyle w:val="CharSectno"/>
        </w:rPr>
        <w:lastRenderedPageBreak/>
        <w:t>99C</w:t>
      </w:r>
      <w:r>
        <w:t>.</w:t>
      </w:r>
      <w:r>
        <w:tab/>
        <w:t>Staff for Department</w:t>
      </w:r>
      <w:bookmarkEnd w:id="74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747" w:name="_Toc188451537"/>
      <w:r>
        <w:rPr>
          <w:rStyle w:val="CharSectno"/>
        </w:rPr>
        <w:t>99D</w:t>
      </w:r>
      <w:r>
        <w:t>.</w:t>
      </w:r>
      <w:r>
        <w:tab/>
        <w:t>Designation of officers, generally</w:t>
      </w:r>
      <w:bookmarkEnd w:id="74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lastRenderedPageBreak/>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748" w:name="_Toc188451538"/>
      <w:r>
        <w:rPr>
          <w:rStyle w:val="CharSectno"/>
        </w:rPr>
        <w:t>99</w:t>
      </w:r>
      <w:r>
        <w:rPr>
          <w:snapToGrid w:val="0"/>
        </w:rPr>
        <w:t>.</w:t>
      </w:r>
      <w:r>
        <w:rPr>
          <w:snapToGrid w:val="0"/>
        </w:rPr>
        <w:tab/>
        <w:t>Wage rates in awards not affected by repeal of basic wage provisions</w:t>
      </w:r>
      <w:bookmarkEnd w:id="748"/>
    </w:p>
    <w:p>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Heading5"/>
      </w:pPr>
      <w:bookmarkStart w:id="749" w:name="_Toc182398536"/>
      <w:bookmarkStart w:id="750" w:name="_Toc188451539"/>
      <w:r>
        <w:rPr>
          <w:rStyle w:val="CharSectno"/>
        </w:rPr>
        <w:t>100</w:t>
      </w:r>
      <w:r>
        <w:t>.</w:t>
      </w:r>
      <w:r>
        <w:tab/>
        <w:t>False or misleading statement about right to represent industrial interests</w:t>
      </w:r>
      <w:bookmarkEnd w:id="749"/>
      <w:bookmarkEnd w:id="750"/>
    </w:p>
    <w:p>
      <w:pPr>
        <w:pStyle w:val="Subsection"/>
      </w:pPr>
      <w:r>
        <w:tab/>
        <w:t>(1)</w:t>
      </w:r>
      <w:r>
        <w:tab/>
        <w:t xml:space="preserve">A person or entity must not make a statement to someone else that the person or entity knows, or could reasonably be expected to know, is false or misleading about either of the following matters — </w:t>
      </w:r>
    </w:p>
    <w:p>
      <w:pPr>
        <w:pStyle w:val="Indenta"/>
      </w:pPr>
      <w:r>
        <w:tab/>
        <w:t>(a)</w:t>
      </w:r>
      <w:r>
        <w:tab/>
        <w:t>that the person or entity has the right to represent the industrial interests of a person or a particular class or group of persons;</w:t>
      </w:r>
    </w:p>
    <w:p>
      <w:pPr>
        <w:pStyle w:val="Indenta"/>
      </w:pPr>
      <w:r>
        <w:tab/>
        <w:t>(b)</w:t>
      </w:r>
      <w:r>
        <w:tab/>
        <w:t>that, in relation to the industrial interests of a person or a particular class or group of persons, the person or entity has the right to take specified action under this Act or an industrial instrument.</w:t>
      </w:r>
    </w:p>
    <w:p>
      <w:pPr>
        <w:pStyle w:val="Subsection"/>
        <w:keepNext/>
      </w:pPr>
      <w:r>
        <w:lastRenderedPageBreak/>
        <w:tab/>
        <w:t>(2)</w:t>
      </w:r>
      <w:r>
        <w:tab/>
        <w:t xml:space="preserve">For the purposes of subsection (1) — </w:t>
      </w:r>
    </w:p>
    <w:p>
      <w:pPr>
        <w:pStyle w:val="Indenta"/>
      </w:pPr>
      <w:r>
        <w:tab/>
        <w:t>(a)</w:t>
      </w:r>
      <w:r>
        <w:tab/>
        <w:t>a reference to a person or entity does not include a reference to an organisation; and</w:t>
      </w:r>
    </w:p>
    <w:p>
      <w:pPr>
        <w:pStyle w:val="Indenta"/>
      </w:pPr>
      <w:r>
        <w:tab/>
        <w:t>(b)</w:t>
      </w:r>
      <w:r>
        <w:tab/>
        <w:t>an entity does not have the right to represent the industrial interests of a person or a particular class or group of persons only because the entity’s rules state that it has that right.</w:t>
      </w:r>
    </w:p>
    <w:p>
      <w:pPr>
        <w:pStyle w:val="Subsection"/>
      </w:pPr>
      <w:r>
        <w:tab/>
        <w:t>(3)</w:t>
      </w:r>
      <w:r>
        <w:tab/>
        <w:t>A contravention of subsection (1) is not an offence but that subsection is a civil penalty provision for the purposes of section 83E.</w:t>
      </w:r>
    </w:p>
    <w:p>
      <w:pPr>
        <w:pStyle w:val="Footnotesection"/>
      </w:pPr>
      <w:r>
        <w:tab/>
        <w:t>[Section 100 inserted: No. 43 of 2024 s. 83.]</w:t>
      </w:r>
    </w:p>
    <w:p>
      <w:pPr>
        <w:pStyle w:val="Ednotesection"/>
      </w:pPr>
      <w:r>
        <w:t>[</w:t>
      </w:r>
      <w:r>
        <w:rPr>
          <w:b/>
        </w:rPr>
        <w:t>101.</w:t>
      </w:r>
      <w:r>
        <w:tab/>
        <w:t>Deleted: No. 94 of 1984 s. 59.]</w:t>
      </w:r>
    </w:p>
    <w:p>
      <w:pPr>
        <w:pStyle w:val="Heading5"/>
        <w:rPr>
          <w:snapToGrid w:val="0"/>
        </w:rPr>
      </w:pPr>
      <w:bookmarkStart w:id="751" w:name="_Toc188451540"/>
      <w:r>
        <w:rPr>
          <w:rStyle w:val="CharSectno"/>
        </w:rPr>
        <w:t>102</w:t>
      </w:r>
      <w:r>
        <w:rPr>
          <w:snapToGrid w:val="0"/>
        </w:rPr>
        <w:t>.</w:t>
      </w:r>
      <w:r>
        <w:rPr>
          <w:snapToGrid w:val="0"/>
        </w:rPr>
        <w:tab/>
        <w:t>Obstruction etc. prohibited</w:t>
      </w:r>
      <w:bookmarkEnd w:id="751"/>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lastRenderedPageBreak/>
        <w:tab/>
        <w:t>(b)</w:t>
      </w:r>
      <w:r>
        <w:rPr>
          <w:snapToGrid w:val="0"/>
        </w:rPr>
        <w:tab/>
        <w:t>wilfully mislead a person in any particular likely to affect the exercise of a power so conferred or the discharge of a duty so imposed.</w:t>
      </w:r>
    </w:p>
    <w:p>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752" w:name="_Toc188451541"/>
      <w:r>
        <w:rPr>
          <w:rStyle w:val="CharSectno"/>
        </w:rPr>
        <w:t>102A</w:t>
      </w:r>
      <w:r>
        <w:rPr>
          <w:snapToGrid w:val="0"/>
        </w:rPr>
        <w:t>.</w:t>
      </w:r>
      <w:r>
        <w:rPr>
          <w:snapToGrid w:val="0"/>
        </w:rPr>
        <w:tab/>
        <w:t>Institution of certain proceedings, powers of Registrar etc. for</w:t>
      </w:r>
      <w:bookmarkEnd w:id="752"/>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lastRenderedPageBreak/>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753" w:name="_Toc188451542"/>
      <w:r>
        <w:rPr>
          <w:rStyle w:val="CharSectno"/>
        </w:rPr>
        <w:t>103</w:t>
      </w:r>
      <w:r>
        <w:rPr>
          <w:snapToGrid w:val="0"/>
        </w:rPr>
        <w:t>.</w:t>
      </w:r>
      <w:r>
        <w:rPr>
          <w:snapToGrid w:val="0"/>
        </w:rPr>
        <w:tab/>
        <w:t>Certain applications may relate to more than one breach</w:t>
      </w:r>
      <w:bookmarkEnd w:id="75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754" w:name="_Toc188451543"/>
      <w:r>
        <w:rPr>
          <w:rStyle w:val="CharSectno"/>
        </w:rPr>
        <w:lastRenderedPageBreak/>
        <w:t>104</w:t>
      </w:r>
      <w:r>
        <w:rPr>
          <w:snapToGrid w:val="0"/>
        </w:rPr>
        <w:t>.</w:t>
      </w:r>
      <w:r>
        <w:rPr>
          <w:snapToGrid w:val="0"/>
        </w:rPr>
        <w:tab/>
        <w:t>Prosecutions</w:t>
      </w:r>
      <w:bookmarkEnd w:id="75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755" w:name="_Toc188451544"/>
      <w:r>
        <w:rPr>
          <w:rStyle w:val="CharSectno"/>
        </w:rPr>
        <w:t>105</w:t>
      </w:r>
      <w:r>
        <w:rPr>
          <w:snapToGrid w:val="0"/>
        </w:rPr>
        <w:t>.</w:t>
      </w:r>
      <w:r>
        <w:rPr>
          <w:snapToGrid w:val="0"/>
        </w:rPr>
        <w:tab/>
        <w:t>Awards etc., evidence of</w:t>
      </w:r>
      <w:bookmarkEnd w:id="75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756" w:name="_Toc188451545"/>
      <w:r>
        <w:rPr>
          <w:rStyle w:val="CharSectno"/>
        </w:rPr>
        <w:lastRenderedPageBreak/>
        <w:t>106</w:t>
      </w:r>
      <w:r>
        <w:rPr>
          <w:snapToGrid w:val="0"/>
        </w:rPr>
        <w:t>.</w:t>
      </w:r>
      <w:r>
        <w:rPr>
          <w:snapToGrid w:val="0"/>
        </w:rPr>
        <w:tab/>
        <w:t>Official signatures and appointments, judicial notice of</w:t>
      </w:r>
      <w:bookmarkEnd w:id="756"/>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757" w:name="_Toc188451546"/>
      <w:r>
        <w:rPr>
          <w:rStyle w:val="CharSectno"/>
        </w:rPr>
        <w:t>107</w:t>
      </w:r>
      <w:r>
        <w:rPr>
          <w:snapToGrid w:val="0"/>
        </w:rPr>
        <w:t>.</w:t>
      </w:r>
      <w:r>
        <w:rPr>
          <w:snapToGrid w:val="0"/>
        </w:rPr>
        <w:tab/>
        <w:t>No costs to be awarded against Registrar, deputy registrar or industrial inspector</w:t>
      </w:r>
      <w:bookmarkEnd w:id="757"/>
    </w:p>
    <w:p>
      <w:pPr>
        <w:pStyle w:val="Subsection"/>
        <w:rPr>
          <w:snapToGrid w:val="0"/>
        </w:rPr>
      </w:pPr>
      <w:r>
        <w:rPr>
          <w:snapToGrid w:val="0"/>
        </w:rPr>
        <w:tab/>
      </w:r>
      <w:r>
        <w:rPr>
          <w:snapToGrid w:val="0"/>
        </w:rPr>
        <w:tab/>
        <w:t>No order for costs can be made against the Registrar, a deputy registrar, or an industrial inspector in proceedings under this Act.</w:t>
      </w:r>
    </w:p>
    <w:p>
      <w:pPr>
        <w:pStyle w:val="Footnotesection"/>
        <w:ind w:left="890" w:hanging="890"/>
      </w:pPr>
      <w:r>
        <w:tab/>
        <w:t>[Section 107 amended: No. 94 of 1984 s. 66; No. 30 of 2021 s. 76(6) and 77(13); No. 43 of 2024 s. 84.]</w:t>
      </w:r>
    </w:p>
    <w:p>
      <w:pPr>
        <w:pStyle w:val="Heading5"/>
        <w:rPr>
          <w:snapToGrid w:val="0"/>
        </w:rPr>
      </w:pPr>
      <w:bookmarkStart w:id="758" w:name="_Toc188451547"/>
      <w:r>
        <w:rPr>
          <w:rStyle w:val="CharSectno"/>
        </w:rPr>
        <w:t>108</w:t>
      </w:r>
      <w:r>
        <w:rPr>
          <w:snapToGrid w:val="0"/>
        </w:rPr>
        <w:t>.</w:t>
      </w:r>
      <w:r>
        <w:rPr>
          <w:snapToGrid w:val="0"/>
        </w:rPr>
        <w:tab/>
        <w:t>Organisations and associations not affected by certain Imperial Acts</w:t>
      </w:r>
      <w:bookmarkEnd w:id="758"/>
    </w:p>
    <w:p>
      <w:pPr>
        <w:pStyle w:val="Subsection"/>
        <w:rPr>
          <w:snapToGrid w:val="0"/>
        </w:rPr>
      </w:pPr>
      <w:r>
        <w:rPr>
          <w:snapToGrid w:val="0"/>
        </w:rPr>
        <w:tab/>
      </w:r>
      <w:r>
        <w:rPr>
          <w:snapToGrid w:val="0"/>
        </w:rPr>
        <w:tab/>
        <w:t xml:space="preserve">An organisation or association is not, on and from the date of its registration, and while so registered, affected by the provisions of any Act of the Imperial Parliament against corresponding societies or unlawful combinations in respect of any matters </w:t>
      </w:r>
      <w:r>
        <w:rPr>
          <w:snapToGrid w:val="0"/>
        </w:rPr>
        <w:lastRenderedPageBreak/>
        <w:t>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759" w:name="_Toc188451548"/>
      <w:r>
        <w:rPr>
          <w:rStyle w:val="CharSectno"/>
        </w:rPr>
        <w:t>109</w:t>
      </w:r>
      <w:r>
        <w:rPr>
          <w:snapToGrid w:val="0"/>
        </w:rPr>
        <w:t>.</w:t>
      </w:r>
      <w:r>
        <w:rPr>
          <w:snapToGrid w:val="0"/>
        </w:rPr>
        <w:tab/>
        <w:t>Dues payable to organisation or association may be sued for</w:t>
      </w:r>
      <w:bookmarkEnd w:id="759"/>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760" w:name="_Toc188451549"/>
      <w:r>
        <w:rPr>
          <w:rStyle w:val="CharSectno"/>
        </w:rPr>
        <w:t>110</w:t>
      </w:r>
      <w:r>
        <w:rPr>
          <w:snapToGrid w:val="0"/>
        </w:rPr>
        <w:t>.</w:t>
      </w:r>
      <w:r>
        <w:rPr>
          <w:snapToGrid w:val="0"/>
        </w:rPr>
        <w:tab/>
        <w:t>Disputes between organisation or association and its members, how to be determined</w:t>
      </w:r>
      <w:bookmarkEnd w:id="760"/>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761" w:name="_Toc188451550"/>
      <w:r>
        <w:rPr>
          <w:rStyle w:val="CharSectno"/>
        </w:rPr>
        <w:lastRenderedPageBreak/>
        <w:t>111</w:t>
      </w:r>
      <w:r>
        <w:rPr>
          <w:snapToGrid w:val="0"/>
        </w:rPr>
        <w:t>.</w:t>
      </w:r>
      <w:r>
        <w:rPr>
          <w:snapToGrid w:val="0"/>
        </w:rPr>
        <w:tab/>
        <w:t>No premiums etc. to be taken for employment</w:t>
      </w:r>
      <w:bookmarkEnd w:id="761"/>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762" w:name="_Toc188451551"/>
      <w:r>
        <w:rPr>
          <w:rStyle w:val="CharSectno"/>
        </w:rPr>
        <w:t>112</w:t>
      </w:r>
      <w:r>
        <w:rPr>
          <w:snapToGrid w:val="0"/>
        </w:rPr>
        <w:t>.</w:t>
      </w:r>
      <w:r>
        <w:rPr>
          <w:snapToGrid w:val="0"/>
        </w:rPr>
        <w:tab/>
        <w:t>Certain rules of organisation as to penalties invalid</w:t>
      </w:r>
      <w:bookmarkEnd w:id="762"/>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lastRenderedPageBreak/>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763" w:name="_Toc188451552"/>
      <w:r>
        <w:rPr>
          <w:rStyle w:val="CharSectno"/>
        </w:rPr>
        <w:t>112A</w:t>
      </w:r>
      <w:r>
        <w:t>.</w:t>
      </w:r>
      <w:r>
        <w:tab/>
        <w:t>Industrial agents, registration of</w:t>
      </w:r>
      <w:bookmarkEnd w:id="763"/>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lastRenderedPageBreak/>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t xml:space="preserve">Despite the </w:t>
      </w:r>
      <w:r>
        <w:rPr>
          <w:i/>
        </w:rPr>
        <w:t>Legal Profession Uniform Law (WA)</w:t>
      </w:r>
      <w:r>
        <w:t xml:space="preserve"> section 10, 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r>
        <w:tab/>
        <w:t>(3B)</w:t>
      </w:r>
      <w:r>
        <w:tab/>
        <w:t xml:space="preserve">In subsection (3A) — </w:t>
      </w:r>
    </w:p>
    <w:p>
      <w:pPr>
        <w:pStyle w:val="Defstart"/>
      </w:pPr>
      <w:r>
        <w:tab/>
      </w:r>
      <w:r>
        <w:rPr>
          <w:rStyle w:val="CharDefText"/>
        </w:rPr>
        <w:t>disqualified person</w:t>
      </w:r>
      <w:r>
        <w:t xml:space="preserve"> — </w:t>
      </w:r>
    </w:p>
    <w:p>
      <w:pPr>
        <w:pStyle w:val="Defpara"/>
      </w:pPr>
      <w:r>
        <w:tab/>
        <w:t>(a)</w:t>
      </w:r>
      <w:r>
        <w:tab/>
        <w:t xml:space="preserve">means — </w:t>
      </w:r>
    </w:p>
    <w:p>
      <w:pPr>
        <w:pStyle w:val="Defsubpara"/>
      </w:pPr>
      <w:r>
        <w:tab/>
        <w:t>(i)</w:t>
      </w:r>
      <w:r>
        <w:tab/>
        <w:t xml:space="preserve">a disqualified person as defined in the </w:t>
      </w:r>
      <w:r>
        <w:rPr>
          <w:i/>
        </w:rPr>
        <w:t>Legal Profession Uniform Law (WA)</w:t>
      </w:r>
      <w:r>
        <w:t xml:space="preserve"> section 6(1); or </w:t>
      </w:r>
    </w:p>
    <w:p>
      <w:pPr>
        <w:pStyle w:val="Defsubpara"/>
      </w:pPr>
      <w:r>
        <w:lastRenderedPageBreak/>
        <w:tab/>
        <w:t>(ii)</w:t>
      </w:r>
      <w:r>
        <w:tab/>
        <w:t xml:space="preserve">a person whose name has been removed from an official roll of lawyers (whether admitted, practising or otherwise) kept in a foreign country (a </w:t>
      </w:r>
      <w:r>
        <w:rPr>
          <w:rStyle w:val="CharDefText"/>
        </w:rPr>
        <w:t>foreign roll</w:t>
      </w:r>
      <w:r>
        <w:t xml:space="preserve">); </w:t>
      </w:r>
    </w:p>
    <w:p>
      <w:pPr>
        <w:pStyle w:val="Defpara"/>
      </w:pPr>
      <w:r>
        <w:tab/>
      </w:r>
      <w:r>
        <w:tab/>
        <w:t>but</w:t>
      </w:r>
    </w:p>
    <w:p>
      <w:pPr>
        <w:pStyle w:val="Defpara"/>
      </w:pPr>
      <w:r>
        <w:tab/>
        <w:t>(b)</w:t>
      </w:r>
      <w:r>
        <w:tab/>
        <w:t xml:space="preserve">does not include — </w:t>
      </w:r>
    </w:p>
    <w:p>
      <w:pPr>
        <w:pStyle w:val="Defsubpara"/>
      </w:pPr>
      <w:r>
        <w:tab/>
        <w:t>(i)</w:t>
      </w:r>
      <w:r>
        <w:tab/>
        <w:t xml:space="preserve">a person whose name has, for reasons unconnected with disciplinary action, been removed from a foreign roll or a Supreme Court roll as defined in the </w:t>
      </w:r>
      <w:r>
        <w:rPr>
          <w:i/>
        </w:rPr>
        <w:t>Legal Profession Uniform Law (WA)</w:t>
      </w:r>
      <w:r>
        <w:t xml:space="preserve"> section 6(1); or</w:t>
      </w:r>
    </w:p>
    <w:p>
      <w:pPr>
        <w:pStyle w:val="Defsubpara"/>
      </w:pPr>
      <w:r>
        <w:tab/>
        <w:t>(ii)</w:t>
      </w:r>
      <w:r>
        <w:tab/>
        <w:t xml:space="preserve">a person whose Australian practising certificate (as defined in the </w:t>
      </w:r>
      <w:r>
        <w:rPr>
          <w:i/>
        </w:rPr>
        <w:t>Legal Profession Uniform Law (WA)</w:t>
      </w:r>
      <w:r>
        <w:t xml:space="preserve"> section 6(1)) has, for reasons unconnected with disciplinary action, been suspended or cancelled.</w:t>
      </w:r>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lastRenderedPageBreak/>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 No. 9 of 2022 s. 359.]</w:t>
      </w:r>
    </w:p>
    <w:p>
      <w:pPr>
        <w:pStyle w:val="Heading5"/>
        <w:rPr>
          <w:snapToGrid w:val="0"/>
        </w:rPr>
      </w:pPr>
      <w:bookmarkStart w:id="764" w:name="_Toc188451553"/>
      <w:r>
        <w:rPr>
          <w:rStyle w:val="CharSectno"/>
        </w:rPr>
        <w:t>113</w:t>
      </w:r>
      <w:r>
        <w:rPr>
          <w:snapToGrid w:val="0"/>
        </w:rPr>
        <w:t>.</w:t>
      </w:r>
      <w:r>
        <w:rPr>
          <w:snapToGrid w:val="0"/>
        </w:rPr>
        <w:tab/>
        <w:t>Regulations</w:t>
      </w:r>
      <w:bookmarkEnd w:id="76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 xml:space="preserve">the enforcement of the awards, orders, judgments, directions, and sentences of the Court </w:t>
      </w:r>
      <w:r>
        <w:rPr>
          <w:snapToGrid w:val="0"/>
        </w:rPr>
        <w:lastRenderedPageBreak/>
        <w:t>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i"/>
      </w:pPr>
      <w:r>
        <w:tab/>
        <w:t>(iii)</w:t>
      </w:r>
      <w:r>
        <w:tab/>
        <w:t>a sexual harassment proceeding commenced under section 51BT;</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Ednotepara"/>
        <w:rPr>
          <w:snapToGrid w:val="0"/>
        </w:rPr>
      </w:pPr>
      <w:r>
        <w:rPr>
          <w:snapToGrid w:val="0"/>
        </w:rPr>
        <w:tab/>
        <w:t>[(da)</w:t>
      </w:r>
      <w:r>
        <w:rPr>
          <w:snapToGrid w:val="0"/>
        </w:rPr>
        <w:tab/>
        <w:t>deleted]</w:t>
      </w:r>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lastRenderedPageBreak/>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Ednotesubsection"/>
      </w:pPr>
      <w:r>
        <w:tab/>
        <w:t>[(2)</w:t>
      </w:r>
      <w:r>
        <w:tab/>
        <w:t>deleted]</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 No. 43 of 2024 s. 85.]</w:t>
      </w:r>
    </w:p>
    <w:p>
      <w:pPr>
        <w:pStyle w:val="Heading5"/>
        <w:rPr>
          <w:snapToGrid w:val="0"/>
        </w:rPr>
      </w:pPr>
      <w:bookmarkStart w:id="765" w:name="_Toc188451554"/>
      <w:r>
        <w:rPr>
          <w:rStyle w:val="CharSectno"/>
        </w:rPr>
        <w:t>114</w:t>
      </w:r>
      <w:r>
        <w:rPr>
          <w:snapToGrid w:val="0"/>
        </w:rPr>
        <w:t>.</w:t>
      </w:r>
      <w:r>
        <w:rPr>
          <w:snapToGrid w:val="0"/>
        </w:rPr>
        <w:tab/>
        <w:t>Contracting out from awards etc. prohibited</w:t>
      </w:r>
      <w:bookmarkEnd w:id="765"/>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w:t>
      </w:r>
      <w:r>
        <w:rPr>
          <w:snapToGrid w:val="0"/>
        </w:rPr>
        <w:lastRenderedPageBreak/>
        <w:t xml:space="preserve">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766" w:name="_Toc188451555"/>
      <w:r>
        <w:rPr>
          <w:rStyle w:val="CharSectno"/>
        </w:rPr>
        <w:t>115</w:t>
      </w:r>
      <w:r>
        <w:t>.</w:t>
      </w:r>
      <w:r>
        <w:tab/>
        <w:t>Police officers, application of Act to (Sch. 3)</w:t>
      </w:r>
      <w:bookmarkEnd w:id="766"/>
    </w:p>
    <w:p>
      <w:pPr>
        <w:pStyle w:val="Subsection"/>
        <w:keepNext/>
      </w:pPr>
      <w:r>
        <w:tab/>
      </w:r>
      <w:r>
        <w:tab/>
        <w:t>Schedule 3 has effect.</w:t>
      </w:r>
    </w:p>
    <w:p>
      <w:pPr>
        <w:pStyle w:val="Footnotesection"/>
        <w:keepNext/>
      </w:pPr>
      <w:r>
        <w:tab/>
        <w:t>[Section 115 inserted: No. 58 of 2000 s. 4.]</w:t>
      </w:r>
    </w:p>
    <w:p>
      <w:pPr>
        <w:pStyle w:val="Heading2"/>
      </w:pPr>
      <w:bookmarkStart w:id="767" w:name="_Toc182397912"/>
      <w:bookmarkStart w:id="768" w:name="_Toc182398226"/>
      <w:bookmarkStart w:id="769" w:name="_Toc182398540"/>
      <w:bookmarkStart w:id="770" w:name="_Toc188271916"/>
      <w:bookmarkStart w:id="771" w:name="_Toc188451556"/>
      <w:r>
        <w:rPr>
          <w:rStyle w:val="CharPartNo"/>
        </w:rPr>
        <w:lastRenderedPageBreak/>
        <w:t>Part 8</w:t>
      </w:r>
      <w:r>
        <w:t> — </w:t>
      </w:r>
      <w:r>
        <w:rPr>
          <w:rStyle w:val="CharPartText"/>
        </w:rPr>
        <w:t>Transitional and savings provisions</w:t>
      </w:r>
      <w:bookmarkEnd w:id="767"/>
      <w:bookmarkEnd w:id="768"/>
      <w:bookmarkEnd w:id="769"/>
      <w:bookmarkEnd w:id="770"/>
      <w:bookmarkEnd w:id="771"/>
    </w:p>
    <w:p>
      <w:pPr>
        <w:pStyle w:val="Footnoteheading"/>
      </w:pPr>
      <w:r>
        <w:tab/>
        <w:t>[Heading inserted: No. 43 of 2024 s. 86.]</w:t>
      </w:r>
    </w:p>
    <w:p>
      <w:pPr>
        <w:pStyle w:val="Heading3"/>
        <w:rPr>
          <w:i/>
        </w:rPr>
      </w:pPr>
      <w:bookmarkStart w:id="772" w:name="_Toc182397913"/>
      <w:bookmarkStart w:id="773" w:name="_Toc182398227"/>
      <w:bookmarkStart w:id="774" w:name="_Toc182398541"/>
      <w:bookmarkStart w:id="775" w:name="_Toc188271917"/>
      <w:bookmarkStart w:id="776" w:name="_Toc188451557"/>
      <w:r>
        <w:rPr>
          <w:rStyle w:val="CharDivNo"/>
        </w:rPr>
        <w:t>Division 1</w:t>
      </w:r>
      <w:r>
        <w:t> — </w:t>
      </w:r>
      <w:r>
        <w:rPr>
          <w:rStyle w:val="CharDivText"/>
        </w:rPr>
        <w:t xml:space="preserve">Transitional provisions for </w:t>
      </w:r>
      <w:r>
        <w:rPr>
          <w:rStyle w:val="CharDivText"/>
          <w:i/>
        </w:rPr>
        <w:t>Industrial Relations Amendment Act 2018</w:t>
      </w:r>
      <w:bookmarkEnd w:id="772"/>
      <w:bookmarkEnd w:id="773"/>
      <w:bookmarkEnd w:id="774"/>
      <w:bookmarkEnd w:id="775"/>
      <w:bookmarkEnd w:id="776"/>
    </w:p>
    <w:p>
      <w:pPr>
        <w:pStyle w:val="Footnoteheading"/>
      </w:pPr>
      <w:r>
        <w:tab/>
        <w:t>[Heading inserted: No. 43 of 2024 s. 86.]</w:t>
      </w:r>
    </w:p>
    <w:p>
      <w:pPr>
        <w:pStyle w:val="Heading5"/>
        <w:spacing w:before="260"/>
      </w:pPr>
      <w:bookmarkStart w:id="777" w:name="_Toc188451558"/>
      <w:r>
        <w:rPr>
          <w:rStyle w:val="CharSectno"/>
        </w:rPr>
        <w:t>116</w:t>
      </w:r>
      <w:r>
        <w:t>.</w:t>
      </w:r>
      <w:r>
        <w:tab/>
        <w:t xml:space="preserve">Transitional provisions for </w:t>
      </w:r>
      <w:r>
        <w:rPr>
          <w:i/>
        </w:rPr>
        <w:t>Industrial Relations Amendment Act 2018</w:t>
      </w:r>
      <w:bookmarkEnd w:id="777"/>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3"/>
        <w:rPr>
          <w:rStyle w:val="CharDivText"/>
          <w:i/>
          <w:iCs/>
        </w:rPr>
      </w:pPr>
      <w:bookmarkStart w:id="778" w:name="_Toc182397915"/>
      <w:bookmarkStart w:id="779" w:name="_Toc182398229"/>
      <w:bookmarkStart w:id="780" w:name="_Toc182398543"/>
      <w:bookmarkStart w:id="781" w:name="_Toc188271919"/>
      <w:bookmarkStart w:id="782" w:name="_Toc188451559"/>
      <w:r>
        <w:rPr>
          <w:rStyle w:val="CharDivNo"/>
        </w:rPr>
        <w:t>Division 2</w:t>
      </w:r>
      <w:r>
        <w:t> — </w:t>
      </w:r>
      <w:r>
        <w:rPr>
          <w:rStyle w:val="CharDivText"/>
        </w:rPr>
        <w:t xml:space="preserve">Savings and transitional provision for </w:t>
      </w:r>
      <w:r>
        <w:rPr>
          <w:rStyle w:val="CharDivText"/>
          <w:i/>
        </w:rPr>
        <w:t>Industrial Relations Legislation Amendment Act 2021</w:t>
      </w:r>
      <w:bookmarkEnd w:id="778"/>
      <w:bookmarkEnd w:id="779"/>
      <w:bookmarkEnd w:id="780"/>
      <w:bookmarkEnd w:id="781"/>
      <w:bookmarkEnd w:id="782"/>
    </w:p>
    <w:p>
      <w:pPr>
        <w:pStyle w:val="Footnoteheading"/>
      </w:pPr>
      <w:r>
        <w:tab/>
        <w:t>[Heading inserted: No. 43 of 2024 s. 87.]</w:t>
      </w:r>
    </w:p>
    <w:p>
      <w:pPr>
        <w:pStyle w:val="Heading5"/>
      </w:pPr>
      <w:bookmarkStart w:id="783" w:name="_Toc188451560"/>
      <w:r>
        <w:rPr>
          <w:rStyle w:val="CharSectno"/>
        </w:rPr>
        <w:t>117</w:t>
      </w:r>
      <w:r>
        <w:t>.</w:t>
      </w:r>
      <w:r>
        <w:tab/>
        <w:t>Transitioned private sector awards</w:t>
      </w:r>
      <w:bookmarkEnd w:id="783"/>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lastRenderedPageBreak/>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Heading3"/>
      </w:pPr>
      <w:bookmarkStart w:id="784" w:name="_Toc182397917"/>
      <w:bookmarkStart w:id="785" w:name="_Toc182398231"/>
      <w:bookmarkStart w:id="786" w:name="_Toc182398545"/>
      <w:bookmarkStart w:id="787" w:name="_Toc188271921"/>
      <w:bookmarkStart w:id="788" w:name="_Toc188451561"/>
      <w:r>
        <w:rPr>
          <w:rStyle w:val="CharDivNo"/>
        </w:rPr>
        <w:t>Division 3</w:t>
      </w:r>
      <w:r>
        <w:t> — </w:t>
      </w:r>
      <w:r>
        <w:rPr>
          <w:rStyle w:val="CharDivText"/>
        </w:rPr>
        <w:t xml:space="preserve">Transitional provisions for </w:t>
      </w:r>
      <w:r>
        <w:rPr>
          <w:rStyle w:val="CharDivText"/>
          <w:i/>
        </w:rPr>
        <w:t>Industrial Relations Legislation Amendment Act 2024</w:t>
      </w:r>
      <w:bookmarkEnd w:id="784"/>
      <w:bookmarkEnd w:id="785"/>
      <w:bookmarkEnd w:id="786"/>
      <w:bookmarkEnd w:id="787"/>
      <w:bookmarkEnd w:id="788"/>
    </w:p>
    <w:p>
      <w:pPr>
        <w:pStyle w:val="Footnoteheading"/>
      </w:pPr>
      <w:r>
        <w:tab/>
        <w:t>[Heading inserted: No. 43 of 2024 s. 88.]</w:t>
      </w:r>
    </w:p>
    <w:p>
      <w:pPr>
        <w:pStyle w:val="Heading5"/>
      </w:pPr>
      <w:bookmarkStart w:id="789" w:name="_Toc182398546"/>
      <w:bookmarkStart w:id="790" w:name="_Toc188451562"/>
      <w:r>
        <w:rPr>
          <w:rStyle w:val="CharSectno"/>
        </w:rPr>
        <w:t>118</w:t>
      </w:r>
      <w:r>
        <w:t>.</w:t>
      </w:r>
      <w:r>
        <w:tab/>
        <w:t>Terms used</w:t>
      </w:r>
      <w:bookmarkEnd w:id="789"/>
      <w:bookmarkEnd w:id="790"/>
    </w:p>
    <w:p>
      <w:pPr>
        <w:pStyle w:val="Subsection"/>
      </w:pPr>
      <w:r>
        <w:tab/>
      </w:r>
      <w:r>
        <w:tab/>
        <w:t xml:space="preserve">In this Division — </w:t>
      </w:r>
    </w:p>
    <w:p>
      <w:pPr>
        <w:pStyle w:val="Defstart"/>
      </w:pPr>
      <w:r>
        <w:tab/>
      </w:r>
      <w:r>
        <w:rPr>
          <w:rStyle w:val="CharDefText"/>
        </w:rPr>
        <w:t>amended</w:t>
      </w:r>
      <w:r>
        <w:t xml:space="preserve">, in relation to this Act or a provision of this Act, means the Act or provision as in force on and from the commencement day; </w:t>
      </w:r>
    </w:p>
    <w:p>
      <w:pPr>
        <w:pStyle w:val="Defstart"/>
      </w:pPr>
      <w:r>
        <w:tab/>
      </w:r>
      <w:r>
        <w:rPr>
          <w:rStyle w:val="CharDefText"/>
        </w:rPr>
        <w:t>commencement day</w:t>
      </w:r>
      <w:r>
        <w:t xml:space="preserve"> means 31 January 2025;</w:t>
      </w:r>
    </w:p>
    <w:p>
      <w:pPr>
        <w:pStyle w:val="Defstart"/>
      </w:pPr>
      <w:r>
        <w:tab/>
      </w:r>
      <w:r>
        <w:rPr>
          <w:rStyle w:val="CharDefText"/>
        </w:rPr>
        <w:t>repeal</w:t>
      </w:r>
      <w:r>
        <w:t xml:space="preserve">, in relation to a provision of this Act, means the repeal of the provision by the </w:t>
      </w:r>
      <w:r>
        <w:rPr>
          <w:i/>
        </w:rPr>
        <w:t>Industrial Relations Legislation Amendment Act 2024</w:t>
      </w:r>
      <w:r>
        <w:t>;</w:t>
      </w:r>
    </w:p>
    <w:p>
      <w:pPr>
        <w:pStyle w:val="Defstart"/>
      </w:pPr>
      <w:r>
        <w:tab/>
      </w:r>
      <w:r>
        <w:rPr>
          <w:rStyle w:val="CharDefText"/>
        </w:rPr>
        <w:t>repealed</w:t>
      </w:r>
      <w:r>
        <w:t>, in relation to a provision of this Act, means that provision as in force from time to time before the commencement day.</w:t>
      </w:r>
    </w:p>
    <w:p>
      <w:pPr>
        <w:pStyle w:val="Footnotesection"/>
      </w:pPr>
      <w:r>
        <w:tab/>
        <w:t>[Section 118 inserted: No. 43 of 2024 s. 88.]</w:t>
      </w:r>
    </w:p>
    <w:p>
      <w:pPr>
        <w:pStyle w:val="Heading5"/>
      </w:pPr>
      <w:bookmarkStart w:id="791" w:name="_Toc182398547"/>
      <w:bookmarkStart w:id="792" w:name="_Toc188451563"/>
      <w:r>
        <w:rPr>
          <w:rStyle w:val="CharSectno"/>
        </w:rPr>
        <w:t>119</w:t>
      </w:r>
      <w:r>
        <w:t>.</w:t>
      </w:r>
      <w:r>
        <w:tab/>
      </w:r>
      <w:r>
        <w:rPr>
          <w:i/>
        </w:rPr>
        <w:t>Interpretation Act 1984</w:t>
      </w:r>
      <w:r>
        <w:t xml:space="preserve"> not affected</w:t>
      </w:r>
      <w:bookmarkEnd w:id="791"/>
      <w:bookmarkEnd w:id="792"/>
    </w:p>
    <w:p>
      <w:pPr>
        <w:pStyle w:val="Subsection"/>
      </w:pPr>
      <w:r>
        <w:tab/>
      </w:r>
      <w:r>
        <w:tab/>
        <w:t xml:space="preserve">This Division applies in addition to the </w:t>
      </w:r>
      <w:r>
        <w:rPr>
          <w:i/>
        </w:rPr>
        <w:t>Interpretation Act 1984</w:t>
      </w:r>
      <w:r>
        <w:t xml:space="preserve"> and does not limit or otherwise affect the operation of the provisions of that Act.</w:t>
      </w:r>
    </w:p>
    <w:p>
      <w:pPr>
        <w:pStyle w:val="Footnotesection"/>
      </w:pPr>
      <w:r>
        <w:tab/>
        <w:t>[Section 119 inserted: No. 43 of 2024 s. 88.]</w:t>
      </w:r>
    </w:p>
    <w:p>
      <w:pPr>
        <w:pStyle w:val="Heading5"/>
      </w:pPr>
      <w:bookmarkStart w:id="793" w:name="_Toc182398548"/>
      <w:bookmarkStart w:id="794" w:name="_Toc188451564"/>
      <w:r>
        <w:rPr>
          <w:rStyle w:val="CharSectno"/>
        </w:rPr>
        <w:lastRenderedPageBreak/>
        <w:t>120</w:t>
      </w:r>
      <w:r>
        <w:t>.</w:t>
      </w:r>
      <w:r>
        <w:tab/>
        <w:t>Representation of parties to proceedings</w:t>
      </w:r>
      <w:bookmarkEnd w:id="793"/>
      <w:bookmarkEnd w:id="794"/>
      <w:r>
        <w:t xml:space="preserve"> </w:t>
      </w:r>
    </w:p>
    <w:p>
      <w:pPr>
        <w:pStyle w:val="Subsection"/>
      </w:pPr>
      <w:r>
        <w:tab/>
      </w:r>
      <w:r>
        <w:tab/>
        <w:t>Amended section 31 applies in relation to proceedings commenced before the commencement day.</w:t>
      </w:r>
    </w:p>
    <w:p>
      <w:pPr>
        <w:pStyle w:val="Footnotesection"/>
      </w:pPr>
      <w:r>
        <w:tab/>
        <w:t>[Section 120 inserted: No. 43 of 2024 s. 88.]</w:t>
      </w:r>
    </w:p>
    <w:p>
      <w:pPr>
        <w:pStyle w:val="Heading5"/>
      </w:pPr>
      <w:bookmarkStart w:id="795" w:name="_Toc182398549"/>
      <w:bookmarkStart w:id="796" w:name="_Toc188451565"/>
      <w:r>
        <w:rPr>
          <w:rStyle w:val="CharSectno"/>
        </w:rPr>
        <w:t>121</w:t>
      </w:r>
      <w:r>
        <w:t>.</w:t>
      </w:r>
      <w:r>
        <w:tab/>
        <w:t>Boards of Reference abolished</w:t>
      </w:r>
      <w:bookmarkEnd w:id="795"/>
      <w:bookmarkEnd w:id="796"/>
    </w:p>
    <w:p>
      <w:pPr>
        <w:pStyle w:val="Subsection"/>
      </w:pPr>
      <w:r>
        <w:tab/>
        <w:t>(1)</w:t>
      </w:r>
      <w:r>
        <w:tab/>
        <w:t xml:space="preserve">In this section — </w:t>
      </w:r>
    </w:p>
    <w:p>
      <w:pPr>
        <w:pStyle w:val="Defstart"/>
      </w:pPr>
      <w:r>
        <w:tab/>
      </w:r>
      <w:r>
        <w:rPr>
          <w:rStyle w:val="CharDefText"/>
        </w:rPr>
        <w:t>Board of Reference</w:t>
      </w:r>
      <w:r>
        <w:t xml:space="preserve"> means a Board of Reference for an award established under repealed section 48.</w:t>
      </w:r>
    </w:p>
    <w:p>
      <w:pPr>
        <w:pStyle w:val="Subsection"/>
      </w:pPr>
      <w:r>
        <w:tab/>
        <w:t>(2)</w:t>
      </w:r>
      <w:r>
        <w:tab/>
        <w:t xml:space="preserve">If, immediately before the commencement day, a Board of Reference had not finished dealing with a particular matter, repealed section 48 continues to apply in relation to the Board of Reference and the matter as if the </w:t>
      </w:r>
      <w:r>
        <w:rPr>
          <w:i/>
        </w:rPr>
        <w:t>Industrial Relations Legislation Amendment Act 2024</w:t>
      </w:r>
      <w:r>
        <w:t xml:space="preserve"> section 21 had not been enacted.</w:t>
      </w:r>
    </w:p>
    <w:p>
      <w:pPr>
        <w:pStyle w:val="Subsection"/>
      </w:pPr>
      <w:r>
        <w:tab/>
        <w:t>(3)</w:t>
      </w:r>
      <w:r>
        <w:tab/>
        <w:t xml:space="preserve">A person who, immediately before the commencement day, held office as the chairperson or a member of a Board of Reference goes out of office — </w:t>
      </w:r>
    </w:p>
    <w:p>
      <w:pPr>
        <w:pStyle w:val="Indenta"/>
      </w:pPr>
      <w:r>
        <w:tab/>
        <w:t>(a)</w:t>
      </w:r>
      <w:r>
        <w:tab/>
        <w:t>if subsection (2) applies to the board — on the day after the day on which the board finishes dealing with the matter mentioned in that subsection; or</w:t>
      </w:r>
    </w:p>
    <w:p>
      <w:pPr>
        <w:pStyle w:val="Indenta"/>
      </w:pPr>
      <w:r>
        <w:tab/>
        <w:t>(b)</w:t>
      </w:r>
      <w:r>
        <w:tab/>
        <w:t>otherwise — on the commencement day.</w:t>
      </w:r>
    </w:p>
    <w:p>
      <w:pPr>
        <w:pStyle w:val="Subsection"/>
      </w:pPr>
      <w:r>
        <w:tab/>
        <w:t>(4)</w:t>
      </w:r>
      <w:r>
        <w:tab/>
        <w:t xml:space="preserve">A right to appeal against a decision of a Board of Reference, or an appeal made in exercise of that right, under repealed section 48(11) is not affected by the repeal of that section, regardless of whether the decision was made — </w:t>
      </w:r>
    </w:p>
    <w:p>
      <w:pPr>
        <w:pStyle w:val="Indenta"/>
      </w:pPr>
      <w:r>
        <w:tab/>
        <w:t>(a)</w:t>
      </w:r>
      <w:r>
        <w:tab/>
        <w:t>before the commencement day; or</w:t>
      </w:r>
    </w:p>
    <w:p>
      <w:pPr>
        <w:pStyle w:val="Indenta"/>
      </w:pPr>
      <w:r>
        <w:tab/>
        <w:t>(b)</w:t>
      </w:r>
      <w:r>
        <w:tab/>
        <w:t>on or after the commencement day in relation to a matter to which subsection (2) applies.</w:t>
      </w:r>
    </w:p>
    <w:p>
      <w:pPr>
        <w:pStyle w:val="Subsection"/>
      </w:pPr>
      <w:r>
        <w:lastRenderedPageBreak/>
        <w:tab/>
        <w:t>(5)</w:t>
      </w:r>
      <w:r>
        <w:tab/>
        <w:t>Despite subsections (2) and (4), the Commission cannot make an order mentioned in repealed section 48(15) after the commencement day.</w:t>
      </w:r>
    </w:p>
    <w:p>
      <w:pPr>
        <w:pStyle w:val="Footnotesection"/>
      </w:pPr>
      <w:r>
        <w:tab/>
        <w:t>[Section 121 inserted: No. 43 of 2024 s. 88.]</w:t>
      </w:r>
    </w:p>
    <w:p>
      <w:pPr>
        <w:pStyle w:val="Heading5"/>
      </w:pPr>
      <w:bookmarkStart w:id="797" w:name="_Toc182398550"/>
      <w:bookmarkStart w:id="798" w:name="_Toc188451566"/>
      <w:r>
        <w:rPr>
          <w:rStyle w:val="CharSectno"/>
        </w:rPr>
        <w:t>122</w:t>
      </w:r>
      <w:r>
        <w:t>.</w:t>
      </w:r>
      <w:r>
        <w:tab/>
        <w:t>Existing authorities for entry and inspection by authorised representatives</w:t>
      </w:r>
      <w:bookmarkEnd w:id="797"/>
      <w:bookmarkEnd w:id="798"/>
    </w:p>
    <w:p>
      <w:pPr>
        <w:pStyle w:val="Subsection"/>
      </w:pPr>
      <w:r>
        <w:tab/>
        <w:t>(1)</w:t>
      </w:r>
      <w:r>
        <w:tab/>
        <w:t>This section applies in relation to an authority issued to a person under repealed section 49J(1) if the authority is in effect immediately before the commencement day.</w:t>
      </w:r>
    </w:p>
    <w:p>
      <w:pPr>
        <w:pStyle w:val="Subsection"/>
      </w:pPr>
      <w:r>
        <w:tab/>
        <w:t>(2)</w:t>
      </w:r>
      <w:r>
        <w:tab/>
        <w:t xml:space="preserve">On and from the commencement day, the authority is taken to — </w:t>
      </w:r>
    </w:p>
    <w:p>
      <w:pPr>
        <w:pStyle w:val="Indenta"/>
      </w:pPr>
      <w:r>
        <w:tab/>
        <w:t>(a)</w:t>
      </w:r>
      <w:r>
        <w:tab/>
        <w:t>be a permit issued by the Commission under Part II Division 2G Subdivision 3; and</w:t>
      </w:r>
    </w:p>
    <w:p>
      <w:pPr>
        <w:pStyle w:val="Indenta"/>
      </w:pPr>
      <w:r>
        <w:tab/>
        <w:t>(b)</w:t>
      </w:r>
      <w:r>
        <w:tab/>
        <w:t>have an expiry day of the day that is 1 year after the commencement day.</w:t>
      </w:r>
    </w:p>
    <w:p>
      <w:pPr>
        <w:pStyle w:val="PermNoteHeading"/>
      </w:pPr>
      <w:r>
        <w:tab/>
        <w:t>Note for this subsection:</w:t>
      </w:r>
    </w:p>
    <w:p>
      <w:pPr>
        <w:pStyle w:val="PermNoteText"/>
      </w:pPr>
      <w:r>
        <w:tab/>
      </w:r>
      <w:r>
        <w:tab/>
        <w:t xml:space="preserve">For the purposes of paragraph (a), </w:t>
      </w:r>
      <w:r>
        <w:rPr>
          <w:b/>
          <w:bCs/>
          <w:i/>
          <w:iCs/>
        </w:rPr>
        <w:t>right of entry permit</w:t>
      </w:r>
      <w:r>
        <w:t xml:space="preserve"> is defined as a permit issued by the Commission under Part II Division 2G Subdivision 3. See section 49G(1).</w:t>
      </w:r>
    </w:p>
    <w:p>
      <w:pPr>
        <w:pStyle w:val="Subsection"/>
      </w:pPr>
      <w:r>
        <w:tab/>
        <w:t>(3)</w:t>
      </w:r>
      <w:r>
        <w:tab/>
        <w:t>Subsection (2) applies regardless of whether the person who holds the authority is an officer or employee of the organisation of employees, the secretary of which applied for the authority.</w:t>
      </w:r>
    </w:p>
    <w:p>
      <w:pPr>
        <w:pStyle w:val="Footnotesection"/>
      </w:pPr>
      <w:r>
        <w:tab/>
        <w:t>[Section 122 inserted: No. 43 of 2024 s. 88.]</w:t>
      </w:r>
    </w:p>
    <w:p>
      <w:pPr>
        <w:pStyle w:val="Heading5"/>
      </w:pPr>
      <w:bookmarkStart w:id="799" w:name="_Toc182398551"/>
      <w:bookmarkStart w:id="800" w:name="_Toc188451567"/>
      <w:r>
        <w:rPr>
          <w:rStyle w:val="CharSectno"/>
        </w:rPr>
        <w:t>123</w:t>
      </w:r>
      <w:r>
        <w:t>.</w:t>
      </w:r>
      <w:r>
        <w:tab/>
        <w:t>Bullying and sexual harassment at work before commencement day</w:t>
      </w:r>
      <w:bookmarkEnd w:id="799"/>
      <w:bookmarkEnd w:id="800"/>
    </w:p>
    <w:p>
      <w:pPr>
        <w:pStyle w:val="Subsection"/>
      </w:pPr>
      <w:r>
        <w:tab/>
        <w:t>(1)</w:t>
      </w:r>
      <w:r>
        <w:tab/>
        <w:t xml:space="preserve">In this section — </w:t>
      </w:r>
    </w:p>
    <w:p>
      <w:pPr>
        <w:pStyle w:val="Defstart"/>
      </w:pPr>
      <w:r>
        <w:tab/>
      </w:r>
      <w:r>
        <w:rPr>
          <w:rStyle w:val="CharDefText"/>
        </w:rPr>
        <w:t>former Act</w:t>
      </w:r>
      <w:r>
        <w:t xml:space="preserve"> means this Act as in force from time to time before the commencement day;</w:t>
      </w:r>
    </w:p>
    <w:p>
      <w:pPr>
        <w:pStyle w:val="Defstart"/>
      </w:pPr>
      <w:r>
        <w:tab/>
      </w:r>
      <w:r>
        <w:rPr>
          <w:rStyle w:val="CharDefText"/>
        </w:rPr>
        <w:t>post</w:t>
      </w:r>
      <w:r>
        <w:rPr>
          <w:rStyle w:val="CharDefText"/>
        </w:rPr>
        <w:noBreakHyphen/>
        <w:t>commencement behaviour</w:t>
      </w:r>
      <w:r>
        <w:t xml:space="preserve"> means behaviour referred to in amended section 51BI or 51BR that happened on or after the commencement day;</w:t>
      </w:r>
    </w:p>
    <w:p>
      <w:pPr>
        <w:pStyle w:val="Defstart"/>
      </w:pPr>
      <w:r>
        <w:lastRenderedPageBreak/>
        <w:tab/>
      </w:r>
      <w:r>
        <w:rPr>
          <w:rStyle w:val="CharDefText"/>
        </w:rPr>
        <w:t>pre</w:t>
      </w:r>
      <w:r>
        <w:rPr>
          <w:rStyle w:val="CharDefText"/>
        </w:rPr>
        <w:noBreakHyphen/>
        <w:t>commencement behaviour</w:t>
      </w:r>
      <w:r>
        <w:t xml:space="preserve"> means behaviour referred to in section 51BI of the former Act that happened before the commencement day.</w:t>
      </w:r>
    </w:p>
    <w:p>
      <w:pPr>
        <w:pStyle w:val="Subsection"/>
      </w:pPr>
      <w:r>
        <w:tab/>
        <w:t>(2)</w:t>
      </w:r>
      <w:r>
        <w:tab/>
        <w:t>The former Act continues to apply in relation to pre</w:t>
      </w:r>
      <w:r>
        <w:noBreakHyphen/>
        <w:t xml:space="preserve">commencement behaviour as if the </w:t>
      </w:r>
      <w:r>
        <w:rPr>
          <w:i/>
        </w:rPr>
        <w:t>Industrial Relations Legislation Amendment Act 2024</w:t>
      </w:r>
      <w:r>
        <w:t xml:space="preserve"> had not been enacted.</w:t>
      </w:r>
    </w:p>
    <w:p>
      <w:pPr>
        <w:pStyle w:val="Subsection"/>
      </w:pPr>
      <w:r>
        <w:tab/>
        <w:t>(3)</w:t>
      </w:r>
      <w:r>
        <w:tab/>
        <w:t xml:space="preserve">Without limiting subsection (2) — </w:t>
      </w:r>
    </w:p>
    <w:p>
      <w:pPr>
        <w:pStyle w:val="Indenta"/>
      </w:pPr>
      <w:r>
        <w:tab/>
        <w:t>(a)</w:t>
      </w:r>
      <w:r>
        <w:tab/>
        <w:t>a worker may make a stop bullying or sexual harassment application in relation to pre</w:t>
      </w:r>
      <w:r>
        <w:noBreakHyphen/>
        <w:t>commencement behaviour; and</w:t>
      </w:r>
    </w:p>
    <w:p>
      <w:pPr>
        <w:pStyle w:val="Indenta"/>
      </w:pPr>
      <w:r>
        <w:tab/>
        <w:t>(b)</w:t>
      </w:r>
      <w:r>
        <w:tab/>
        <w:t xml:space="preserve">the Commission may deal with, or continue to deal with, a stop bullying or sexual harassment application — </w:t>
      </w:r>
    </w:p>
    <w:p>
      <w:pPr>
        <w:pStyle w:val="Indenti"/>
      </w:pPr>
      <w:r>
        <w:tab/>
        <w:t>(i)</w:t>
      </w:r>
      <w:r>
        <w:tab/>
        <w:t xml:space="preserve">referred to in paragraph (a); or </w:t>
      </w:r>
    </w:p>
    <w:p>
      <w:pPr>
        <w:pStyle w:val="Indenti"/>
      </w:pPr>
      <w:r>
        <w:tab/>
        <w:t>(ii)</w:t>
      </w:r>
      <w:r>
        <w:tab/>
        <w:t>made, but not finally dealt with or withdrawn, before the commencement day;</w:t>
      </w:r>
    </w:p>
    <w:p>
      <w:pPr>
        <w:pStyle w:val="Indenta"/>
      </w:pPr>
      <w:r>
        <w:tab/>
      </w:r>
      <w:r>
        <w:tab/>
        <w:t>and</w:t>
      </w:r>
    </w:p>
    <w:p>
      <w:pPr>
        <w:pStyle w:val="Indenta"/>
      </w:pPr>
      <w:r>
        <w:tab/>
        <w:t>(c)</w:t>
      </w:r>
      <w:r>
        <w:tab/>
        <w:t>sections 51BN and 83E of the former Act continue to apply in relation to a stop bullying or sexual harassment order made before the commencement day or by the Commission under paragraph (b).</w:t>
      </w:r>
    </w:p>
    <w:p>
      <w:pPr>
        <w:pStyle w:val="Subsection"/>
      </w:pPr>
      <w:r>
        <w:tab/>
        <w:t>(4)</w:t>
      </w:r>
      <w:r>
        <w:tab/>
        <w:t>The amended Act does not apply in relation to pre</w:t>
      </w:r>
      <w:r>
        <w:noBreakHyphen/>
        <w:t xml:space="preserve">commencement behaviour. </w:t>
      </w:r>
    </w:p>
    <w:p>
      <w:pPr>
        <w:pStyle w:val="Subsection"/>
      </w:pPr>
      <w:r>
        <w:tab/>
        <w:t>(5)</w:t>
      </w:r>
      <w:r>
        <w:tab/>
        <w:t>However, if the Commission or the industrial magistrate’s court is dealing with an application made or a proceeding commenced in relation to post</w:t>
      </w:r>
      <w:r>
        <w:noBreakHyphen/>
        <w:t>commencement behaviour, the Commission or court may take pre</w:t>
      </w:r>
      <w:r>
        <w:noBreakHyphen/>
        <w:t xml:space="preserve">commencement behaviour into account. </w:t>
      </w:r>
    </w:p>
    <w:p>
      <w:pPr>
        <w:pStyle w:val="Footnotesection"/>
      </w:pPr>
      <w:r>
        <w:tab/>
        <w:t>[Section 123 inserted: No. 43 of 2024 s. 88.]</w:t>
      </w:r>
    </w:p>
    <w:p>
      <w:pPr>
        <w:pStyle w:val="Heading5"/>
      </w:pPr>
      <w:bookmarkStart w:id="801" w:name="_Toc182398552"/>
      <w:bookmarkStart w:id="802" w:name="_Toc188451568"/>
      <w:r>
        <w:rPr>
          <w:rStyle w:val="CharSectno"/>
        </w:rPr>
        <w:t>124</w:t>
      </w:r>
      <w:r>
        <w:t>.</w:t>
      </w:r>
      <w:r>
        <w:tab/>
        <w:t>Office of public service arbitrator abolished</w:t>
      </w:r>
      <w:bookmarkEnd w:id="801"/>
      <w:bookmarkEnd w:id="802"/>
    </w:p>
    <w:p>
      <w:pPr>
        <w:pStyle w:val="Subsection"/>
      </w:pPr>
      <w:r>
        <w:tab/>
        <w:t>(1)</w:t>
      </w:r>
      <w:r>
        <w:tab/>
        <w:t xml:space="preserve">In this section — </w:t>
      </w:r>
    </w:p>
    <w:p>
      <w:pPr>
        <w:pStyle w:val="Defstart"/>
      </w:pPr>
      <w:r>
        <w:tab/>
      </w:r>
      <w:r>
        <w:rPr>
          <w:rStyle w:val="CharDefText"/>
        </w:rPr>
        <w:t>Arbitrator</w:t>
      </w:r>
      <w:r>
        <w:t xml:space="preserve"> has the meaning given in repealed section 80C(1).</w:t>
      </w:r>
    </w:p>
    <w:p>
      <w:pPr>
        <w:pStyle w:val="Subsection"/>
      </w:pPr>
      <w:r>
        <w:lastRenderedPageBreak/>
        <w:tab/>
        <w:t>(2)</w:t>
      </w:r>
      <w:r>
        <w:tab/>
        <w:t xml:space="preserve">If, immediately before the commencement day, an industrial matter referred to an Arbitrator has not been finally dealt with or withdrawn, the Arbitrator may start or continue to enquire into and deal with the matter under repealed Part IIA as if the </w:t>
      </w:r>
      <w:r>
        <w:rPr>
          <w:i/>
        </w:rPr>
        <w:t>Industrial Relations Legislation Amendment Act 2024</w:t>
      </w:r>
      <w:r>
        <w:t xml:space="preserve"> section 57 had not been enacted.</w:t>
      </w:r>
    </w:p>
    <w:p>
      <w:pPr>
        <w:pStyle w:val="Subsection"/>
      </w:pPr>
      <w:r>
        <w:tab/>
        <w:t>(3)</w:t>
      </w:r>
      <w:r>
        <w:tab/>
        <w:t xml:space="preserve">A commissioner appointed as an Arbitrator stops holding office as a public service arbitrator — </w:t>
      </w:r>
    </w:p>
    <w:p>
      <w:pPr>
        <w:pStyle w:val="Indenta"/>
      </w:pPr>
      <w:r>
        <w:tab/>
        <w:t>(a)</w:t>
      </w:r>
      <w:r>
        <w:tab/>
        <w:t>if subsection (2) applies in relation to 1 or more industrial matters — on the day after the day on which the last of the matters is finally dealt with or withdrawn; or</w:t>
      </w:r>
    </w:p>
    <w:p>
      <w:pPr>
        <w:pStyle w:val="Indenta"/>
      </w:pPr>
      <w:r>
        <w:tab/>
        <w:t>(b)</w:t>
      </w:r>
      <w:r>
        <w:tab/>
        <w:t>if the Arbitrator is a member of a Board established for the purposes of 1 or more appeals to which section 125(2) applies — on the day after the day on which the last of the appeals is finally determined or withdrawn; or</w:t>
      </w:r>
    </w:p>
    <w:p>
      <w:pPr>
        <w:pStyle w:val="Indenta"/>
      </w:pPr>
      <w:r>
        <w:tab/>
        <w:t>(c)</w:t>
      </w:r>
      <w:r>
        <w:tab/>
        <w:t>otherwise — on the commencement day.</w:t>
      </w:r>
    </w:p>
    <w:p>
      <w:pPr>
        <w:pStyle w:val="Footnotesection"/>
      </w:pPr>
      <w:r>
        <w:tab/>
        <w:t>[Section 124 inserted: No. 43 of 2024 s. 88.]</w:t>
      </w:r>
    </w:p>
    <w:p>
      <w:pPr>
        <w:pStyle w:val="Heading5"/>
      </w:pPr>
      <w:bookmarkStart w:id="803" w:name="_Toc182398553"/>
      <w:bookmarkStart w:id="804" w:name="_Toc188451569"/>
      <w:r>
        <w:rPr>
          <w:rStyle w:val="CharSectno"/>
        </w:rPr>
        <w:t>125</w:t>
      </w:r>
      <w:r>
        <w:t>.</w:t>
      </w:r>
      <w:r>
        <w:tab/>
        <w:t>Public Service Appeal Board abolished</w:t>
      </w:r>
      <w:bookmarkEnd w:id="803"/>
      <w:bookmarkEnd w:id="804"/>
    </w:p>
    <w:p>
      <w:pPr>
        <w:pStyle w:val="Subsection"/>
      </w:pPr>
      <w:r>
        <w:tab/>
        <w:t>(1)</w:t>
      </w:r>
      <w:r>
        <w:tab/>
        <w:t xml:space="preserve">In this section — </w:t>
      </w:r>
    </w:p>
    <w:p>
      <w:pPr>
        <w:pStyle w:val="Defstart"/>
      </w:pPr>
      <w:r>
        <w:tab/>
      </w:r>
      <w:r>
        <w:rPr>
          <w:rStyle w:val="CharDefText"/>
        </w:rPr>
        <w:t>appeal</w:t>
      </w:r>
      <w:r>
        <w:t xml:space="preserve"> means an appeal instituted under repealed section 80I;</w:t>
      </w:r>
    </w:p>
    <w:p>
      <w:pPr>
        <w:pStyle w:val="Defstart"/>
      </w:pPr>
      <w:r>
        <w:tab/>
      </w:r>
      <w:r>
        <w:rPr>
          <w:rStyle w:val="CharDefText"/>
        </w:rPr>
        <w:t>Board</w:t>
      </w:r>
      <w:r>
        <w:t xml:space="preserve"> has the meaning given in repealed section 80C(1).</w:t>
      </w:r>
    </w:p>
    <w:p>
      <w:pPr>
        <w:pStyle w:val="Subsection"/>
      </w:pPr>
      <w:r>
        <w:tab/>
        <w:t>(2)</w:t>
      </w:r>
      <w:r>
        <w:tab/>
        <w:t xml:space="preserve">If, immediately before the commencement day, an appeal has not been finally determined or withdrawn, repealed Part IIA continues to apply in relation to the appeal as if the </w:t>
      </w:r>
      <w:r>
        <w:rPr>
          <w:i/>
        </w:rPr>
        <w:t>Industrial Relations Legislation Amendment Act 2024</w:t>
      </w:r>
      <w:r>
        <w:t xml:space="preserve"> section 57 had not been enacted.</w:t>
      </w:r>
    </w:p>
    <w:p>
      <w:pPr>
        <w:pStyle w:val="Subsection"/>
      </w:pPr>
      <w:r>
        <w:tab/>
        <w:t>(3)</w:t>
      </w:r>
      <w:r>
        <w:tab/>
        <w:t xml:space="preserve">Without limiting subsection (2) — </w:t>
      </w:r>
    </w:p>
    <w:p>
      <w:pPr>
        <w:pStyle w:val="Indenta"/>
      </w:pPr>
      <w:r>
        <w:tab/>
        <w:t>(a)</w:t>
      </w:r>
      <w:r>
        <w:tab/>
        <w:t>a Board may be established under repealed section 80H for the purposes of the appeal; and</w:t>
      </w:r>
    </w:p>
    <w:p>
      <w:pPr>
        <w:pStyle w:val="Indenta"/>
      </w:pPr>
      <w:r>
        <w:lastRenderedPageBreak/>
        <w:tab/>
        <w:t>(b)</w:t>
      </w:r>
      <w:r>
        <w:tab/>
        <w:t>a Board may start, or continue, to hear and determine the appeal.</w:t>
      </w:r>
    </w:p>
    <w:p>
      <w:pPr>
        <w:pStyle w:val="Footnotesection"/>
      </w:pPr>
      <w:r>
        <w:tab/>
        <w:t>[Section 125 inserted: No. 43 of 2024 s. 88.]</w:t>
      </w:r>
    </w:p>
    <w:p>
      <w:pPr>
        <w:pStyle w:val="Heading5"/>
      </w:pPr>
      <w:bookmarkStart w:id="805" w:name="_Toc182398554"/>
      <w:bookmarkStart w:id="806" w:name="_Toc188451570"/>
      <w:r>
        <w:rPr>
          <w:rStyle w:val="CharSectno"/>
        </w:rPr>
        <w:t>126</w:t>
      </w:r>
      <w:r>
        <w:t>.</w:t>
      </w:r>
      <w:r>
        <w:tab/>
        <w:t>Railways Classification Board abolished</w:t>
      </w:r>
      <w:bookmarkEnd w:id="805"/>
      <w:bookmarkEnd w:id="806"/>
    </w:p>
    <w:p>
      <w:pPr>
        <w:pStyle w:val="Subsection"/>
      </w:pPr>
      <w:r>
        <w:tab/>
      </w:r>
      <w:r>
        <w:tab/>
        <w:t>The Railways Classification Board is abolished on the commencement day.</w:t>
      </w:r>
    </w:p>
    <w:p>
      <w:pPr>
        <w:pStyle w:val="Footnotesection"/>
      </w:pPr>
      <w:r>
        <w:tab/>
        <w:t>[Section 126 inserted: No. 43 of 2024 s. 88.]</w:t>
      </w:r>
    </w:p>
    <w:p>
      <w:pPr>
        <w:pStyle w:val="Heading5"/>
      </w:pPr>
      <w:bookmarkStart w:id="807" w:name="_Toc182398555"/>
      <w:bookmarkStart w:id="808" w:name="_Toc188451571"/>
      <w:r>
        <w:rPr>
          <w:rStyle w:val="CharSectno"/>
        </w:rPr>
        <w:t>127</w:t>
      </w:r>
      <w:r>
        <w:t>.</w:t>
      </w:r>
      <w:r>
        <w:tab/>
        <w:t>No costs to be awarded under section 107</w:t>
      </w:r>
      <w:bookmarkEnd w:id="807"/>
      <w:bookmarkEnd w:id="808"/>
    </w:p>
    <w:p>
      <w:pPr>
        <w:pStyle w:val="Subsection"/>
      </w:pPr>
      <w:r>
        <w:tab/>
      </w:r>
      <w:r>
        <w:tab/>
        <w:t>Amended section 107 applies in relation to proceedings that commenced before the commencement day.</w:t>
      </w:r>
    </w:p>
    <w:p>
      <w:pPr>
        <w:pStyle w:val="Footnotesection"/>
      </w:pPr>
      <w:r>
        <w:tab/>
        <w:t>[Section 127 inserted: No. 43 of 2024 s. 88.]</w:t>
      </w:r>
    </w:p>
    <w:p>
      <w:pPr>
        <w:pStyle w:val="Heading5"/>
      </w:pPr>
      <w:bookmarkStart w:id="809" w:name="_Toc182398556"/>
      <w:bookmarkStart w:id="810" w:name="_Toc188451572"/>
      <w:r>
        <w:rPr>
          <w:rStyle w:val="CharSectno"/>
        </w:rPr>
        <w:t>128</w:t>
      </w:r>
      <w:r>
        <w:t>.</w:t>
      </w:r>
      <w:r>
        <w:tab/>
        <w:t>Deletion of references to Mines and Metals Association</w:t>
      </w:r>
      <w:bookmarkEnd w:id="809"/>
      <w:bookmarkEnd w:id="810"/>
    </w:p>
    <w:p>
      <w:pPr>
        <w:pStyle w:val="Subsection"/>
      </w:pPr>
      <w:r>
        <w:tab/>
        <w:t>(1)</w:t>
      </w:r>
      <w:r>
        <w:tab/>
        <w:t xml:space="preserve">In this section — </w:t>
      </w:r>
    </w:p>
    <w:p>
      <w:pPr>
        <w:pStyle w:val="Defstart"/>
      </w:pPr>
      <w:r>
        <w:tab/>
      </w:r>
      <w:r>
        <w:rPr>
          <w:rStyle w:val="CharDefText"/>
        </w:rPr>
        <w:t>relevant provision</w:t>
      </w:r>
      <w:r>
        <w:t xml:space="preserve"> means each of the following provisions — </w:t>
      </w:r>
    </w:p>
    <w:p>
      <w:pPr>
        <w:pStyle w:val="Defpara"/>
      </w:pPr>
      <w:r>
        <w:tab/>
        <w:t>(a)</w:t>
      </w:r>
      <w:r>
        <w:tab/>
        <w:t>sections 51I, 51J and 51K;</w:t>
      </w:r>
    </w:p>
    <w:p>
      <w:pPr>
        <w:pStyle w:val="Defpara"/>
      </w:pPr>
      <w:r>
        <w:tab/>
        <w:t>(b)</w:t>
      </w:r>
      <w:r>
        <w:tab/>
        <w:t xml:space="preserve">a provision of this Act amended by the </w:t>
      </w:r>
      <w:r>
        <w:rPr>
          <w:i/>
        </w:rPr>
        <w:t>Industrial Relations Legislation Amendment Act 2024</w:t>
      </w:r>
      <w:r>
        <w:t xml:space="preserve"> section 91.</w:t>
      </w:r>
    </w:p>
    <w:p>
      <w:pPr>
        <w:pStyle w:val="Subsection"/>
      </w:pPr>
      <w:r>
        <w:tab/>
        <w:t>(2)</w:t>
      </w:r>
      <w:r>
        <w:tab/>
        <w:t xml:space="preserve">This section applies if, before the commencement day — </w:t>
      </w:r>
    </w:p>
    <w:p>
      <w:pPr>
        <w:pStyle w:val="Indenta"/>
      </w:pPr>
      <w:r>
        <w:tab/>
        <w:t>(a)</w:t>
      </w:r>
      <w:r>
        <w:tab/>
        <w:t>the Commission took action in relation to a matter under this Act; and</w:t>
      </w:r>
    </w:p>
    <w:p>
      <w:pPr>
        <w:pStyle w:val="Indenta"/>
      </w:pPr>
      <w:r>
        <w:tab/>
        <w:t>(b)</w:t>
      </w:r>
      <w:r>
        <w:tab/>
        <w:t>the employers represented by the Mines and Metals Association’s members were not employers of employees affected or covered by the matter; and</w:t>
      </w:r>
    </w:p>
    <w:p>
      <w:pPr>
        <w:pStyle w:val="Indenta"/>
      </w:pPr>
      <w:r>
        <w:tab/>
        <w:t>(c)</w:t>
      </w:r>
      <w:r>
        <w:tab/>
        <w:t>before or after the action was taken, a requirement under a relevant provision relating to the Mines and Metals Association was not complied with.</w:t>
      </w:r>
    </w:p>
    <w:p>
      <w:pPr>
        <w:pStyle w:val="Subsection"/>
      </w:pPr>
      <w:r>
        <w:tab/>
        <w:t>(3)</w:t>
      </w:r>
      <w:r>
        <w:tab/>
        <w:t xml:space="preserve">The action taken by the Commission is taken to be, and to have always been, as lawful, valid and effective as it would be, or </w:t>
      </w:r>
      <w:r>
        <w:lastRenderedPageBreak/>
        <w:t>would have been, had the requirement mentioned in subsection (2)(c) been complied with.</w:t>
      </w:r>
    </w:p>
    <w:p>
      <w:pPr>
        <w:pStyle w:val="Footnotesection"/>
      </w:pPr>
      <w:r>
        <w:tab/>
        <w:t>[Section 128 inserted: No. 43 of 2024 s. 88.]</w:t>
      </w:r>
    </w:p>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811" w:name="_Toc187907685"/>
      <w:bookmarkStart w:id="812" w:name="_Toc188271933"/>
      <w:bookmarkStart w:id="813" w:name="_Toc188451573"/>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811"/>
      <w:bookmarkEnd w:id="812"/>
      <w:bookmarkEnd w:id="813"/>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 xml:space="preserve">industrial </w:t>
      </w:r>
      <w:r>
        <w:t>magistrates.</w:t>
      </w:r>
    </w:p>
    <w:p>
      <w:pPr>
        <w:pStyle w:val="yEdnotepara"/>
        <w:rPr>
          <w:snapToGrid w:val="0"/>
        </w:rPr>
      </w:pPr>
      <w:r>
        <w:rPr>
          <w:snapToGrid w:val="0"/>
        </w:rPr>
        <w:tab/>
        <w:t>[(f)</w:t>
      </w:r>
      <w:r>
        <w:rPr>
          <w:snapToGrid w:val="0"/>
        </w:rPr>
        <w:tab/>
        <w:t>deleted]</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Ednotenumbereditem"/>
        <w:rPr>
          <w:snapToGrid w:val="0"/>
        </w:rPr>
      </w:pPr>
      <w:r>
        <w:rPr>
          <w:snapToGrid w:val="0"/>
        </w:rPr>
        <w:t>[5.</w:t>
      </w:r>
      <w:r>
        <w:rPr>
          <w:snapToGrid w:val="0"/>
        </w:rPr>
        <w:tab/>
        <w:t>deleted]</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 No. 43 of 2024 s. 89.]</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815" w:name="_Toc187907686"/>
      <w:bookmarkStart w:id="816" w:name="_Toc188271934"/>
      <w:bookmarkStart w:id="817" w:name="_Toc188451574"/>
      <w:r>
        <w:rPr>
          <w:rStyle w:val="CharSchNo"/>
        </w:rPr>
        <w:lastRenderedPageBreak/>
        <w:t>Schedule 3</w:t>
      </w:r>
      <w:r>
        <w:t> — </w:t>
      </w:r>
      <w:r>
        <w:rPr>
          <w:rStyle w:val="CharSchText"/>
        </w:rPr>
        <w:t>Police officers</w:t>
      </w:r>
      <w:bookmarkEnd w:id="815"/>
      <w:bookmarkEnd w:id="816"/>
      <w:bookmarkEnd w:id="817"/>
    </w:p>
    <w:p>
      <w:pPr>
        <w:pStyle w:val="yShoulderClause"/>
      </w:pPr>
      <w:r>
        <w:t>[s. 115]</w:t>
      </w:r>
    </w:p>
    <w:p>
      <w:pPr>
        <w:pStyle w:val="yFootnoteheading"/>
      </w:pPr>
      <w:r>
        <w:tab/>
        <w:t>[Heading inserted: No. 58 of 2000 s. 5.]</w:t>
      </w:r>
    </w:p>
    <w:p>
      <w:pPr>
        <w:pStyle w:val="yEdnotesection"/>
      </w:pPr>
      <w:r>
        <w:t>[</w:t>
      </w:r>
      <w:r>
        <w:rPr>
          <w:b/>
          <w:bCs/>
        </w:rPr>
        <w:t>1.</w:t>
      </w:r>
      <w:r>
        <w:tab/>
        <w:t>Deleted: No. 43 of 2024 s. 90.]</w:t>
      </w:r>
    </w:p>
    <w:p>
      <w:pPr>
        <w:pStyle w:val="yHeading5"/>
        <w:spacing w:before="160"/>
        <w:outlineLvl w:val="0"/>
      </w:pPr>
      <w:bookmarkStart w:id="818" w:name="_Toc188451575"/>
      <w:r>
        <w:rPr>
          <w:rStyle w:val="CharSClsNo"/>
        </w:rPr>
        <w:t>2</w:t>
      </w:r>
      <w:r>
        <w:t>.</w:t>
      </w:r>
      <w:r>
        <w:tab/>
        <w:t>Application of Act to police officer</w:t>
      </w:r>
      <w:bookmarkEnd w:id="818"/>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and</w:t>
      </w:r>
    </w:p>
    <w:p>
      <w:pPr>
        <w:pStyle w:val="yIndenta"/>
      </w:pPr>
      <w:r>
        <w:tab/>
        <w:t>(b)</w:t>
      </w:r>
      <w:r>
        <w:tab/>
        <w:t>the Commissioner of Police were the employer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the Commission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 No. 43 of 2024 s. 90.]</w:t>
      </w:r>
    </w:p>
    <w:p>
      <w:pPr>
        <w:pStyle w:val="yHeading5"/>
        <w:outlineLvl w:val="0"/>
      </w:pPr>
      <w:bookmarkStart w:id="819" w:name="_Toc188451576"/>
      <w:r>
        <w:rPr>
          <w:rStyle w:val="CharSClsNo"/>
        </w:rPr>
        <w:lastRenderedPageBreak/>
        <w:t>3</w:t>
      </w:r>
      <w:r>
        <w:t>.</w:t>
      </w:r>
      <w:r>
        <w:tab/>
        <w:t>Western Australian Police Union of Workers, status of</w:t>
      </w:r>
      <w:bookmarkEnd w:id="819"/>
    </w:p>
    <w:p>
      <w:pPr>
        <w:pStyle w:val="ySubsection"/>
        <w:keepNext/>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820" w:name="_Toc187907690"/>
      <w:bookmarkStart w:id="821" w:name="_Toc188271937"/>
      <w:bookmarkStart w:id="822" w:name="_Toc188451577"/>
      <w:r>
        <w:rPr>
          <w:rStyle w:val="CharSchNo"/>
        </w:rPr>
        <w:lastRenderedPageBreak/>
        <w:t>Schedule 4</w:t>
      </w:r>
      <w:r>
        <w:t> — </w:t>
      </w:r>
      <w:r>
        <w:rPr>
          <w:rStyle w:val="CharSchText"/>
        </w:rPr>
        <w:t>Registration requirements for EEAs</w:t>
      </w:r>
      <w:bookmarkEnd w:id="820"/>
      <w:bookmarkEnd w:id="821"/>
      <w:bookmarkEnd w:id="822"/>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823" w:name="_Toc188451578"/>
      <w:r>
        <w:rPr>
          <w:rStyle w:val="CharSClsNo"/>
        </w:rPr>
        <w:t>1</w:t>
      </w:r>
      <w:r>
        <w:t>.</w:t>
      </w:r>
      <w:r>
        <w:tab/>
        <w:t>When EEA is in order for registration</w:t>
      </w:r>
      <w:bookmarkEnd w:id="823"/>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lastRenderedPageBreak/>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824" w:name="_Toc187907692"/>
      <w:bookmarkStart w:id="825" w:name="_Toc188271939"/>
      <w:bookmarkStart w:id="826" w:name="_Toc188451579"/>
      <w:r>
        <w:rPr>
          <w:rStyle w:val="CharSchNo"/>
        </w:rPr>
        <w:lastRenderedPageBreak/>
        <w:t>Schedule 5</w:t>
      </w:r>
      <w:r>
        <w:t> — </w:t>
      </w:r>
      <w:r>
        <w:rPr>
          <w:rStyle w:val="CharSchText"/>
        </w:rPr>
        <w:t>Powers to obtain information, and related provisions</w:t>
      </w:r>
      <w:bookmarkEnd w:id="824"/>
      <w:bookmarkEnd w:id="825"/>
      <w:bookmarkEnd w:id="826"/>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827" w:name="_Toc188451580"/>
      <w:r>
        <w:rPr>
          <w:rStyle w:val="CharSClsNo"/>
        </w:rPr>
        <w:t>1</w:t>
      </w:r>
      <w:r>
        <w:rPr>
          <w:snapToGrid w:val="0"/>
        </w:rPr>
        <w:t>.</w:t>
      </w:r>
      <w:r>
        <w:rPr>
          <w:snapToGrid w:val="0"/>
        </w:rPr>
        <w:tab/>
        <w:t xml:space="preserve">Authorised person’s powers to obtain </w:t>
      </w:r>
      <w:r>
        <w:t>information</w:t>
      </w:r>
      <w:bookmarkEnd w:id="827"/>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outlineLvl w:val="0"/>
        <w:rPr>
          <w:snapToGrid w:val="0"/>
        </w:rPr>
      </w:pPr>
      <w:bookmarkStart w:id="828" w:name="_Toc188451581"/>
      <w:r>
        <w:rPr>
          <w:rStyle w:val="CharSClsNo"/>
        </w:rPr>
        <w:t>2</w:t>
      </w:r>
      <w:r>
        <w:rPr>
          <w:snapToGrid w:val="0"/>
        </w:rPr>
        <w:t>.</w:t>
      </w:r>
      <w:r>
        <w:rPr>
          <w:snapToGrid w:val="0"/>
        </w:rPr>
        <w:tab/>
        <w:t>Obstructing authorised person</w:t>
      </w:r>
      <w:bookmarkEnd w:id="82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outlineLvl w:val="0"/>
        <w:rPr>
          <w:snapToGrid w:val="0"/>
        </w:rPr>
      </w:pPr>
      <w:bookmarkStart w:id="829" w:name="_Toc188451582"/>
      <w:r>
        <w:rPr>
          <w:rStyle w:val="CharSClsNo"/>
        </w:rPr>
        <w:t>3</w:t>
      </w:r>
      <w:r>
        <w:rPr>
          <w:snapToGrid w:val="0"/>
        </w:rPr>
        <w:t>.</w:t>
      </w:r>
      <w:r>
        <w:rPr>
          <w:snapToGrid w:val="0"/>
        </w:rPr>
        <w:tab/>
        <w:t xml:space="preserve">False </w:t>
      </w:r>
      <w:r>
        <w:t>statement to authorised person</w:t>
      </w:r>
      <w:bookmarkEnd w:id="829"/>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lastRenderedPageBreak/>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outlineLvl w:val="0"/>
        <w:rPr>
          <w:snapToGrid w:val="0"/>
        </w:rPr>
      </w:pPr>
      <w:bookmarkStart w:id="830" w:name="_Toc188451583"/>
      <w:r>
        <w:rPr>
          <w:rStyle w:val="CharSClsNo"/>
        </w:rPr>
        <w:t>4</w:t>
      </w:r>
      <w:r>
        <w:rPr>
          <w:snapToGrid w:val="0"/>
        </w:rPr>
        <w:t>.</w:t>
      </w:r>
      <w:r>
        <w:rPr>
          <w:snapToGrid w:val="0"/>
        </w:rPr>
        <w:tab/>
        <w:t>Failure to comply with cl. 1 requirement</w:t>
      </w:r>
      <w:bookmarkEnd w:id="83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outlineLvl w:val="0"/>
        <w:rPr>
          <w:snapToGrid w:val="0"/>
        </w:rPr>
      </w:pPr>
      <w:bookmarkStart w:id="831" w:name="_Toc188451584"/>
      <w:r>
        <w:rPr>
          <w:rStyle w:val="CharSClsNo"/>
        </w:rPr>
        <w:t>5</w:t>
      </w:r>
      <w:r>
        <w:rPr>
          <w:snapToGrid w:val="0"/>
        </w:rPr>
        <w:t>.</w:t>
      </w:r>
      <w:r>
        <w:rPr>
          <w:snapToGrid w:val="0"/>
        </w:rPr>
        <w:tab/>
        <w:t xml:space="preserve">Legal </w:t>
      </w:r>
      <w:r>
        <w:t>professional</w:t>
      </w:r>
      <w:r>
        <w:rPr>
          <w:snapToGrid w:val="0"/>
        </w:rPr>
        <w:t xml:space="preserve"> privilege overridden</w:t>
      </w:r>
      <w:bookmarkEnd w:id="83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832" w:name="_Toc188451585"/>
      <w:r>
        <w:rPr>
          <w:rStyle w:val="CharSClsNo"/>
        </w:rPr>
        <w:t>6</w:t>
      </w:r>
      <w:r>
        <w:rPr>
          <w:snapToGrid w:val="0"/>
        </w:rPr>
        <w:t>.</w:t>
      </w:r>
      <w:r>
        <w:rPr>
          <w:snapToGrid w:val="0"/>
        </w:rPr>
        <w:tab/>
      </w:r>
      <w:r>
        <w:t>Incriminating</w:t>
      </w:r>
      <w:r>
        <w:rPr>
          <w:snapToGrid w:val="0"/>
        </w:rPr>
        <w:t xml:space="preserve"> answers or documents</w:t>
      </w:r>
      <w:bookmarkEnd w:id="83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 xml:space="preserve">Despite subclause (1), an answer given or any statement made for the purposes of clause 4 is not, except in proceedings under clause 2, 3 or </w:t>
      </w:r>
      <w:r>
        <w:rPr>
          <w:snapToGrid w:val="0"/>
        </w:rPr>
        <w:lastRenderedPageBreak/>
        <w:t>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833" w:name="_Toc187907699"/>
      <w:bookmarkStart w:id="834" w:name="_Toc188271946"/>
      <w:bookmarkStart w:id="835" w:name="_Toc188451586"/>
      <w:r>
        <w:rPr>
          <w:rStyle w:val="CharSchNo"/>
        </w:rPr>
        <w:lastRenderedPageBreak/>
        <w:t>Schedule 6</w:t>
      </w:r>
      <w:r>
        <w:t> — </w:t>
      </w:r>
      <w:r>
        <w:rPr>
          <w:rStyle w:val="CharSchText"/>
        </w:rPr>
        <w:t>Transitional provisions</w:t>
      </w:r>
      <w:bookmarkEnd w:id="833"/>
      <w:bookmarkEnd w:id="834"/>
      <w:bookmarkEnd w:id="835"/>
    </w:p>
    <w:p>
      <w:pPr>
        <w:pStyle w:val="yShoulderClause"/>
      </w:pPr>
      <w:r>
        <w:t>[s. 116]</w:t>
      </w:r>
    </w:p>
    <w:p>
      <w:pPr>
        <w:pStyle w:val="yFootnoteheading"/>
      </w:pPr>
      <w:r>
        <w:tab/>
        <w:t>[Heading inserted: No. 39 of 2018 s. 66.]</w:t>
      </w:r>
    </w:p>
    <w:p>
      <w:pPr>
        <w:pStyle w:val="yHeading3"/>
      </w:pPr>
      <w:bookmarkStart w:id="836" w:name="_Toc187907700"/>
      <w:bookmarkStart w:id="837" w:name="_Toc188271947"/>
      <w:bookmarkStart w:id="838" w:name="_Toc188451587"/>
      <w:r>
        <w:rPr>
          <w:rStyle w:val="CharSDivNo"/>
        </w:rPr>
        <w:t>Division 1</w:t>
      </w:r>
      <w:r>
        <w:rPr>
          <w:b w:val="0"/>
        </w:rPr>
        <w:t> — </w:t>
      </w:r>
      <w:r>
        <w:rPr>
          <w:rStyle w:val="CharSDivText"/>
        </w:rPr>
        <w:t>Preliminary</w:t>
      </w:r>
      <w:bookmarkEnd w:id="836"/>
      <w:bookmarkEnd w:id="837"/>
      <w:bookmarkEnd w:id="838"/>
    </w:p>
    <w:p>
      <w:pPr>
        <w:pStyle w:val="yFootnoteheading"/>
      </w:pPr>
      <w:r>
        <w:tab/>
        <w:t>[Heading inserted: No. 39 of 2018 s. 66.]</w:t>
      </w:r>
    </w:p>
    <w:p>
      <w:pPr>
        <w:pStyle w:val="yHeading5"/>
      </w:pPr>
      <w:bookmarkStart w:id="839" w:name="_Toc188451588"/>
      <w:r>
        <w:rPr>
          <w:rStyle w:val="CharSClsNo"/>
        </w:rPr>
        <w:t>1</w:t>
      </w:r>
      <w:r>
        <w:t>.</w:t>
      </w:r>
      <w:r>
        <w:tab/>
        <w:t>Terms used</w:t>
      </w:r>
      <w:bookmarkEnd w:id="839"/>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840" w:name="_Toc187907702"/>
      <w:bookmarkStart w:id="841" w:name="_Toc188271949"/>
      <w:bookmarkStart w:id="842" w:name="_Toc188451589"/>
      <w:r>
        <w:rPr>
          <w:rStyle w:val="CharSDivNo"/>
        </w:rPr>
        <w:t>Division 2</w:t>
      </w:r>
      <w:r>
        <w:rPr>
          <w:b w:val="0"/>
        </w:rPr>
        <w:t> — </w:t>
      </w:r>
      <w:r>
        <w:rPr>
          <w:rStyle w:val="CharSDivText"/>
        </w:rPr>
        <w:t>Provisions for President</w:t>
      </w:r>
      <w:bookmarkEnd w:id="840"/>
      <w:bookmarkEnd w:id="841"/>
      <w:bookmarkEnd w:id="842"/>
    </w:p>
    <w:p>
      <w:pPr>
        <w:pStyle w:val="yFootnoteheading"/>
      </w:pPr>
      <w:r>
        <w:tab/>
        <w:t>[Heading inserted: No. 39 of 2018 s. 66.]</w:t>
      </w:r>
    </w:p>
    <w:p>
      <w:pPr>
        <w:pStyle w:val="yHeading5"/>
      </w:pPr>
      <w:bookmarkStart w:id="843" w:name="_Toc188451590"/>
      <w:r>
        <w:rPr>
          <w:rStyle w:val="CharSClsNo"/>
        </w:rPr>
        <w:t>2</w:t>
      </w:r>
      <w:r>
        <w:t>.</w:t>
      </w:r>
      <w:r>
        <w:tab/>
        <w:t>Acting President: continuation in office</w:t>
      </w:r>
      <w:bookmarkEnd w:id="843"/>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844" w:name="_Toc188451591"/>
      <w:r>
        <w:rPr>
          <w:rStyle w:val="CharSClsNo"/>
        </w:rPr>
        <w:lastRenderedPageBreak/>
        <w:t>3</w:t>
      </w:r>
      <w:r>
        <w:t>.</w:t>
      </w:r>
      <w:r>
        <w:tab/>
        <w:t>Past President’s pension entitlements</w:t>
      </w:r>
      <w:bookmarkEnd w:id="844"/>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845" w:name="_Toc188451592"/>
      <w:r>
        <w:rPr>
          <w:rStyle w:val="CharSClsNo"/>
        </w:rPr>
        <w:t>4</w:t>
      </w:r>
      <w:r>
        <w:t>.</w:t>
      </w:r>
      <w:r>
        <w:tab/>
        <w:t>Judicial notice of signature and appointment of President</w:t>
      </w:r>
      <w:bookmarkEnd w:id="845"/>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846" w:name="_Toc187907706"/>
      <w:bookmarkStart w:id="847" w:name="_Toc188271953"/>
      <w:bookmarkStart w:id="848" w:name="_Toc188451593"/>
      <w:r>
        <w:rPr>
          <w:rStyle w:val="CharSDivNo"/>
        </w:rPr>
        <w:t>Division 3</w:t>
      </w:r>
      <w:r>
        <w:rPr>
          <w:b w:val="0"/>
        </w:rPr>
        <w:t> — </w:t>
      </w:r>
      <w:r>
        <w:rPr>
          <w:rStyle w:val="CharSDivText"/>
        </w:rPr>
        <w:t>Provisions for pending matters</w:t>
      </w:r>
      <w:bookmarkEnd w:id="846"/>
      <w:bookmarkEnd w:id="847"/>
      <w:bookmarkEnd w:id="848"/>
    </w:p>
    <w:p>
      <w:pPr>
        <w:pStyle w:val="yFootnoteheading"/>
      </w:pPr>
      <w:r>
        <w:tab/>
        <w:t>[Heading inserted: No. 39 of 2018 s. 66.]</w:t>
      </w:r>
    </w:p>
    <w:p>
      <w:pPr>
        <w:pStyle w:val="yHeading5"/>
      </w:pPr>
      <w:bookmarkStart w:id="849" w:name="_Toc188451594"/>
      <w:r>
        <w:rPr>
          <w:rStyle w:val="CharSClsNo"/>
        </w:rPr>
        <w:t>5</w:t>
      </w:r>
      <w:r>
        <w:t>.</w:t>
      </w:r>
      <w:r>
        <w:tab/>
        <w:t>Pending matters</w:t>
      </w:r>
      <w:bookmarkEnd w:id="849"/>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 xml:space="preserve">Except as provided in subclauses (4) and (5), if the Commission has begun or completed hearing a matter, but has not finally determined the matter immediately before commencement day, the matter is to </w:t>
      </w:r>
      <w:r>
        <w:lastRenderedPageBreak/>
        <w:t>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850" w:name="_Toc188451595"/>
      <w:r>
        <w:rPr>
          <w:rStyle w:val="CharSClsNo"/>
        </w:rPr>
        <w:t>6</w:t>
      </w:r>
      <w:r>
        <w:t>.</w:t>
      </w:r>
      <w:r>
        <w:tab/>
        <w:t>Order under former s. 49 does not begin hearing of appeal</w:t>
      </w:r>
      <w:bookmarkEnd w:id="850"/>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851" w:name="_Toc188451596"/>
      <w:r>
        <w:rPr>
          <w:rStyle w:val="CharSClsNo"/>
        </w:rPr>
        <w:t>7</w:t>
      </w:r>
      <w:r>
        <w:t>.</w:t>
      </w:r>
      <w:r>
        <w:tab/>
        <w:t>Notices and applications under former s. 55</w:t>
      </w:r>
      <w:bookmarkEnd w:id="851"/>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lastRenderedPageBreak/>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852" w:name="_Toc188451597"/>
      <w:r>
        <w:rPr>
          <w:rStyle w:val="CharSClsNo"/>
        </w:rPr>
        <w:lastRenderedPageBreak/>
        <w:t>8</w:t>
      </w:r>
      <w:r>
        <w:t>.</w:t>
      </w:r>
      <w:r>
        <w:tab/>
        <w:t>Summonses under former s. 73</w:t>
      </w:r>
      <w:bookmarkEnd w:id="852"/>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nHeading2"/>
      </w:pPr>
      <w:bookmarkStart w:id="853" w:name="_Toc187907711"/>
      <w:bookmarkStart w:id="854" w:name="_Toc188271958"/>
      <w:bookmarkStart w:id="855" w:name="_Toc188451598"/>
      <w:r>
        <w:lastRenderedPageBreak/>
        <w:t>Notes</w:t>
      </w:r>
      <w:bookmarkEnd w:id="853"/>
      <w:bookmarkEnd w:id="854"/>
      <w:bookmarkEnd w:id="855"/>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56" w:name="_Toc188451599"/>
      <w:r>
        <w:t>Compilation table</w:t>
      </w:r>
      <w:bookmarkEnd w:id="856"/>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20 Jun 2022 (see s. 2(1)(b) and (2) and SL 2022/79 cl. 2)</w:t>
            </w:r>
          </w:p>
        </w:tc>
      </w:tr>
      <w:tr>
        <w:trPr>
          <w:cantSplit/>
        </w:trPr>
        <w:tc>
          <w:tcPr>
            <w:tcW w:w="2268" w:type="dxa"/>
            <w:shd w:val="clear" w:color="auto" w:fill="auto"/>
          </w:tcPr>
          <w:p>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shd w:val="clear" w:color="auto" w:fill="auto"/>
          </w:tcPr>
          <w:p>
            <w:pPr>
              <w:pStyle w:val="nTable"/>
              <w:keepNext/>
              <w:spacing w:after="40"/>
            </w:pPr>
            <w:r>
              <w:t>9 of 2022</w:t>
            </w:r>
          </w:p>
        </w:tc>
        <w:tc>
          <w:tcPr>
            <w:tcW w:w="1134" w:type="dxa"/>
            <w:shd w:val="clear" w:color="auto" w:fill="auto"/>
          </w:tcPr>
          <w:p>
            <w:pPr>
              <w:pStyle w:val="nTable"/>
              <w:keepNext/>
              <w:spacing w:after="40"/>
            </w:pPr>
            <w:r>
              <w:t>14 Apr 2022</w:t>
            </w:r>
          </w:p>
        </w:tc>
        <w:tc>
          <w:tcPr>
            <w:tcW w:w="2554" w:type="dxa"/>
            <w:shd w:val="clear" w:color="auto" w:fill="auto"/>
          </w:tcPr>
          <w:p>
            <w:pPr>
              <w:pStyle w:val="nTable"/>
              <w:keepNext/>
              <w:spacing w:after="40"/>
              <w:rPr>
                <w:snapToGrid w:val="0"/>
              </w:rPr>
            </w:pPr>
            <w:r>
              <w:rPr>
                <w:snapToGrid w:val="0"/>
              </w:rPr>
              <w:t>1 Jul 2022 (see s. 2(b)(i) and (c) and SL 2022/113 cl. 2)</w:t>
            </w:r>
          </w:p>
        </w:tc>
      </w:tr>
      <w:tr>
        <w:trPr>
          <w:cantSplit/>
        </w:trPr>
        <w:tc>
          <w:tcPr>
            <w:tcW w:w="2268" w:type="dxa"/>
            <w:tcBorders>
              <w:bottom w:val="single" w:sz="4" w:space="0" w:color="auto"/>
            </w:tcBorders>
            <w:shd w:val="clear" w:color="auto" w:fill="auto"/>
          </w:tcPr>
          <w:p>
            <w:pPr>
              <w:pStyle w:val="nTable"/>
              <w:spacing w:after="40"/>
              <w:ind w:right="113"/>
              <w:rPr>
                <w:i/>
              </w:rPr>
            </w:pPr>
            <w:r>
              <w:rPr>
                <w:i/>
                <w:snapToGrid w:val="0"/>
              </w:rPr>
              <w:lastRenderedPageBreak/>
              <w:t>Industrial Relations Legislation Amendment Act 2024</w:t>
            </w:r>
            <w:r>
              <w:rPr>
                <w:iCs/>
                <w:snapToGrid w:val="0"/>
              </w:rPr>
              <w:t xml:space="preserve"> Pt. 2 (other than Div. 3)</w:t>
            </w:r>
          </w:p>
        </w:tc>
        <w:tc>
          <w:tcPr>
            <w:tcW w:w="1134" w:type="dxa"/>
            <w:tcBorders>
              <w:bottom w:val="single" w:sz="4" w:space="0" w:color="auto"/>
            </w:tcBorders>
            <w:shd w:val="clear" w:color="auto" w:fill="auto"/>
          </w:tcPr>
          <w:p>
            <w:pPr>
              <w:pStyle w:val="nTable"/>
              <w:keepNext/>
              <w:spacing w:after="40"/>
            </w:pPr>
            <w:r>
              <w:t>43 of 2024</w:t>
            </w:r>
          </w:p>
        </w:tc>
        <w:tc>
          <w:tcPr>
            <w:tcW w:w="1134" w:type="dxa"/>
            <w:tcBorders>
              <w:bottom w:val="single" w:sz="4" w:space="0" w:color="auto"/>
            </w:tcBorders>
            <w:shd w:val="clear" w:color="auto" w:fill="auto"/>
          </w:tcPr>
          <w:p>
            <w:pPr>
              <w:pStyle w:val="nTable"/>
              <w:keepNext/>
              <w:spacing w:after="40"/>
            </w:pPr>
            <w:r>
              <w:t>13 Nov 2024</w:t>
            </w:r>
          </w:p>
        </w:tc>
        <w:tc>
          <w:tcPr>
            <w:tcW w:w="2554" w:type="dxa"/>
            <w:tcBorders>
              <w:bottom w:val="single" w:sz="4" w:space="0" w:color="auto"/>
            </w:tcBorders>
            <w:shd w:val="clear" w:color="auto" w:fill="auto"/>
          </w:tcPr>
          <w:p>
            <w:pPr>
              <w:pStyle w:val="nTable"/>
              <w:keepNext/>
              <w:spacing w:after="40"/>
              <w:rPr>
                <w:snapToGrid w:val="0"/>
              </w:rPr>
            </w:pPr>
            <w:r>
              <w:t>31 Jan 2025 (see s. 2(c))</w:t>
            </w:r>
          </w:p>
        </w:tc>
      </w:tr>
    </w:tbl>
    <w:p>
      <w:pPr>
        <w:pStyle w:val="nHeading3"/>
      </w:pPr>
      <w:bookmarkStart w:id="857" w:name="_Toc188451600"/>
      <w:r>
        <w:t>Uncommenced provisions table</w:t>
      </w:r>
      <w:bookmarkEnd w:id="857"/>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Cs/>
                <w:snapToGrid w:val="0"/>
              </w:rPr>
            </w:pPr>
            <w:r>
              <w:rPr>
                <w:i/>
                <w:snapToGrid w:val="0"/>
              </w:rPr>
              <w:t>Industrial Relations Legislation Amendment Act 2024</w:t>
            </w:r>
            <w:r>
              <w:rPr>
                <w:iCs/>
                <w:snapToGrid w:val="0"/>
              </w:rPr>
              <w:t xml:space="preserve"> Pt. 2 Div. 3</w:t>
            </w:r>
          </w:p>
        </w:tc>
        <w:tc>
          <w:tcPr>
            <w:tcW w:w="1134" w:type="dxa"/>
            <w:tcBorders>
              <w:bottom w:val="single" w:sz="4" w:space="0" w:color="auto"/>
            </w:tcBorders>
            <w:shd w:val="clear" w:color="auto" w:fill="auto"/>
          </w:tcPr>
          <w:p>
            <w:pPr>
              <w:pStyle w:val="nTable"/>
              <w:keepNext/>
              <w:spacing w:after="40"/>
            </w:pPr>
            <w:r>
              <w:t>43 of 2024</w:t>
            </w:r>
          </w:p>
        </w:tc>
        <w:tc>
          <w:tcPr>
            <w:tcW w:w="1134" w:type="dxa"/>
            <w:tcBorders>
              <w:bottom w:val="single" w:sz="4" w:space="0" w:color="auto"/>
            </w:tcBorders>
            <w:shd w:val="clear" w:color="auto" w:fill="auto"/>
          </w:tcPr>
          <w:p>
            <w:pPr>
              <w:pStyle w:val="nTable"/>
              <w:keepNext/>
              <w:spacing w:after="40"/>
            </w:pPr>
            <w:r>
              <w:t>13 Nov 2024</w:t>
            </w:r>
          </w:p>
        </w:tc>
        <w:tc>
          <w:tcPr>
            <w:tcW w:w="2554" w:type="dxa"/>
            <w:tcBorders>
              <w:bottom w:val="single" w:sz="4" w:space="0" w:color="auto"/>
            </w:tcBorders>
            <w:shd w:val="clear" w:color="auto" w:fill="auto"/>
          </w:tcPr>
          <w:p>
            <w:pPr>
              <w:pStyle w:val="nTable"/>
              <w:keepNext/>
              <w:spacing w:after="40"/>
            </w:pPr>
            <w:r>
              <w:t>To be proclaimed (see s. 2(b))</w:t>
            </w:r>
          </w:p>
        </w:tc>
      </w:tr>
    </w:tbl>
    <w:p>
      <w:pPr>
        <w:pStyle w:val="nHeading3"/>
      </w:pPr>
      <w:bookmarkStart w:id="858" w:name="_Toc188451601"/>
      <w:r>
        <w:t>Other notes</w:t>
      </w:r>
      <w:bookmarkEnd w:id="858"/>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t>Footnote no longer applicable.</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lastRenderedPageBreak/>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lastRenderedPageBreak/>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rPr>
          <w:sz w:val="28"/>
        </w:rPr>
      </w:pPr>
      <w:bookmarkStart w:id="860" w:name="_Toc188451602"/>
      <w:r>
        <w:rPr>
          <w:sz w:val="28"/>
        </w:rPr>
        <w:lastRenderedPageBreak/>
        <w:t>Defined terms</w:t>
      </w:r>
      <w:bookmarkEnd w:id="8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aggrieved person</w:t>
      </w:r>
      <w:r>
        <w:tab/>
        <w:t>51BT(1), 51BX(1), 51BZ(1), 51BZC(1)</w:t>
      </w:r>
    </w:p>
    <w:p>
      <w:pPr>
        <w:pStyle w:val="DefinedTerms"/>
      </w:pPr>
      <w:r>
        <w:t>alteration</w:t>
      </w:r>
      <w:r>
        <w:tab/>
        <w:t>7(1)</w:t>
      </w:r>
    </w:p>
    <w:p>
      <w:pPr>
        <w:pStyle w:val="DefinedTerms"/>
      </w:pPr>
      <w:r>
        <w:t>alternative remedy</w:t>
      </w:r>
      <w:r>
        <w:tab/>
        <w:t>51Q(1)</w:t>
      </w:r>
    </w:p>
    <w:p>
      <w:pPr>
        <w:pStyle w:val="DefinedTerms"/>
      </w:pPr>
      <w:r>
        <w:t>amended</w:t>
      </w:r>
      <w:r>
        <w:tab/>
        <w:t>118</w:t>
      </w:r>
    </w:p>
    <w:p>
      <w:pPr>
        <w:pStyle w:val="DefinedTerms"/>
      </w:pPr>
      <w:r>
        <w:t>amended Act</w:t>
      </w:r>
      <w:r>
        <w:tab/>
        <w:t>Sch. 6 cl. 1</w:t>
      </w:r>
    </w:p>
    <w:p>
      <w:pPr>
        <w:pStyle w:val="DefinedTerms"/>
      </w:pPr>
      <w:r>
        <w:t>amending Act</w:t>
      </w:r>
      <w:r>
        <w:tab/>
        <w:t>Sch. 6 cl. 1</w:t>
      </w:r>
    </w:p>
    <w:p>
      <w:pPr>
        <w:pStyle w:val="DefinedTerms"/>
      </w:pPr>
      <w:r>
        <w:t>anti-discrimination legislation</w:t>
      </w:r>
      <w:r>
        <w:tab/>
        <w:t>51BZD(1)</w:t>
      </w:r>
    </w:p>
    <w:p>
      <w:pPr>
        <w:pStyle w:val="DefinedTerms"/>
      </w:pPr>
      <w:r>
        <w:t>appeal</w:t>
      </w:r>
      <w:r>
        <w:tab/>
        <w:t>125(1)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approved form</w:t>
      </w:r>
      <w:r>
        <w:tab/>
        <w:t>7(1)</w:t>
      </w:r>
    </w:p>
    <w:p>
      <w:pPr>
        <w:pStyle w:val="DefinedTerms"/>
      </w:pPr>
      <w:r>
        <w:t>arbitration functions</w:t>
      </w:r>
      <w:r>
        <w:tab/>
        <w:t>32A(1)</w:t>
      </w:r>
    </w:p>
    <w:p>
      <w:pPr>
        <w:pStyle w:val="DefinedTerms"/>
      </w:pPr>
      <w:r>
        <w:t>arbitrator</w:t>
      </w:r>
      <w:r>
        <w:tab/>
        <w:t>97WH</w:t>
      </w:r>
    </w:p>
    <w:p>
      <w:pPr>
        <w:pStyle w:val="DefinedTerms"/>
      </w:pPr>
      <w:r>
        <w:t>Arbitrator</w:t>
      </w:r>
      <w:r>
        <w:tab/>
        <w:t>124(1)</w:t>
      </w:r>
    </w:p>
    <w:p>
      <w:pPr>
        <w:pStyle w:val="DefinedTerms"/>
      </w:pPr>
      <w:r>
        <w:t>area and scope provisions</w:t>
      </w:r>
      <w:r>
        <w:tab/>
        <w:t>29A(1a)</w:t>
      </w:r>
    </w:p>
    <w:p>
      <w:pPr>
        <w:pStyle w:val="DefinedTerms"/>
      </w:pPr>
      <w:r>
        <w:t>association</w:t>
      </w:r>
      <w:r>
        <w:tab/>
        <w:t>7(1)</w:t>
      </w:r>
    </w:p>
    <w:p>
      <w:pPr>
        <w:pStyle w:val="DefinedTerms"/>
      </w:pPr>
      <w:r>
        <w:t>auditor</w:t>
      </w:r>
      <w:r>
        <w:tab/>
        <w:t>65</w:t>
      </w:r>
    </w:p>
    <w:p>
      <w:pPr>
        <w:pStyle w:val="DefinedTerms"/>
      </w:pPr>
      <w:r>
        <w:t>authorised representative</w:t>
      </w:r>
      <w:r>
        <w:tab/>
        <w:t>49G(1)</w:t>
      </w:r>
    </w:p>
    <w:p>
      <w:pPr>
        <w:pStyle w:val="DefinedTerms"/>
      </w:pPr>
      <w:r>
        <w:t>award</w:t>
      </w:r>
      <w:r>
        <w:tab/>
        <w:t>7(1), 46(5), 97U(1), 97UG(7)</w:t>
      </w:r>
    </w:p>
    <w:p>
      <w:pPr>
        <w:pStyle w:val="DefinedTerms"/>
      </w:pPr>
      <w:r>
        <w:t>bargaining agent</w:t>
      </w:r>
      <w:r>
        <w:tab/>
        <w:t>97U(1)</w:t>
      </w:r>
    </w:p>
    <w:p>
      <w:pPr>
        <w:pStyle w:val="DefinedTerms"/>
      </w:pPr>
      <w:r>
        <w:t>bargaining in good faith</w:t>
      </w:r>
      <w:r>
        <w:tab/>
        <w:t>42B(2)</w:t>
      </w:r>
    </w:p>
    <w:p>
      <w:pPr>
        <w:pStyle w:val="DefinedTerms"/>
      </w:pPr>
      <w:r>
        <w:t>Board</w:t>
      </w:r>
      <w:r>
        <w:tab/>
        <w:t>125(1)</w:t>
      </w:r>
    </w:p>
    <w:p>
      <w:pPr>
        <w:pStyle w:val="DefinedTerms"/>
      </w:pPr>
      <w:r>
        <w:t>Board of Reference</w:t>
      </w:r>
      <w:r>
        <w:tab/>
        <w:t>121(1)</w:t>
      </w:r>
    </w:p>
    <w:p>
      <w:pPr>
        <w:pStyle w:val="DefinedTerms"/>
      </w:pPr>
      <w:r>
        <w:t>breach</w:t>
      </w:r>
      <w:r>
        <w:tab/>
        <w:t>103(3)</w:t>
      </w:r>
    </w:p>
    <w:p>
      <w:pPr>
        <w:pStyle w:val="DefinedTerms"/>
      </w:pPr>
      <w:r>
        <w:t>bullied</w:t>
      </w:r>
      <w:r>
        <w:tab/>
        <w:t>51BF, 51BI(1)</w:t>
      </w:r>
    </w:p>
    <w:p>
      <w:pPr>
        <w:pStyle w:val="DefinedTerms"/>
      </w:pPr>
      <w:r>
        <w:t>bullying</w:t>
      </w:r>
      <w:r>
        <w:tab/>
        <w:t>7(1)</w:t>
      </w:r>
    </w:p>
    <w:p>
      <w:pPr>
        <w:pStyle w:val="DefinedTerms"/>
      </w:pPr>
      <w:r>
        <w:t>business premises</w:t>
      </w:r>
      <w:r>
        <w:tab/>
        <w:t>98(3)</w:t>
      </w:r>
    </w:p>
    <w:p>
      <w:pPr>
        <w:pStyle w:val="DefinedTerms"/>
      </w:pPr>
      <w:r>
        <w:t>calling</w:t>
      </w:r>
      <w:r>
        <w:tab/>
        <w:t>7(1)</w:t>
      </w:r>
    </w:p>
    <w:p>
      <w:pPr>
        <w:pStyle w:val="DefinedTerms"/>
      </w:pPr>
      <w:r>
        <w:t>cancellation agreement</w:t>
      </w:r>
      <w:r>
        <w:tab/>
        <w:t>97U(1)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infringement notice</w:t>
      </w:r>
      <w:r>
        <w:tab/>
        <w:t>84B, 84C(2)</w:t>
      </w:r>
    </w:p>
    <w:p>
      <w:pPr>
        <w:pStyle w:val="DefinedTerms"/>
      </w:pPr>
      <w:r>
        <w:t>civil infringement notice penalty</w:t>
      </w:r>
      <w:r>
        <w:tab/>
        <w:t>84B, 84C(2)</w:t>
      </w:r>
    </w:p>
    <w:p>
      <w:pPr>
        <w:pStyle w:val="DefinedTerms"/>
      </w:pPr>
      <w:r>
        <w:lastRenderedPageBreak/>
        <w:t>civil penalty provision</w:t>
      </w:r>
      <w:r>
        <w:tab/>
        <w:t>7(1)</w:t>
      </w:r>
    </w:p>
    <w:p>
      <w:pPr>
        <w:pStyle w:val="DefinedTerms"/>
      </w:pPr>
      <w:r>
        <w:t>collegiate electoral system</w:t>
      </w:r>
      <w:r>
        <w:tab/>
        <w:t>52</w:t>
      </w:r>
    </w:p>
    <w:p>
      <w:pPr>
        <w:pStyle w:val="DefinedTerms"/>
      </w:pPr>
      <w:r>
        <w:t>commencement day</w:t>
      </w:r>
      <w:r>
        <w:tab/>
        <w:t>20(8b), 117(1), 118, Sch. 6 cl. 1</w:t>
      </w:r>
    </w:p>
    <w:p>
      <w:pPr>
        <w:pStyle w:val="DefinedTerms"/>
      </w:pPr>
      <w:r>
        <w:t>Commission</w:t>
      </w:r>
      <w:r>
        <w:tab/>
        <w:t>7(1), 16(1), 42C(6), 49(1), 50(1), 97VW, Sch. 6 cl. 5(1)</w:t>
      </w:r>
    </w:p>
    <w:p>
      <w:pPr>
        <w:pStyle w:val="DefinedTerms"/>
      </w:pPr>
      <w:r>
        <w:t>commissioner</w:t>
      </w:r>
      <w:r>
        <w:tab/>
        <w:t>7(1)</w:t>
      </w:r>
    </w:p>
    <w:p>
      <w:pPr>
        <w:pStyle w:val="DefinedTerms"/>
      </w:pPr>
      <w:r>
        <w:t>Commission in Court Session</w:t>
      </w:r>
      <w:r>
        <w:tab/>
        <w:t>7(1)</w:t>
      </w:r>
    </w:p>
    <w:p>
      <w:pPr>
        <w:pStyle w:val="DefinedTerms"/>
      </w:pPr>
      <w:r>
        <w:t>comparable award</w:t>
      </w:r>
      <w:r>
        <w:tab/>
        <w:t>97VR</w:t>
      </w:r>
    </w:p>
    <w:p>
      <w:pPr>
        <w:pStyle w:val="DefinedTerms"/>
      </w:pPr>
      <w:r>
        <w:t>complainant</w:t>
      </w:r>
      <w:r>
        <w:tab/>
        <w:t>96L(2)</w:t>
      </w:r>
    </w:p>
    <w:p>
      <w:pPr>
        <w:pStyle w:val="DefinedTerms"/>
      </w:pPr>
      <w:r>
        <w:t>compliance notice</w:t>
      </w:r>
      <w:r>
        <w:tab/>
        <w:t>84O, 84Q(1)</w:t>
      </w:r>
    </w:p>
    <w:p>
      <w:pPr>
        <w:pStyle w:val="DefinedTerms"/>
      </w:pPr>
      <w:r>
        <w:t>complying superannuation fund or scheme</w:t>
      </w:r>
      <w:r>
        <w:tab/>
        <w:t>48B(1)</w:t>
      </w:r>
    </w:p>
    <w:p>
      <w:pPr>
        <w:pStyle w:val="DefinedTerms"/>
      </w:pPr>
      <w:r>
        <w:t>conciliation functions</w:t>
      </w:r>
      <w:r>
        <w:tab/>
        <w:t>32A(1)</w:t>
      </w:r>
    </w:p>
    <w:p>
      <w:pPr>
        <w:pStyle w:val="DefinedTerms"/>
      </w:pPr>
      <w:r>
        <w:t>conditions of service provision</w:t>
      </w:r>
      <w:r>
        <w:tab/>
        <w:t>36AA(1)</w:t>
      </w:r>
    </w:p>
    <w:p>
      <w:pPr>
        <w:pStyle w:val="DefinedTerms"/>
      </w:pPr>
      <w:r>
        <w:t>conduct of a sexual nature</w:t>
      </w:r>
      <w:r>
        <w:tab/>
        <w:t>51BQ(2)</w:t>
      </w:r>
    </w:p>
    <w:p>
      <w:pPr>
        <w:pStyle w:val="DefinedTerms"/>
      </w:pPr>
      <w:r>
        <w:t>contravene</w:t>
      </w:r>
      <w:r>
        <w:tab/>
        <w:t>83(1A)</w:t>
      </w:r>
    </w:p>
    <w:p>
      <w:pPr>
        <w:pStyle w:val="DefinedTerms"/>
      </w:pPr>
      <w:r>
        <w:t>contravention</w:t>
      </w:r>
      <w:r>
        <w:tab/>
        <w:t>83EA(1), 84AA(1), 84K, 84O</w:t>
      </w:r>
    </w:p>
    <w:p>
      <w:pPr>
        <w:pStyle w:val="DefinedTerms"/>
      </w:pPr>
      <w:r>
        <w:t>conviction</w:t>
      </w:r>
      <w:r>
        <w:tab/>
        <w:t>49G(1)</w:t>
      </w:r>
    </w:p>
    <w:p>
      <w:pPr>
        <w:pStyle w:val="DefinedTerms"/>
      </w:pPr>
      <w:r>
        <w:t>corporation</w:t>
      </w:r>
      <w:r>
        <w:tab/>
        <w:t>96H(3)</w:t>
      </w:r>
    </w:p>
    <w:p>
      <w:pPr>
        <w:pStyle w:val="DefinedTerms"/>
      </w:pPr>
      <w:r>
        <w:t>corresponding authority</w:t>
      </w:r>
      <w:r>
        <w:tab/>
        <w:t>80ZI(3)</w:t>
      </w:r>
    </w:p>
    <w:p>
      <w:pPr>
        <w:pStyle w:val="DefinedTerms"/>
      </w:pPr>
      <w:r>
        <w:t>corresponding provision of this Act</w:t>
      </w:r>
      <w:r>
        <w:tab/>
        <w:t>80BF(1)</w:t>
      </w:r>
    </w:p>
    <w:p>
      <w:pPr>
        <w:pStyle w:val="DefinedTerms"/>
      </w:pPr>
      <w:r>
        <w:t>counterpart federal body</w:t>
      </w:r>
      <w:r>
        <w:tab/>
        <w:t>52, 52A(2) and (3)</w:t>
      </w:r>
    </w:p>
    <w:p>
      <w:pPr>
        <w:pStyle w:val="DefinedTerms"/>
      </w:pPr>
      <w:r>
        <w:t>Court</w:t>
      </w:r>
      <w:r>
        <w:tab/>
        <w:t>7(1)</w:t>
      </w:r>
    </w:p>
    <w:p>
      <w:pPr>
        <w:pStyle w:val="DefinedTerms"/>
      </w:pPr>
      <w:r>
        <w:t>damaging action</w:t>
      </w:r>
      <w:r>
        <w:tab/>
        <w:t>97</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declared employee</w:t>
      </w:r>
      <w:r>
        <w:tab/>
        <w:t>80B</w:t>
      </w:r>
    </w:p>
    <w:p>
      <w:pPr>
        <w:pStyle w:val="DefinedTerms"/>
      </w:pPr>
      <w:r>
        <w:t>declared employer</w:t>
      </w:r>
      <w:r>
        <w:tab/>
        <w:t>80B</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disqualified person</w:t>
      </w:r>
      <w:r>
        <w:tab/>
        <w:t>112A(3B)</w:t>
      </w:r>
    </w:p>
    <w:p>
      <w:pPr>
        <w:pStyle w:val="DefinedTerms"/>
      </w:pPr>
      <w:r>
        <w:t>EEA</w:t>
      </w:r>
      <w:r>
        <w:tab/>
        <w:t>7(1), 97WB(2)</w:t>
      </w:r>
    </w:p>
    <w:p>
      <w:pPr>
        <w:pStyle w:val="DefinedTerms"/>
      </w:pPr>
      <w:r>
        <w:t>EEA dispute provisions</w:t>
      </w:r>
      <w:r>
        <w:tab/>
        <w:t>97U(1)</w:t>
      </w:r>
    </w:p>
    <w:p>
      <w:pPr>
        <w:pStyle w:val="DefinedTerms"/>
      </w:pPr>
      <w:r>
        <w:t>electronic means</w:t>
      </w:r>
      <w:r>
        <w:tab/>
        <w:t>7(1)</w:t>
      </w:r>
    </w:p>
    <w:p>
      <w:pPr>
        <w:pStyle w:val="DefinedTerms"/>
      </w:pPr>
      <w:r>
        <w:t>employed</w:t>
      </w:r>
      <w:r>
        <w:tab/>
        <w:t>99C(1)</w:t>
      </w:r>
    </w:p>
    <w:p>
      <w:pPr>
        <w:pStyle w:val="DefinedTerms"/>
      </w:pPr>
      <w:r>
        <w:t>employee</w:t>
      </w:r>
      <w:r>
        <w:tab/>
        <w:t>7(1), 97, 97U(2) and (3)</w:t>
      </w:r>
    </w:p>
    <w:p>
      <w:pPr>
        <w:pStyle w:val="DefinedTerms"/>
      </w:pPr>
      <w:r>
        <w:t>employees</w:t>
      </w:r>
      <w:r>
        <w:tab/>
        <w:t>36A(1)</w:t>
      </w:r>
    </w:p>
    <w:p>
      <w:pPr>
        <w:pStyle w:val="DefinedTerms"/>
      </w:pPr>
      <w:r>
        <w:t>employer</w:t>
      </w:r>
      <w:r>
        <w:tab/>
        <w:t>7(1), 97, 97U(2) and (3)</w:t>
      </w:r>
    </w:p>
    <w:p>
      <w:pPr>
        <w:pStyle w:val="DefinedTerms"/>
      </w:pPr>
      <w:r>
        <w:t>employer-employee agreement</w:t>
      </w:r>
      <w:r>
        <w:tab/>
        <w:t>7(1)</w:t>
      </w:r>
    </w:p>
    <w:p>
      <w:pPr>
        <w:pStyle w:val="DefinedTerms"/>
      </w:pPr>
      <w:r>
        <w:t>employing authority</w:t>
      </w:r>
      <w:r>
        <w:tab/>
        <w:t>7(1)</w:t>
      </w:r>
    </w:p>
    <w:p>
      <w:pPr>
        <w:pStyle w:val="DefinedTerms"/>
      </w:pPr>
      <w:r>
        <w:lastRenderedPageBreak/>
        <w:t>employment claim</w:t>
      </w:r>
      <w:r>
        <w:tab/>
        <w:t>23B(1)</w:t>
      </w:r>
    </w:p>
    <w:p>
      <w:pPr>
        <w:pStyle w:val="DefinedTerms"/>
      </w:pPr>
      <w:r>
        <w:t>employment law</w:t>
      </w:r>
      <w:r>
        <w:tab/>
        <w:t>98(3)</w:t>
      </w:r>
    </w:p>
    <w:p>
      <w:pPr>
        <w:pStyle w:val="DefinedTerms"/>
      </w:pPr>
      <w:r>
        <w:t>employment record</w:t>
      </w:r>
      <w:r>
        <w:tab/>
        <w:t>7(1)</w:t>
      </w:r>
    </w:p>
    <w:p>
      <w:pPr>
        <w:pStyle w:val="DefinedTerms"/>
      </w:pPr>
      <w:r>
        <w:t>employment services for persons with disabilities</w:t>
      </w:r>
      <w:r>
        <w:tab/>
        <w:t>97U(1)</w:t>
      </w:r>
    </w:p>
    <w:p>
      <w:pPr>
        <w:pStyle w:val="DefinedTerms"/>
      </w:pPr>
      <w:r>
        <w:t>enforceable undertaking</w:t>
      </w:r>
      <w:r>
        <w:tab/>
        <w:t>84K</w:t>
      </w:r>
    </w:p>
    <w:p>
      <w:pPr>
        <w:pStyle w:val="DefinedTerms"/>
      </w:pPr>
      <w:r>
        <w:t>enterprise</w:t>
      </w:r>
      <w:r>
        <w:tab/>
        <w:t>72A(1)</w:t>
      </w:r>
    </w:p>
    <w:p>
      <w:pPr>
        <w:pStyle w:val="DefinedTerms"/>
      </w:pPr>
      <w:r>
        <w:t>enterprise award</w:t>
      </w:r>
      <w:r>
        <w:tab/>
        <w:t>7(1)</w:t>
      </w:r>
    </w:p>
    <w:p>
      <w:pPr>
        <w:pStyle w:val="DefinedTerms"/>
      </w:pPr>
      <w:r>
        <w:t>enterprise order</w:t>
      </w:r>
      <w:r>
        <w:tab/>
        <w:t>7(1), 42I(1)</w:t>
      </w:r>
    </w:p>
    <w:p>
      <w:pPr>
        <w:pStyle w:val="DefinedTerms"/>
      </w:pPr>
      <w:r>
        <w:t>entitlement provision</w:t>
      </w:r>
      <w:r>
        <w:tab/>
        <w:t>7(1)</w:t>
      </w:r>
    </w:p>
    <w:p>
      <w:pPr>
        <w:pStyle w:val="DefinedTerms"/>
      </w:pPr>
      <w:r>
        <w:t>equal remuneration</w:t>
      </w:r>
      <w:r>
        <w:tab/>
        <w:t>7(1)</w:t>
      </w:r>
    </w:p>
    <w:p>
      <w:pPr>
        <w:pStyle w:val="DefinedTerms"/>
      </w:pPr>
      <w:r>
        <w:t>equal remuneration order</w:t>
      </w:r>
      <w:r>
        <w:tab/>
        <w:t>7(1), 51O(2)</w:t>
      </w:r>
    </w:p>
    <w:p>
      <w:pPr>
        <w:pStyle w:val="DefinedTerms"/>
      </w:pPr>
      <w:r>
        <w:t>existing employee</w:t>
      </w:r>
      <w:r>
        <w:tab/>
        <w:t>97U(1)</w:t>
      </w:r>
    </w:p>
    <w:p>
      <w:pPr>
        <w:pStyle w:val="DefinedTerms"/>
      </w:pPr>
      <w:r>
        <w:t>expiry day</w:t>
      </w:r>
      <w:r>
        <w:tab/>
        <w:t>49G(1), 49Q(3)</w:t>
      </w:r>
    </w:p>
    <w:p>
      <w:pPr>
        <w:pStyle w:val="DefinedTerms"/>
      </w:pPr>
      <w:r>
        <w:t>exposure draft</w:t>
      </w:r>
      <w:r>
        <w:tab/>
        <w:t>97WA(1)</w:t>
      </w:r>
    </w:p>
    <w:p>
      <w:pPr>
        <w:pStyle w:val="DefinedTerms"/>
      </w:pPr>
      <w:r>
        <w:t>federal award</w:t>
      </w:r>
      <w:r>
        <w:tab/>
        <w:t>80B</w:t>
      </w:r>
    </w:p>
    <w:p>
      <w:pPr>
        <w:pStyle w:val="DefinedTerms"/>
      </w:pPr>
      <w:r>
        <w:t>federal counterpart</w:t>
      </w:r>
      <w:r>
        <w:tab/>
        <w:t>49G(1), 80BG(1)</w:t>
      </w:r>
    </w:p>
    <w:p>
      <w:pPr>
        <w:pStyle w:val="DefinedTerms"/>
      </w:pPr>
      <w:r>
        <w:t>federal industrial authority</w:t>
      </w:r>
      <w:r>
        <w:tab/>
        <w:t>80B</w:t>
      </w:r>
    </w:p>
    <w:p>
      <w:pPr>
        <w:pStyle w:val="DefinedTerms"/>
      </w:pPr>
      <w:r>
        <w:t>federal industrial instrument</w:t>
      </w:r>
      <w:r>
        <w:tab/>
        <w:t>80B</w:t>
      </w:r>
    </w:p>
    <w:p>
      <w:pPr>
        <w:pStyle w:val="DefinedTerms"/>
      </w:pPr>
      <w:r>
        <w:t>federal organisation</w:t>
      </w:r>
      <w:r>
        <w:tab/>
        <w:t>7(1)</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first person</w:t>
      </w:r>
      <w:r>
        <w:tab/>
        <w:t>51BQ(1), 51BZB(1)</w:t>
      </w:r>
    </w:p>
    <w:p>
      <w:pPr>
        <w:pStyle w:val="DefinedTerms"/>
      </w:pPr>
      <w:r>
        <w:t>fit and proper person criteria</w:t>
      </w:r>
      <w:r>
        <w:tab/>
        <w:t>49G(1), 49P(2)</w:t>
      </w:r>
    </w:p>
    <w:p>
      <w:pPr>
        <w:pStyle w:val="DefinedTerms"/>
      </w:pPr>
      <w:r>
        <w:t>flexible working arrangement dispute</w:t>
      </w:r>
      <w:r>
        <w:tab/>
        <w:t>7(1), 51D</w:t>
      </w:r>
    </w:p>
    <w:p>
      <w:pPr>
        <w:pStyle w:val="DefinedTerms"/>
      </w:pPr>
      <w:r>
        <w:t>flexible working arrangement order</w:t>
      </w:r>
      <w:r>
        <w:tab/>
        <w:t>51C(1), 51G(5)</w:t>
      </w:r>
    </w:p>
    <w:p>
      <w:pPr>
        <w:pStyle w:val="DefinedTerms"/>
      </w:pPr>
      <w:r>
        <w:t>flexible working arrangement request</w:t>
      </w:r>
      <w:r>
        <w:tab/>
        <w:t>51C(1)</w:t>
      </w:r>
    </w:p>
    <w:p>
      <w:pPr>
        <w:pStyle w:val="DefinedTerms"/>
      </w:pPr>
      <w:r>
        <w:t>foreign roll</w:t>
      </w:r>
      <w:r>
        <w:tab/>
        <w:t>112A(3B)</w:t>
      </w:r>
    </w:p>
    <w:p>
      <w:pPr>
        <w:pStyle w:val="DefinedTerms"/>
      </w:pPr>
      <w:r>
        <w:t>former</w:t>
      </w:r>
      <w:r>
        <w:tab/>
        <w:t>Sch. 6 cl. 1</w:t>
      </w:r>
    </w:p>
    <w:p>
      <w:pPr>
        <w:pStyle w:val="DefinedTerms"/>
      </w:pPr>
      <w:r>
        <w:t>former Act</w:t>
      </w:r>
      <w:r>
        <w:tab/>
        <w:t>123(1), Sch. 6 cl. 5(1)</w:t>
      </w:r>
    </w:p>
    <w:p>
      <w:pPr>
        <w:pStyle w:val="DefinedTerms"/>
      </w:pPr>
      <w:r>
        <w:t>former acting President</w:t>
      </w:r>
      <w:r>
        <w:tab/>
        <w:t>Sch. 6 cl. 1 and 2(1)</w:t>
      </w:r>
    </w:p>
    <w:p>
      <w:pPr>
        <w:pStyle w:val="DefinedTerms"/>
      </w:pPr>
      <w:r>
        <w:t>former section</w:t>
      </w:r>
      <w:r>
        <w:tab/>
        <w:t>117(1)</w:t>
      </w:r>
    </w:p>
    <w:p>
      <w:pPr>
        <w:pStyle w:val="DefinedTerms"/>
      </w:pPr>
      <w:r>
        <w:t>former section 73 summons</w:t>
      </w:r>
      <w:r>
        <w:tab/>
        <w:t>Sch. 6 cl. 8(1)</w:t>
      </w:r>
    </w:p>
    <w:p>
      <w:pPr>
        <w:pStyle w:val="DefinedTerms"/>
      </w:pPr>
      <w:r>
        <w:t>Full Bench</w:t>
      </w:r>
      <w:r>
        <w:tab/>
        <w:t>7(1)</w:t>
      </w:r>
    </w:p>
    <w:p>
      <w:pPr>
        <w:pStyle w:val="DefinedTerms"/>
      </w:pPr>
      <w:r>
        <w:t>FW Act</w:t>
      </w:r>
      <w:r>
        <w:tab/>
        <w:t>7(1)</w:t>
      </w:r>
    </w:p>
    <w:p>
      <w:pPr>
        <w:pStyle w:val="DefinedTerms"/>
      </w:pPr>
      <w:r>
        <w:t>FW Commission</w:t>
      </w:r>
      <w:r>
        <w:tab/>
        <w:t>7(1)</w:t>
      </w:r>
    </w:p>
    <w:p>
      <w:pPr>
        <w:pStyle w:val="DefinedTerms"/>
      </w:pPr>
      <w:r>
        <w:t>FW (Registered Organisations) Act</w:t>
      </w:r>
      <w:r>
        <w:tab/>
        <w:t>7(1)</w:t>
      </w:r>
    </w:p>
    <w:p>
      <w:pPr>
        <w:pStyle w:val="DefinedTerms"/>
      </w:pPr>
      <w:r>
        <w:t>FW (Transitional) Act</w:t>
      </w:r>
      <w:r>
        <w:tab/>
        <w:t>7(1)</w:t>
      </w:r>
    </w:p>
    <w:p>
      <w:pPr>
        <w:pStyle w:val="DefinedTerms"/>
      </w:pPr>
      <w:r>
        <w:t>general jurisdiction</w:t>
      </w:r>
      <w:r>
        <w:tab/>
        <w:t>81AA</w:t>
      </w:r>
    </w:p>
    <w:p>
      <w:pPr>
        <w:pStyle w:val="DefinedTerms"/>
      </w:pPr>
      <w:r>
        <w:t>General Manager</w:t>
      </w:r>
      <w:r>
        <w:tab/>
        <w:t>80BE(1)</w:t>
      </w:r>
    </w:p>
    <w:p>
      <w:pPr>
        <w:pStyle w:val="DefinedTerms"/>
      </w:pPr>
      <w:r>
        <w:t>Government Financial Projections Statement</w:t>
      </w:r>
      <w:r>
        <w:tab/>
        <w:t>26(2B)</w:t>
      </w:r>
    </w:p>
    <w:p>
      <w:pPr>
        <w:pStyle w:val="DefinedTerms"/>
      </w:pPr>
      <w:r>
        <w:t>government officer</w:t>
      </w:r>
      <w:r>
        <w:tab/>
        <w:t>7(1), 36AB(1) and (2)</w:t>
      </w:r>
    </w:p>
    <w:p>
      <w:pPr>
        <w:pStyle w:val="DefinedTerms"/>
      </w:pPr>
      <w:r>
        <w:lastRenderedPageBreak/>
        <w:t>group training organisation</w:t>
      </w:r>
      <w:r>
        <w:tab/>
        <w:t>7(1)</w:t>
      </w:r>
    </w:p>
    <w:p>
      <w:pPr>
        <w:pStyle w:val="DefinedTerms"/>
      </w:pPr>
      <w:r>
        <w:t>guardianship order</w:t>
      </w:r>
      <w:r>
        <w:tab/>
        <w:t>97WS(4)</w:t>
      </w:r>
    </w:p>
    <w:p>
      <w:pPr>
        <w:pStyle w:val="DefinedTerms"/>
      </w:pPr>
      <w:r>
        <w:t>habitation premises</w:t>
      </w:r>
      <w:r>
        <w:tab/>
        <w:t>49K(1)</w:t>
      </w:r>
    </w:p>
    <w:p>
      <w:pPr>
        <w:pStyle w:val="DefinedTerms"/>
      </w:pPr>
      <w:r>
        <w:t>health services employee</w:t>
      </w:r>
      <w:r>
        <w:tab/>
        <w:t>7(1)</w:t>
      </w:r>
    </w:p>
    <w:p>
      <w:pPr>
        <w:pStyle w:val="DefinedTerms"/>
      </w:pPr>
      <w:r>
        <w:t>in connection with work</w:t>
      </w:r>
      <w:r>
        <w:tab/>
        <w:t>7(1), 51BR(2)</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 84P</w:t>
      </w:r>
    </w:p>
    <w:p>
      <w:pPr>
        <w:pStyle w:val="DefinedTerms"/>
      </w:pPr>
      <w:r>
        <w:t>industrial instrument</w:t>
      </w:r>
      <w:r>
        <w:tab/>
        <w:t>7(1), 29AA(5)</w:t>
      </w:r>
    </w:p>
    <w:p>
      <w:pPr>
        <w:pStyle w:val="DefinedTerms"/>
      </w:pPr>
      <w:r>
        <w:t>industrial law</w:t>
      </w:r>
      <w:r>
        <w:tab/>
        <w:t>49G(1)</w:t>
      </w:r>
    </w:p>
    <w:p>
      <w:pPr>
        <w:pStyle w:val="DefinedTerms"/>
      </w:pPr>
      <w:r>
        <w:t>industrial location</w:t>
      </w:r>
      <w:r>
        <w:tab/>
        <w:t>98(3)</w:t>
      </w:r>
    </w:p>
    <w:p>
      <w:pPr>
        <w:pStyle w:val="DefinedTerms"/>
      </w:pPr>
      <w:r>
        <w:t>industrial magistrate’s court</w:t>
      </w:r>
      <w:r>
        <w:tab/>
        <w:t>7(1)</w:t>
      </w:r>
    </w:p>
    <w:p>
      <w:pPr>
        <w:pStyle w:val="DefinedTerms"/>
      </w:pPr>
      <w:r>
        <w:t>industrial matter</w:t>
      </w:r>
      <w:r>
        <w:tab/>
        <w:t>7(1)</w:t>
      </w:r>
    </w:p>
    <w:p>
      <w:pPr>
        <w:pStyle w:val="DefinedTerms"/>
      </w:pPr>
      <w:r>
        <w:t>industry</w:t>
      </w:r>
      <w:r>
        <w:tab/>
        <w:t>7(1)</w:t>
      </w:r>
    </w:p>
    <w:p>
      <w:pPr>
        <w:pStyle w:val="DefinedTerms"/>
      </w:pPr>
      <w:r>
        <w:t>initiating party</w:t>
      </w:r>
      <w:r>
        <w:tab/>
        <w:t>40C</w:t>
      </w:r>
    </w:p>
    <w:p>
      <w:pPr>
        <w:pStyle w:val="DefinedTerms"/>
      </w:pPr>
      <w:r>
        <w:t>instrument-governed employee with a disability</w:t>
      </w:r>
      <w:r>
        <w:tab/>
        <w:t>50A(1AA)</w:t>
      </w:r>
    </w:p>
    <w:p>
      <w:pPr>
        <w:pStyle w:val="DefinedTerms"/>
      </w:pPr>
      <w:r>
        <w:t>instrument to which this section applies</w:t>
      </w:r>
      <w:r>
        <w:tab/>
        <w:t>98(6)</w:t>
      </w:r>
    </w:p>
    <w:p>
      <w:pPr>
        <w:pStyle w:val="DefinedTerms"/>
      </w:pPr>
      <w:r>
        <w:t>involved in</w:t>
      </w:r>
      <w:r>
        <w:tab/>
        <w:t>83(2A), 83E(1B)</w:t>
      </w:r>
    </w:p>
    <w:p>
      <w:pPr>
        <w:pStyle w:val="DefinedTerms"/>
      </w:pPr>
      <w:r>
        <w:t>involved person</w:t>
      </w:r>
      <w:r>
        <w:tab/>
        <w:t>83EA(6)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later expiry day</w:t>
      </w:r>
      <w:r>
        <w:tab/>
        <w:t>49S(1)</w:t>
      </w:r>
    </w:p>
    <w:p>
      <w:pPr>
        <w:pStyle w:val="DefinedTerms"/>
      </w:pPr>
      <w:r>
        <w:t>limited guardian</w:t>
      </w:r>
      <w:r>
        <w:tab/>
        <w:t>97WS(4)</w:t>
      </w:r>
    </w:p>
    <w:p>
      <w:pPr>
        <w:pStyle w:val="DefinedTerms"/>
      </w:pPr>
      <w:r>
        <w:t>local government long service leave provision</w:t>
      </w:r>
      <w:r>
        <w:tab/>
        <w:t>7(1)</w:t>
      </w:r>
    </w:p>
    <w:p>
      <w:pPr>
        <w:pStyle w:val="DefinedTerms"/>
      </w:pPr>
      <w:r>
        <w:t>LSL Act</w:t>
      </w:r>
      <w:r>
        <w:tab/>
        <w:t>7(1)</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mental disability</w:t>
      </w:r>
      <w:r>
        <w:tab/>
        <w:t>97WR</w:t>
      </w:r>
    </w:p>
    <w:p>
      <w:pPr>
        <w:pStyle w:val="DefinedTerms"/>
      </w:pPr>
      <w:r>
        <w:t>minimum condition of employment</w:t>
      </w:r>
      <w:r>
        <w:tab/>
        <w:t>7(1)</w:t>
      </w:r>
    </w:p>
    <w:p>
      <w:pPr>
        <w:pStyle w:val="DefinedTerms"/>
      </w:pPr>
      <w:r>
        <w:t>national fair work legislation</w:t>
      </w:r>
      <w:r>
        <w:tab/>
        <w:t>80B</w:t>
      </w:r>
    </w:p>
    <w:p>
      <w:pPr>
        <w:pStyle w:val="DefinedTerms"/>
      </w:pPr>
      <w:r>
        <w:t>negotiating party</w:t>
      </w:r>
      <w:r>
        <w:tab/>
        <w:t>40C</w:t>
      </w:r>
    </w:p>
    <w:p>
      <w:pPr>
        <w:pStyle w:val="DefinedTerms"/>
      </w:pPr>
      <w:r>
        <w:t>new award</w:t>
      </w:r>
      <w:r>
        <w:tab/>
        <w:t>36A(1)</w:t>
      </w:r>
    </w:p>
    <w:p>
      <w:pPr>
        <w:pStyle w:val="DefinedTerms"/>
      </w:pPr>
      <w:r>
        <w:t>new employee</w:t>
      </w:r>
      <w:r>
        <w:tab/>
        <w:t>97U(1)</w:t>
      </w:r>
    </w:p>
    <w:p>
      <w:pPr>
        <w:pStyle w:val="DefinedTerms"/>
      </w:pPr>
      <w:r>
        <w:t>new permit</w:t>
      </w:r>
      <w:r>
        <w:tab/>
        <w:t>49S(1)</w:t>
      </w:r>
    </w:p>
    <w:p>
      <w:pPr>
        <w:pStyle w:val="DefinedTerms"/>
      </w:pPr>
      <w:r>
        <w:t>new State instrument</w:t>
      </w:r>
      <w:r>
        <w:tab/>
        <w:t>80B, 80BB(2)</w:t>
      </w:r>
    </w:p>
    <w:p>
      <w:pPr>
        <w:pStyle w:val="DefinedTerms"/>
      </w:pPr>
      <w:r>
        <w:t>no-disadvantage test</w:t>
      </w:r>
      <w:r>
        <w:tab/>
        <w:t>97U(1)</w:t>
      </w:r>
    </w:p>
    <w:p>
      <w:pPr>
        <w:pStyle w:val="DefinedTerms"/>
      </w:pPr>
      <w:r>
        <w:t>nominal expiry date</w:t>
      </w:r>
      <w:r>
        <w:tab/>
        <w:t>42(8)</w:t>
      </w:r>
    </w:p>
    <w:p>
      <w:pPr>
        <w:pStyle w:val="DefinedTerms"/>
      </w:pPr>
      <w:r>
        <w:t>nominated official</w:t>
      </w:r>
      <w:r>
        <w:tab/>
        <w:t>49G(1), 49N(3)</w:t>
      </w:r>
    </w:p>
    <w:p>
      <w:pPr>
        <w:pStyle w:val="DefinedTerms"/>
      </w:pPr>
      <w:r>
        <w:t>nominated person</w:t>
      </w:r>
      <w:r>
        <w:tab/>
        <w:t>84B</w:t>
      </w:r>
    </w:p>
    <w:p>
      <w:pPr>
        <w:pStyle w:val="DefinedTerms"/>
      </w:pPr>
      <w:r>
        <w:t>occupier</w:t>
      </w:r>
      <w:r>
        <w:tab/>
        <w:t>49L(2)</w:t>
      </w:r>
    </w:p>
    <w:p>
      <w:pPr>
        <w:pStyle w:val="DefinedTerms"/>
      </w:pPr>
      <w:r>
        <w:lastRenderedPageBreak/>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old federal instrument</w:t>
      </w:r>
      <w:r>
        <w:tab/>
        <w:t>80B, 80BB(1)</w:t>
      </w:r>
    </w:p>
    <w:p>
      <w:pPr>
        <w:pStyle w:val="DefinedTerms"/>
      </w:pPr>
      <w:r>
        <w:t>one-tier collegiate electoral system</w:t>
      </w:r>
      <w:r>
        <w:tab/>
        <w:t>52</w:t>
      </w:r>
    </w:p>
    <w:p>
      <w:pPr>
        <w:pStyle w:val="DefinedTerms"/>
      </w:pPr>
      <w:r>
        <w:t>organisation</w:t>
      </w:r>
      <w:r>
        <w:tab/>
        <w:t>7(1), 72A(1), 72B(2),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outworker</w:t>
      </w:r>
      <w:r>
        <w:tab/>
        <w:t>51BH(1A)</w:t>
      </w:r>
    </w:p>
    <w:p>
      <w:pPr>
        <w:pStyle w:val="DefinedTerms"/>
      </w:pPr>
      <w:r>
        <w:t>particular allegation</w:t>
      </w:r>
      <w:r>
        <w:tab/>
        <w:t>51BZD(1)</w:t>
      </w:r>
    </w:p>
    <w:p>
      <w:pPr>
        <w:pStyle w:val="DefinedTerms"/>
      </w:pPr>
      <w:r>
        <w:t>party</w:t>
      </w:r>
      <w:r>
        <w:tab/>
        <w:t>38(1b), 91(2), 97U(1), 97VB(5), Sch. 4 cl. 1(3)</w:t>
      </w:r>
    </w:p>
    <w:p>
      <w:pPr>
        <w:pStyle w:val="DefinedTerms"/>
      </w:pPr>
      <w:r>
        <w:t>peak industrial body</w:t>
      </w:r>
      <w:r>
        <w:tab/>
        <w:t>97VZ(3)</w:t>
      </w:r>
    </w:p>
    <w:p>
      <w:pPr>
        <w:pStyle w:val="DefinedTerms"/>
      </w:pPr>
      <w:r>
        <w:t>person</w:t>
      </w:r>
      <w:r>
        <w:tab/>
        <w:t>51BF, 51BR(1)</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post-commencement behaviour</w:t>
      </w:r>
      <w:r>
        <w:tab/>
        <w:t>123(1)</w:t>
      </w:r>
    </w:p>
    <w:p>
      <w:pPr>
        <w:pStyle w:val="DefinedTerms"/>
      </w:pPr>
      <w:r>
        <w:t>post-secondary education institution</w:t>
      </w:r>
      <w:r>
        <w:tab/>
        <w:t>7(1)</w:t>
      </w:r>
    </w:p>
    <w:p>
      <w:pPr>
        <w:pStyle w:val="DefinedTerms"/>
      </w:pPr>
      <w:r>
        <w:t>pre-commencement behaviour</w:t>
      </w:r>
      <w:r>
        <w:tab/>
        <w:t>123(1)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presiding commissioner</w:t>
      </w:r>
      <w:r>
        <w:tab/>
        <w:t>7(1)</w:t>
      </w:r>
    </w:p>
    <w:p>
      <w:pPr>
        <w:pStyle w:val="DefinedTerms"/>
      </w:pPr>
      <w:r>
        <w:t>presiding judge</w:t>
      </w:r>
      <w:r>
        <w:tab/>
        <w:t>7(1)</w:t>
      </w:r>
    </w:p>
    <w:p>
      <w:pPr>
        <w:pStyle w:val="DefinedTerms"/>
      </w:pPr>
      <w:r>
        <w:t>principal</w:t>
      </w:r>
      <w:r>
        <w:tab/>
        <w:t>7(6), 51BS(1), 83EA(6)</w:t>
      </w:r>
    </w:p>
    <w:p>
      <w:pPr>
        <w:pStyle w:val="DefinedTerms"/>
      </w:pPr>
      <w:r>
        <w:t>principal executive officer</w:t>
      </w:r>
      <w:r>
        <w:tab/>
        <w:t>7(1)</w:t>
      </w:r>
    </w:p>
    <w:p>
      <w:pPr>
        <w:pStyle w:val="DefinedTerms"/>
      </w:pPr>
      <w:r>
        <w:t>private sector award</w:t>
      </w:r>
      <w:r>
        <w:tab/>
        <w:t>7(1)</w:t>
      </w:r>
    </w:p>
    <w:p>
      <w:pPr>
        <w:pStyle w:val="DefinedTerms"/>
      </w:pPr>
      <w:r>
        <w:t>proceedings</w:t>
      </w:r>
      <w:r>
        <w:tab/>
        <w:t>49(4)</w:t>
      </w:r>
    </w:p>
    <w:p>
      <w:pPr>
        <w:pStyle w:val="DefinedTerms"/>
      </w:pPr>
      <w:r>
        <w:t>produce</w:t>
      </w:r>
      <w:r>
        <w:tab/>
        <w:t>7(1)</w:t>
      </w:r>
    </w:p>
    <w:p>
      <w:pPr>
        <w:pStyle w:val="DefinedTerms"/>
      </w:pPr>
      <w:r>
        <w:t>proposed representative</w:t>
      </w:r>
      <w:r>
        <w:tab/>
        <w:t>97WR, 97WV(3), 97XM(3)</w:t>
      </w:r>
    </w:p>
    <w:p>
      <w:pPr>
        <w:pStyle w:val="DefinedTerms"/>
      </w:pPr>
      <w:r>
        <w:t>prosecution jurisdiction</w:t>
      </w:r>
      <w:r>
        <w:tab/>
        <w:t>81AA</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award</w:t>
      </w:r>
      <w:r>
        <w:tab/>
        <w:t>7(1)</w:t>
      </w:r>
    </w:p>
    <w:p>
      <w:pPr>
        <w:pStyle w:val="DefinedTerms"/>
      </w:pPr>
      <w:r>
        <w:t>public sector body</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officer</w:t>
      </w:r>
      <w:r>
        <w:tab/>
        <w:t>7(1)</w:t>
      </w:r>
    </w:p>
    <w:p>
      <w:pPr>
        <w:pStyle w:val="DefinedTerms"/>
      </w:pPr>
      <w:r>
        <w:t>published in the required manner</w:t>
      </w:r>
      <w:r>
        <w:tab/>
        <w:t>7(1)</w:t>
      </w:r>
    </w:p>
    <w:p>
      <w:pPr>
        <w:pStyle w:val="DefinedTerms"/>
      </w:pPr>
      <w:r>
        <w:lastRenderedPageBreak/>
        <w:t>qualified commissioner</w:t>
      </w:r>
      <w:r>
        <w:tab/>
        <w:t>81B(2A)</w:t>
      </w:r>
    </w:p>
    <w:p>
      <w:pPr>
        <w:pStyle w:val="DefinedTerms"/>
      </w:pPr>
      <w:r>
        <w:t>recipient</w:t>
      </w:r>
      <w:r>
        <w:tab/>
        <w:t>84B, 84V(1)</w:t>
      </w:r>
    </w:p>
    <w:p>
      <w:pPr>
        <w:pStyle w:val="DefinedTerms"/>
      </w:pPr>
      <w:r>
        <w:t>reclassification</w:t>
      </w:r>
      <w:r>
        <w:tab/>
        <w:t>7(1), 36AD(1)</w:t>
      </w:r>
    </w:p>
    <w:p>
      <w:pPr>
        <w:pStyle w:val="DefinedTerms"/>
      </w:pPr>
      <w:r>
        <w:t>record</w:t>
      </w:r>
      <w:r>
        <w:tab/>
        <w:t>7(1)</w:t>
      </w:r>
    </w:p>
    <w:p>
      <w:pPr>
        <w:pStyle w:val="DefinedTerms"/>
      </w:pPr>
      <w:r>
        <w:t>record-related civil penalty provision</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day</w:t>
      </w:r>
      <w:r>
        <w:tab/>
        <w:t>80A(2), 80B</w:t>
      </w:r>
    </w:p>
    <w:p>
      <w:pPr>
        <w:pStyle w:val="DefinedTerms"/>
      </w:pPr>
      <w:r>
        <w:t>relevant employee</w:t>
      </w:r>
      <w:r>
        <w:tab/>
        <w:t>49G(1)</w:t>
      </w:r>
    </w:p>
    <w:p>
      <w:pPr>
        <w:pStyle w:val="DefinedTerms"/>
      </w:pPr>
      <w:r>
        <w:t>relevant order</w:t>
      </w:r>
      <w:r>
        <w:tab/>
        <w:t>97VR</w:t>
      </w:r>
    </w:p>
    <w:p>
      <w:pPr>
        <w:pStyle w:val="DefinedTerms"/>
      </w:pPr>
      <w:r>
        <w:t>relevant organisation</w:t>
      </w:r>
      <w:r>
        <w:tab/>
        <w:t>49R(2)</w:t>
      </w:r>
    </w:p>
    <w:p>
      <w:pPr>
        <w:pStyle w:val="DefinedTerms"/>
      </w:pPr>
      <w:r>
        <w:t>relevant person</w:t>
      </w:r>
      <w:r>
        <w:tab/>
        <w:t>49E(4)</w:t>
      </w:r>
    </w:p>
    <w:p>
      <w:pPr>
        <w:pStyle w:val="DefinedTerms"/>
      </w:pPr>
      <w:r>
        <w:t>relevant policy instrument</w:t>
      </w:r>
      <w:r>
        <w:tab/>
        <w:t>36AG(2)</w:t>
      </w:r>
    </w:p>
    <w:p>
      <w:pPr>
        <w:pStyle w:val="DefinedTerms"/>
      </w:pPr>
      <w:r>
        <w:t>relevant proceedings</w:t>
      </w:r>
      <w:r>
        <w:tab/>
        <w:t>37D(9)</w:t>
      </w:r>
    </w:p>
    <w:p>
      <w:pPr>
        <w:pStyle w:val="DefinedTerms"/>
      </w:pPr>
      <w:r>
        <w:t>relevant provision</w:t>
      </w:r>
      <w:r>
        <w:tab/>
        <w:t>128(1)</w:t>
      </w:r>
    </w:p>
    <w:p>
      <w:pPr>
        <w:pStyle w:val="DefinedTerms"/>
      </w:pPr>
      <w:r>
        <w:t>remuneration-related action</w:t>
      </w:r>
      <w:r>
        <w:tab/>
        <w:t>51R(1)</w:t>
      </w:r>
    </w:p>
    <w:p>
      <w:pPr>
        <w:pStyle w:val="DefinedTerms"/>
      </w:pPr>
      <w:r>
        <w:t>repeal</w:t>
      </w:r>
      <w:r>
        <w:tab/>
        <w:t>118</w:t>
      </w:r>
    </w:p>
    <w:p>
      <w:pPr>
        <w:pStyle w:val="DefinedTerms"/>
      </w:pPr>
      <w:r>
        <w:t>repealed</w:t>
      </w:r>
      <w:r>
        <w:tab/>
        <w:t>118</w:t>
      </w:r>
    </w:p>
    <w:p>
      <w:pPr>
        <w:pStyle w:val="DefinedTerms"/>
      </w:pPr>
      <w:r>
        <w:t>repealed Act</w:t>
      </w:r>
      <w:r>
        <w:tab/>
        <w:t>7(1)</w:t>
      </w:r>
    </w:p>
    <w:p>
      <w:pPr>
        <w:pStyle w:val="DefinedTerms"/>
      </w:pPr>
      <w:r>
        <w:t>repealed Workplace Act</w:t>
      </w:r>
      <w:r>
        <w:tab/>
        <w:t>80B</w:t>
      </w:r>
    </w:p>
    <w:p>
      <w:pPr>
        <w:pStyle w:val="DefinedTerms"/>
      </w:pPr>
      <w:r>
        <w:t>representative</w:t>
      </w:r>
      <w:r>
        <w:tab/>
        <w:t>7(1), 97X, 97XO</w:t>
      </w:r>
    </w:p>
    <w:p>
      <w:pPr>
        <w:pStyle w:val="DefinedTerms"/>
      </w:pPr>
      <w:r>
        <w:t>represented person</w:t>
      </w:r>
      <w:r>
        <w:tab/>
        <w:t>7(1), 97X, 97XO</w:t>
      </w:r>
    </w:p>
    <w:p>
      <w:pPr>
        <w:pStyle w:val="DefinedTerms"/>
      </w:pPr>
      <w:r>
        <w:t>respond</w:t>
      </w:r>
      <w:r>
        <w:tab/>
        <w:t>51C(1)</w:t>
      </w:r>
    </w:p>
    <w:p>
      <w:pPr>
        <w:pStyle w:val="DefinedTerms"/>
      </w:pPr>
      <w:r>
        <w:t>respondent</w:t>
      </w:r>
      <w:r>
        <w:tab/>
        <w:t>51BX(1), 51BZ(1), 51BZC(1), 77(1)</w:t>
      </w:r>
    </w:p>
    <w:p>
      <w:pPr>
        <w:pStyle w:val="DefinedTerms"/>
      </w:pPr>
      <w:r>
        <w:t>revocation order</w:t>
      </w:r>
      <w:r>
        <w:tab/>
        <w:t>97WR, 97XG, 97XI(1)</w:t>
      </w:r>
    </w:p>
    <w:p>
      <w:pPr>
        <w:pStyle w:val="DefinedTerms"/>
      </w:pPr>
      <w:r>
        <w:t>right of entry permit</w:t>
      </w:r>
      <w:r>
        <w:tab/>
        <w:t>49G(1)</w:t>
      </w:r>
    </w:p>
    <w:p>
      <w:pPr>
        <w:pStyle w:val="DefinedTerms"/>
      </w:pPr>
      <w:r>
        <w:t>rules</w:t>
      </w:r>
      <w:r>
        <w:tab/>
        <w:t>52A(1)</w:t>
      </w:r>
    </w:p>
    <w:p>
      <w:pPr>
        <w:pStyle w:val="DefinedTerms"/>
      </w:pPr>
      <w:r>
        <w:t>secondary office</w:t>
      </w:r>
      <w:r>
        <w:tab/>
        <w:t>7(1)</w:t>
      </w:r>
    </w:p>
    <w:p>
      <w:pPr>
        <w:pStyle w:val="DefinedTerms"/>
      </w:pPr>
      <w:r>
        <w:t>second person</w:t>
      </w:r>
      <w:r>
        <w:tab/>
        <w:t>51BQ(1), 51BZB(2)</w:t>
      </w:r>
    </w:p>
    <w:p>
      <w:pPr>
        <w:pStyle w:val="DefinedTerms"/>
      </w:pPr>
      <w:r>
        <w:t>section 97UM signatory</w:t>
      </w:r>
      <w:r>
        <w:tab/>
        <w:t>97U(1)</w:t>
      </w:r>
    </w:p>
    <w:p>
      <w:pPr>
        <w:pStyle w:val="DefinedTerms"/>
      </w:pPr>
      <w:r>
        <w:t>Senior Commissioner</w:t>
      </w:r>
      <w:r>
        <w:tab/>
        <w:t>7(1)</w:t>
      </w:r>
    </w:p>
    <w:p>
      <w:pPr>
        <w:pStyle w:val="DefinedTerms"/>
      </w:pPr>
      <w:r>
        <w:t>serious contravention</w:t>
      </w:r>
      <w:r>
        <w:tab/>
        <w:t>7(1), 83EA(2)</w:t>
      </w:r>
    </w:p>
    <w:p>
      <w:pPr>
        <w:pStyle w:val="DefinedTerms"/>
      </w:pPr>
      <w:r>
        <w:t>sexual harassment proceeding</w:t>
      </w:r>
      <w:r>
        <w:tab/>
        <w:t>51BF</w:t>
      </w:r>
    </w:p>
    <w:p>
      <w:pPr>
        <w:pStyle w:val="DefinedTerms"/>
      </w:pPr>
      <w:r>
        <w:t>sexual harassment referral</w:t>
      </w:r>
      <w:r>
        <w:tab/>
        <w:t>51BF, 51BT(1)</w:t>
      </w:r>
    </w:p>
    <w:p>
      <w:pPr>
        <w:pStyle w:val="DefinedTerms"/>
      </w:pPr>
      <w:r>
        <w:t>sexually harasses</w:t>
      </w:r>
      <w:r>
        <w:tab/>
        <w:t>7(1), 51BQ(1)</w:t>
      </w:r>
    </w:p>
    <w:p>
      <w:pPr>
        <w:pStyle w:val="DefinedTerms"/>
      </w:pPr>
      <w:r>
        <w:t>specified</w:t>
      </w:r>
      <w:r>
        <w:tab/>
        <w:t>51A(3)</w:t>
      </w:r>
    </w:p>
    <w:p>
      <w:pPr>
        <w:pStyle w:val="DefinedTerms"/>
      </w:pPr>
      <w:r>
        <w:t>statement of principles</w:t>
      </w:r>
      <w:r>
        <w:tab/>
        <w:t>51O(1)</w:t>
      </w:r>
    </w:p>
    <w:p>
      <w:pPr>
        <w:pStyle w:val="DefinedTerms"/>
      </w:pPr>
      <w:r>
        <w:t>State organisation</w:t>
      </w:r>
      <w:r>
        <w:tab/>
        <w:t>52</w:t>
      </w:r>
    </w:p>
    <w:p>
      <w:pPr>
        <w:pStyle w:val="DefinedTerms"/>
      </w:pPr>
      <w:r>
        <w:t>State rules</w:t>
      </w:r>
      <w:r>
        <w:tab/>
        <w:t>71A(2)</w:t>
      </w:r>
    </w:p>
    <w:p>
      <w:pPr>
        <w:pStyle w:val="DefinedTerms"/>
      </w:pPr>
      <w:r>
        <w:t>State Wage order</w:t>
      </w:r>
      <w:r>
        <w:tab/>
        <w:t>50A(1)</w:t>
      </w:r>
    </w:p>
    <w:p>
      <w:pPr>
        <w:pStyle w:val="DefinedTerms"/>
      </w:pPr>
      <w:r>
        <w:t>stop bullying application</w:t>
      </w:r>
      <w:r>
        <w:tab/>
        <w:t>51BF, 51BJ(1)</w:t>
      </w:r>
    </w:p>
    <w:p>
      <w:pPr>
        <w:pStyle w:val="DefinedTerms"/>
      </w:pPr>
      <w:r>
        <w:lastRenderedPageBreak/>
        <w:t>stop bullying order</w:t>
      </w:r>
      <w:r>
        <w:tab/>
        <w:t>51BF, 51BM(2)</w:t>
      </w:r>
    </w:p>
    <w:p>
      <w:pPr>
        <w:pStyle w:val="DefinedTerms"/>
      </w:pPr>
      <w:r>
        <w:t>stop sexual harassment application</w:t>
      </w:r>
      <w:r>
        <w:tab/>
        <w:t>51BF, 51BT(1)</w:t>
      </w:r>
    </w:p>
    <w:p>
      <w:pPr>
        <w:pStyle w:val="DefinedTerms"/>
      </w:pPr>
      <w:r>
        <w:t>stop sexual harassment order</w:t>
      </w:r>
      <w:r>
        <w:tab/>
        <w:t>51BF, 51BX(2)</w:t>
      </w:r>
    </w:p>
    <w:p>
      <w:pPr>
        <w:pStyle w:val="DefinedTerms"/>
      </w:pPr>
      <w:r>
        <w:t>subscription</w:t>
      </w:r>
      <w:r>
        <w:tab/>
        <w:t>7(1)</w:t>
      </w:r>
    </w:p>
    <w:p>
      <w:pPr>
        <w:pStyle w:val="DefinedTerms"/>
      </w:pPr>
      <w:r>
        <w:t>supported employment service</w:t>
      </w:r>
      <w:r>
        <w:tab/>
        <w:t>50A(1AA)</w:t>
      </w:r>
    </w:p>
    <w:p>
      <w:pPr>
        <w:pStyle w:val="DefinedTerms"/>
      </w:pPr>
      <w:r>
        <w:t>supported wage industrial instrument provision</w:t>
      </w:r>
      <w:r>
        <w:tab/>
        <w:t>7(1)</w:t>
      </w:r>
    </w:p>
    <w:p>
      <w:pPr>
        <w:pStyle w:val="DefinedTerms"/>
      </w:pPr>
      <w:r>
        <w:t>Supported Wage System</w:t>
      </w:r>
      <w:r>
        <w:tab/>
        <w:t>7(1)</w:t>
      </w:r>
    </w:p>
    <w:p>
      <w:pPr>
        <w:pStyle w:val="DefinedTerms"/>
      </w:pPr>
      <w:r>
        <w:t>SWIIP</w:t>
      </w:r>
      <w:r>
        <w:tab/>
        <w:t>7(1)</w:t>
      </w:r>
    </w:p>
    <w:p>
      <w:pPr>
        <w:pStyle w:val="DefinedTerms"/>
      </w:pPr>
      <w:r>
        <w:t>SWS</w:t>
      </w:r>
      <w:r>
        <w:tab/>
        <w:t>7(1)</w:t>
      </w:r>
    </w:p>
    <w:p>
      <w:pPr>
        <w:pStyle w:val="DefinedTerms"/>
      </w:pPr>
      <w:r>
        <w:t>teacher</w:t>
      </w:r>
      <w:r>
        <w:tab/>
        <w:t>36AB(3)</w:t>
      </w:r>
    </w:p>
    <w:p>
      <w:pPr>
        <w:pStyle w:val="DefinedTerms"/>
      </w:pPr>
      <w:r>
        <w:t>terms</w:t>
      </w:r>
      <w:r>
        <w:tab/>
        <w:t>80B</w:t>
      </w:r>
    </w:p>
    <w:p>
      <w:pPr>
        <w:pStyle w:val="DefinedTerms"/>
      </w:pPr>
      <w:r>
        <w:t>third party</w:t>
      </w:r>
      <w:r>
        <w:tab/>
        <w:t>23B(1), 97C(1)</w:t>
      </w:r>
    </w:p>
    <w:p>
      <w:pPr>
        <w:pStyle w:val="DefinedTerms"/>
      </w:pPr>
      <w:r>
        <w:t>threats</w:t>
      </w:r>
      <w:r>
        <w:tab/>
        <w:t>48B(5)</w:t>
      </w:r>
    </w:p>
    <w:p>
      <w:pPr>
        <w:pStyle w:val="DefinedTerms"/>
      </w:pPr>
      <w:r>
        <w:t>transitioned private sector award</w:t>
      </w:r>
      <w:r>
        <w:tab/>
        <w:t>117(1)</w:t>
      </w:r>
    </w:p>
    <w:p>
      <w:pPr>
        <w:pStyle w:val="DefinedTerms"/>
      </w:pPr>
      <w:r>
        <w:t>vary</w:t>
      </w:r>
      <w:r>
        <w:tab/>
        <w:t>7(1)</w:t>
      </w:r>
    </w:p>
    <w:p>
      <w:pPr>
        <w:pStyle w:val="DefinedTerms"/>
      </w:pPr>
      <w:r>
        <w:t>volunteer</w:t>
      </w:r>
      <w:r>
        <w:tab/>
        <w:t>51BF</w:t>
      </w:r>
    </w:p>
    <w:p>
      <w:pPr>
        <w:pStyle w:val="DefinedTerms"/>
      </w:pPr>
      <w:r>
        <w:t>volunteer association</w:t>
      </w:r>
      <w:r>
        <w:tab/>
        <w:t>51BG(3)</w:t>
      </w:r>
    </w:p>
    <w:p>
      <w:pPr>
        <w:pStyle w:val="DefinedTerms"/>
      </w:pPr>
      <w:r>
        <w:t>WA Branch of the AMA</w:t>
      </w:r>
      <w:r>
        <w:tab/>
        <w:t>72B(1)</w:t>
      </w:r>
    </w:p>
    <w:p>
      <w:pPr>
        <w:pStyle w:val="DefinedTerms"/>
      </w:pPr>
      <w:r>
        <w:t>wage assessment tool</w:t>
      </w:r>
      <w:r>
        <w:tab/>
        <w:t>7(1)</w:t>
      </w:r>
    </w:p>
    <w:p>
      <w:pPr>
        <w:pStyle w:val="DefinedTerms"/>
      </w:pPr>
      <w:r>
        <w:t>WA Police</w:t>
      </w:r>
      <w:r>
        <w:tab/>
        <w:t>51BF</w:t>
      </w:r>
    </w:p>
    <w:p>
      <w:pPr>
        <w:pStyle w:val="DefinedTerms"/>
      </w:pPr>
      <w:r>
        <w:t>worker</w:t>
      </w:r>
      <w:r>
        <w:tab/>
        <w:t>7(1), 51BH(1) and (3)</w:t>
      </w:r>
    </w:p>
    <w:p>
      <w:pPr>
        <w:pStyle w:val="DefinedTerms"/>
      </w:pPr>
      <w:r>
        <w:t>work health and safety law</w:t>
      </w:r>
      <w:r>
        <w:tab/>
        <w:t>49G(1)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24FE36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9B701D1" w14:textId="5FAB2024" w:rsidR="002E435A" w:rsidRDefault="00E313E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72629">
                        <w:rPr>
                          <w:sz w:val="16"/>
                        </w:rPr>
                        <w:t>2025</w:t>
                      </w:r>
                      <w:r>
                        <w:rPr>
                          <w:sz w:val="16"/>
                        </w:rPr>
                        <w:fldChar w:fldCharType="end"/>
                      </w:r>
                      <w:r>
                        <w:rPr>
                          <w:sz w:val="16"/>
                        </w:rPr>
                        <w:t>.</w:t>
                      </w:r>
                    </w:p>
                    <w:p w14:paraId="5CCD902E" w14:textId="77777777" w:rsidR="002E435A" w:rsidRDefault="00E313E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212C12" w14:textId="1FAB7599" w:rsidR="002E435A" w:rsidRDefault="00E313E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72629">
                        <w:rPr>
                          <w:sz w:val="16"/>
                        </w:rPr>
                        <w:t>2025</w:t>
                      </w:r>
                      <w:r>
                        <w:rPr>
                          <w:sz w:val="16"/>
                        </w:rPr>
                        <w:fldChar w:fldCharType="end"/>
                      </w:r>
                      <w:r>
                        <w:rPr>
                          <w:sz w:val="16"/>
                        </w:rPr>
                        <w:t>.</w:t>
                      </w:r>
                    </w:p>
                    <w:p w14:paraId="74A495F0" w14:textId="77777777" w:rsidR="002E435A" w:rsidRDefault="00E313E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cdlxii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cdlxiii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16-l0-00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14" w:name="Schedule"/>
    <w:bookmarkEnd w:id="8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8</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and savings provisions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Transitional provisions for Industrial Relations Legislation Amendment Act 2024</w: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128</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59" w:name="Compilation"/>
    <w:bookmarkEnd w:id="859"/>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61" w:name="DefinedTerms"/>
    <w:bookmarkEnd w:id="8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62" w:name="Coversheet"/>
    <w:bookmarkEnd w:id="86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6080430"/>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 w:name="WAFER_20250116080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080430_GUID" w:val="447d8d25-45d7-473b-b4fe-0a20e348bd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Footnotesecx">
    <w:name w:val="Footnote(secx"/>
    <w:basedOn w:val="Indenta"/>
  </w:style>
  <w:style w:type="paragraph" w:customStyle="1" w:styleId="Footnotesec">
    <w:name w:val="Footnote(sec"/>
    <w:basedOn w:val="Defpara"/>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111183</Words>
  <Characters>537018</Characters>
  <Application>Microsoft Office Word</Application>
  <DocSecurity>0</DocSecurity>
  <Lines>14514</Lines>
  <Paragraphs>8310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639891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1979 - 16-l0-00</dc:title>
  <dc:subject/>
  <dc:creator/>
  <cp:keywords/>
  <dc:description/>
  <cp:lastModifiedBy>Master Repository Process</cp:lastModifiedBy>
  <cp:revision>4</cp:revision>
  <cp:lastPrinted>2019-11-28T07:43:00Z</cp:lastPrinted>
  <dcterms:created xsi:type="dcterms:W3CDTF">2025-06-23T06:03:00Z</dcterms:created>
  <dcterms:modified xsi:type="dcterms:W3CDTF">2025-06-23T06:05:00Z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20250131</vt:lpwstr>
  </property>
  <property fmtid="{D5CDD505-2E9C-101B-9397-08002B2CF9AE}" pid="8" name="CommencementAsAt">
    <vt:filetime>2025-01-30T16:00:00Z</vt:filetime>
  </property>
  <property fmtid="{D5CDD505-2E9C-101B-9397-08002B2CF9AE}" pid="9" name="CommencementYear">
    <vt:lpwstr>2025</vt:lpwstr>
  </property>
  <property fmtid="{D5CDD505-2E9C-101B-9397-08002B2CF9AE}" pid="10" name="AsAtDate">
    <vt:lpwstr>31 Jan 2025</vt:lpwstr>
  </property>
  <property fmtid="{D5CDD505-2E9C-101B-9397-08002B2CF9AE}" pid="11" name="Suffix">
    <vt:lpwstr>16-l0-00</vt:lpwstr>
  </property>
  <property fmtid="{D5CDD505-2E9C-101B-9397-08002B2CF9AE}" pid="12" name="Official">
    <vt:lpwstr/>
  </property>
</Properties>
</file>