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_Toc187932511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_Toc187932512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_Toc187932513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_Toc187932514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_Toc187932515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_Toc187932516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_Toc187932517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_Toc187932518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_Toc187932521 \h </w:instrText>
      </w:r>
      <w:r>
        <w:fldChar w:fldCharType="separate"/>
      </w:r>
      <w:r>
        <w:t>8</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_Toc187932522 \h </w:instrText>
      </w:r>
      <w:r>
        <w:fldChar w:fldCharType="separate"/>
      </w:r>
      <w:r>
        <w:t>8</w:t>
      </w:r>
      <w:r>
        <w:fldChar w:fldCharType="end"/>
      </w:r>
    </w:p>
    <w:p>
      <w:pPr>
        <w:pStyle w:val="TOC8"/>
        <w:rPr>
          <w:rFonts w:asciiTheme="minorHAnsi" w:eastAsiaTheme="minorEastAsia" w:hAnsiTheme="minorHAnsi" w:cstheme="minorBidi"/>
          <w:szCs w:val="22"/>
        </w:rPr>
      </w:pPr>
      <w:r>
        <w:t>10A.</w:t>
      </w:r>
      <w:r>
        <w:tab/>
        <w:t>Prohibited: provisions allowing less than minimum notice period</w:t>
      </w:r>
      <w:r>
        <w:tab/>
      </w:r>
      <w:r>
        <w:fldChar w:fldCharType="begin"/>
      </w:r>
      <w:r>
        <w:instrText xml:space="preserve"> PAGEREF _Toc187932523 \h </w:instrText>
      </w:r>
      <w:r>
        <w:fldChar w:fldCharType="separate"/>
      </w:r>
      <w:r>
        <w:t>8</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_Toc187932524 \h </w:instrText>
      </w:r>
      <w:r>
        <w:fldChar w:fldCharType="separate"/>
      </w:r>
      <w:r>
        <w:t>8</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_Toc187932525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_Toc187932527 \h </w:instrText>
      </w:r>
      <w:r>
        <w:fldChar w:fldCharType="separate"/>
      </w:r>
      <w:r>
        <w:t>9</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_Toc187932528 \h </w:instrText>
      </w:r>
      <w:r>
        <w:fldChar w:fldCharType="separate"/>
      </w:r>
      <w:r>
        <w:t>9</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_Toc187932529 \h </w:instrText>
      </w:r>
      <w:r>
        <w:fldChar w:fldCharType="separate"/>
      </w:r>
      <w:r>
        <w:t>9</w:t>
      </w:r>
      <w:r>
        <w:fldChar w:fldCharType="end"/>
      </w:r>
    </w:p>
    <w:p>
      <w:pPr>
        <w:pStyle w:val="TOC8"/>
        <w:rPr>
          <w:rFonts w:asciiTheme="minorHAnsi" w:eastAsiaTheme="minorEastAsia" w:hAnsiTheme="minorHAnsi" w:cstheme="minorBidi"/>
          <w:szCs w:val="22"/>
        </w:rPr>
      </w:pPr>
      <w:r>
        <w:t>15A.</w:t>
      </w:r>
      <w:r>
        <w:tab/>
        <w:t>Minimum period of notice for terminating contract</w:t>
      </w:r>
      <w:r>
        <w:tab/>
      </w:r>
      <w:r>
        <w:fldChar w:fldCharType="begin"/>
      </w:r>
      <w:r>
        <w:instrText xml:space="preserve"> PAGEREF _Toc187932530 \h </w:instrText>
      </w:r>
      <w:r>
        <w:fldChar w:fldCharType="separate"/>
      </w:r>
      <w:r>
        <w:t>9</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_Toc187932531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_Toc187932533 \h </w:instrText>
      </w:r>
      <w:r>
        <w:fldChar w:fldCharType="separate"/>
      </w:r>
      <w:r>
        <w:t>10</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_Toc187932534 \h </w:instrText>
      </w:r>
      <w:r>
        <w:fldChar w:fldCharType="separate"/>
      </w:r>
      <w:r>
        <w:t>10</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_Toc187932535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_Toc187932536 \h </w:instrText>
      </w:r>
      <w:r>
        <w:fldChar w:fldCharType="separate"/>
      </w:r>
      <w:r>
        <w:t>11</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_Toc187932537 \h </w:instrText>
      </w:r>
      <w:r>
        <w:fldChar w:fldCharType="separate"/>
      </w:r>
      <w:r>
        <w:t>11</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_Toc187932538 \h </w:instrText>
      </w:r>
      <w:r>
        <w:fldChar w:fldCharType="separate"/>
      </w:r>
      <w:r>
        <w:t>12</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_Toc187932539 \h </w:instrText>
      </w:r>
      <w:r>
        <w:fldChar w:fldCharType="separate"/>
      </w:r>
      <w:r>
        <w:t>12</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_Toc187932540 \h </w:instrText>
      </w:r>
      <w:r>
        <w:fldChar w:fldCharType="separate"/>
      </w:r>
      <w:r>
        <w:t>12</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_Toc187932541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_Toc187932543 \h </w:instrText>
      </w:r>
      <w:r>
        <w:fldChar w:fldCharType="separate"/>
      </w:r>
      <w:r>
        <w:t>14</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_Toc187932544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_Toc187932546 \h </w:instrText>
      </w:r>
      <w:r>
        <w:fldChar w:fldCharType="separate"/>
      </w:r>
      <w:r>
        <w:t>17</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_Toc187932547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_Toc187932549 \h </w:instrText>
      </w:r>
      <w:r>
        <w:fldChar w:fldCharType="separate"/>
      </w:r>
      <w:r>
        <w:t>19</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_Toc187932550 \h </w:instrText>
      </w:r>
      <w:r>
        <w:fldChar w:fldCharType="separate"/>
      </w:r>
      <w:r>
        <w:t>20</w:t>
      </w:r>
      <w:r>
        <w:fldChar w:fldCharType="end"/>
      </w:r>
    </w:p>
    <w:p>
      <w:pPr>
        <w:pStyle w:val="TOC8"/>
        <w:rPr>
          <w:rFonts w:asciiTheme="minorHAnsi" w:eastAsiaTheme="minorEastAsia" w:hAnsiTheme="minorHAnsi" w:cstheme="minorBidi"/>
          <w:szCs w:val="22"/>
        </w:rPr>
      </w:pPr>
      <w:r>
        <w:t>31A.</w:t>
      </w:r>
      <w:r>
        <w:tab/>
        <w:t>Unfair terms</w:t>
      </w:r>
      <w:r>
        <w:tab/>
      </w:r>
      <w:r>
        <w:fldChar w:fldCharType="begin"/>
      </w:r>
      <w:r>
        <w:instrText xml:space="preserve"> PAGEREF _Toc187932551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6A — Misleading or deceptive conduct</w:t>
      </w:r>
    </w:p>
    <w:p>
      <w:pPr>
        <w:pStyle w:val="TOC8"/>
        <w:rPr>
          <w:rFonts w:asciiTheme="minorHAnsi" w:eastAsiaTheme="minorEastAsia" w:hAnsiTheme="minorHAnsi" w:cstheme="minorBidi"/>
          <w:szCs w:val="22"/>
        </w:rPr>
      </w:pPr>
      <w:r>
        <w:t>31B.</w:t>
      </w:r>
      <w:r>
        <w:tab/>
        <w:t>Misleading or deceptive conduct by hirer</w:t>
      </w:r>
      <w:r>
        <w:tab/>
      </w:r>
      <w:r>
        <w:fldChar w:fldCharType="begin"/>
      </w:r>
      <w:r>
        <w:instrText xml:space="preserve"> PAGEREF _Toc187932553 \h </w:instrText>
      </w:r>
      <w:r>
        <w:fldChar w:fldCharType="separate"/>
      </w:r>
      <w:r>
        <w:t>24</w:t>
      </w:r>
      <w:r>
        <w:fldChar w:fldCharType="end"/>
      </w:r>
    </w:p>
    <w:p>
      <w:pPr>
        <w:pStyle w:val="TOC8"/>
        <w:rPr>
          <w:rFonts w:asciiTheme="minorHAnsi" w:eastAsiaTheme="minorEastAsia" w:hAnsiTheme="minorHAnsi" w:cstheme="minorBidi"/>
          <w:szCs w:val="22"/>
        </w:rPr>
      </w:pPr>
      <w:r>
        <w:t>31C.</w:t>
      </w:r>
      <w:r>
        <w:tab/>
        <w:t>Misleading or deceptive conduct by owner</w:t>
      </w:r>
      <w:r>
        <w:noBreakHyphen/>
        <w:t>driver</w:t>
      </w:r>
      <w:r>
        <w:tab/>
      </w:r>
      <w:r>
        <w:fldChar w:fldCharType="begin"/>
      </w:r>
      <w:r>
        <w:instrText xml:space="preserve"> PAGEREF _Toc187932554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6B — Discrimination</w:t>
      </w:r>
    </w:p>
    <w:p>
      <w:pPr>
        <w:pStyle w:val="TOC8"/>
        <w:rPr>
          <w:rFonts w:asciiTheme="minorHAnsi" w:eastAsiaTheme="minorEastAsia" w:hAnsiTheme="minorHAnsi" w:cstheme="minorBidi"/>
          <w:szCs w:val="22"/>
        </w:rPr>
      </w:pPr>
      <w:r>
        <w:t>31D.</w:t>
      </w:r>
      <w:r>
        <w:tab/>
        <w:t>Discrimination against owner</w:t>
      </w:r>
      <w:r>
        <w:noBreakHyphen/>
        <w:t>driver</w:t>
      </w:r>
      <w:r>
        <w:tab/>
      </w:r>
      <w:r>
        <w:fldChar w:fldCharType="begin"/>
      </w:r>
      <w:r>
        <w:instrText xml:space="preserve"> PAGEREF _Toc187932556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_Toc187932558 \h </w:instrText>
      </w:r>
      <w:r>
        <w:fldChar w:fldCharType="separate"/>
      </w:r>
      <w:r>
        <w:t>27</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_Toc187932559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Rights of entry, inspection and access to records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33A.</w:t>
      </w:r>
      <w:r>
        <w:tab/>
        <w:t>Term used: record</w:t>
      </w:r>
      <w:r>
        <w:tab/>
      </w:r>
      <w:r>
        <w:fldChar w:fldCharType="begin"/>
      </w:r>
      <w:r>
        <w:instrText xml:space="preserve"> PAGEREF _Toc187932562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Access to records</w:t>
      </w:r>
    </w:p>
    <w:p>
      <w:pPr>
        <w:pStyle w:val="TOC8"/>
        <w:rPr>
          <w:rFonts w:asciiTheme="minorHAnsi" w:eastAsiaTheme="minorEastAsia" w:hAnsiTheme="minorHAnsi" w:cstheme="minorBidi"/>
          <w:szCs w:val="22"/>
        </w:rPr>
      </w:pPr>
      <w:r>
        <w:t>34.</w:t>
      </w:r>
      <w:r>
        <w:tab/>
        <w:t>Access to and inspection of records</w:t>
      </w:r>
      <w:r>
        <w:tab/>
      </w:r>
      <w:r>
        <w:fldChar w:fldCharType="begin"/>
      </w:r>
      <w:r>
        <w:instrText xml:space="preserve"> PAGEREF _Toc187932564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Authorised representative’s right of entry to conduct investigation</w:t>
      </w:r>
    </w:p>
    <w:p>
      <w:pPr>
        <w:pStyle w:val="TOC8"/>
        <w:rPr>
          <w:rFonts w:asciiTheme="minorHAnsi" w:eastAsiaTheme="minorEastAsia" w:hAnsiTheme="minorHAnsi" w:cstheme="minorBidi"/>
          <w:szCs w:val="22"/>
        </w:rPr>
      </w:pPr>
      <w:r>
        <w:t>34A.</w:t>
      </w:r>
      <w:r>
        <w:tab/>
        <w:t>Terms used</w:t>
      </w:r>
      <w:r>
        <w:tab/>
      </w:r>
      <w:r>
        <w:fldChar w:fldCharType="begin"/>
      </w:r>
      <w:r>
        <w:instrText xml:space="preserve"> PAGEREF _Toc187932566 \h </w:instrText>
      </w:r>
      <w:r>
        <w:fldChar w:fldCharType="separate"/>
      </w:r>
      <w:r>
        <w:t>29</w:t>
      </w:r>
      <w:r>
        <w:fldChar w:fldCharType="end"/>
      </w:r>
    </w:p>
    <w:p>
      <w:pPr>
        <w:pStyle w:val="TOC8"/>
        <w:rPr>
          <w:rFonts w:asciiTheme="minorHAnsi" w:eastAsiaTheme="minorEastAsia" w:hAnsiTheme="minorHAnsi" w:cstheme="minorBidi"/>
          <w:szCs w:val="22"/>
        </w:rPr>
      </w:pPr>
      <w:r>
        <w:t>34B.</w:t>
      </w:r>
      <w:r>
        <w:tab/>
        <w:t>Authorised representative</w:t>
      </w:r>
      <w:r>
        <w:tab/>
      </w:r>
      <w:r>
        <w:fldChar w:fldCharType="begin"/>
      </w:r>
      <w:r>
        <w:instrText xml:space="preserve"> PAGEREF _Toc187932567 \h </w:instrText>
      </w:r>
      <w:r>
        <w:fldChar w:fldCharType="separate"/>
      </w:r>
      <w:r>
        <w:t>30</w:t>
      </w:r>
      <w:r>
        <w:fldChar w:fldCharType="end"/>
      </w:r>
    </w:p>
    <w:p>
      <w:pPr>
        <w:pStyle w:val="TOC8"/>
        <w:rPr>
          <w:rFonts w:asciiTheme="minorHAnsi" w:eastAsiaTheme="minorEastAsia" w:hAnsiTheme="minorHAnsi" w:cstheme="minorBidi"/>
          <w:szCs w:val="22"/>
        </w:rPr>
      </w:pPr>
      <w:r>
        <w:t>34C.</w:t>
      </w:r>
      <w:r>
        <w:tab/>
        <w:t>Authorised representative who ceases to hold authority or entry permit</w:t>
      </w:r>
      <w:r>
        <w:tab/>
      </w:r>
      <w:r>
        <w:fldChar w:fldCharType="begin"/>
      </w:r>
      <w:r>
        <w:instrText xml:space="preserve"> PAGEREF _Toc187932568 \h </w:instrText>
      </w:r>
      <w:r>
        <w:fldChar w:fldCharType="separate"/>
      </w:r>
      <w:r>
        <w:t>31</w:t>
      </w:r>
      <w:r>
        <w:fldChar w:fldCharType="end"/>
      </w:r>
    </w:p>
    <w:p>
      <w:pPr>
        <w:pStyle w:val="TOC8"/>
        <w:rPr>
          <w:rFonts w:asciiTheme="minorHAnsi" w:eastAsiaTheme="minorEastAsia" w:hAnsiTheme="minorHAnsi" w:cstheme="minorBidi"/>
          <w:szCs w:val="22"/>
        </w:rPr>
      </w:pPr>
      <w:r>
        <w:t>34D.</w:t>
      </w:r>
      <w:r>
        <w:tab/>
        <w:t>Revocation or suspension of authority</w:t>
      </w:r>
      <w:r>
        <w:tab/>
      </w:r>
      <w:r>
        <w:fldChar w:fldCharType="begin"/>
      </w:r>
      <w:r>
        <w:instrText xml:space="preserve"> PAGEREF _Toc187932569 \h </w:instrText>
      </w:r>
      <w:r>
        <w:fldChar w:fldCharType="separate"/>
      </w:r>
      <w:r>
        <w:t>31</w:t>
      </w:r>
      <w:r>
        <w:fldChar w:fldCharType="end"/>
      </w:r>
    </w:p>
    <w:p>
      <w:pPr>
        <w:pStyle w:val="TOC8"/>
        <w:rPr>
          <w:rFonts w:asciiTheme="minorHAnsi" w:eastAsiaTheme="minorEastAsia" w:hAnsiTheme="minorHAnsi" w:cstheme="minorBidi"/>
          <w:szCs w:val="22"/>
        </w:rPr>
      </w:pPr>
      <w:r>
        <w:t>34E.</w:t>
      </w:r>
      <w:r>
        <w:tab/>
        <w:t>Written authority of owner</w:t>
      </w:r>
      <w:r>
        <w:noBreakHyphen/>
        <w:t>driver required</w:t>
      </w:r>
      <w:r>
        <w:tab/>
      </w:r>
      <w:r>
        <w:fldChar w:fldCharType="begin"/>
      </w:r>
      <w:r>
        <w:instrText xml:space="preserve"> PAGEREF _Toc187932570 \h </w:instrText>
      </w:r>
      <w:r>
        <w:fldChar w:fldCharType="separate"/>
      </w:r>
      <w:r>
        <w:t>32</w:t>
      </w:r>
      <w:r>
        <w:fldChar w:fldCharType="end"/>
      </w:r>
    </w:p>
    <w:p>
      <w:pPr>
        <w:pStyle w:val="TOC8"/>
        <w:rPr>
          <w:rFonts w:asciiTheme="minorHAnsi" w:eastAsiaTheme="minorEastAsia" w:hAnsiTheme="minorHAnsi" w:cstheme="minorBidi"/>
          <w:szCs w:val="22"/>
        </w:rPr>
      </w:pPr>
      <w:r>
        <w:t>35.</w:t>
      </w:r>
      <w:r>
        <w:tab/>
        <w:t>Authorised representative’s right of entry</w:t>
      </w:r>
      <w:r>
        <w:tab/>
      </w:r>
      <w:r>
        <w:fldChar w:fldCharType="begin"/>
      </w:r>
      <w:r>
        <w:instrText xml:space="preserve"> PAGEREF _Toc187932571 \h </w:instrText>
      </w:r>
      <w:r>
        <w:fldChar w:fldCharType="separate"/>
      </w:r>
      <w:r>
        <w:t>33</w:t>
      </w:r>
      <w:r>
        <w:fldChar w:fldCharType="end"/>
      </w:r>
    </w:p>
    <w:p>
      <w:pPr>
        <w:pStyle w:val="TOC8"/>
        <w:rPr>
          <w:rFonts w:asciiTheme="minorHAnsi" w:eastAsiaTheme="minorEastAsia" w:hAnsiTheme="minorHAnsi" w:cstheme="minorBidi"/>
          <w:szCs w:val="22"/>
        </w:rPr>
      </w:pPr>
      <w:r>
        <w:t>35A.</w:t>
      </w:r>
      <w:r>
        <w:tab/>
        <w:t>Authority must be shown on request</w:t>
      </w:r>
      <w:r>
        <w:tab/>
      </w:r>
      <w:r>
        <w:fldChar w:fldCharType="begin"/>
      </w:r>
      <w:r>
        <w:instrText xml:space="preserve"> PAGEREF _Toc187932572 \h </w:instrText>
      </w:r>
      <w:r>
        <w:fldChar w:fldCharType="separate"/>
      </w:r>
      <w:r>
        <w:t>33</w:t>
      </w:r>
      <w:r>
        <w:fldChar w:fldCharType="end"/>
      </w:r>
    </w:p>
    <w:p>
      <w:pPr>
        <w:pStyle w:val="TOC8"/>
        <w:rPr>
          <w:rFonts w:asciiTheme="minorHAnsi" w:eastAsiaTheme="minorEastAsia" w:hAnsiTheme="minorHAnsi" w:cstheme="minorBidi"/>
          <w:szCs w:val="22"/>
        </w:rPr>
      </w:pPr>
      <w:r>
        <w:t>35B.</w:t>
      </w:r>
      <w:r>
        <w:tab/>
        <w:t>Conduct in workplace</w:t>
      </w:r>
      <w:r>
        <w:tab/>
      </w:r>
      <w:r>
        <w:fldChar w:fldCharType="begin"/>
      </w:r>
      <w:r>
        <w:instrText xml:space="preserve"> PAGEREF _Toc187932573 \h </w:instrText>
      </w:r>
      <w:r>
        <w:fldChar w:fldCharType="separate"/>
      </w:r>
      <w:r>
        <w:t>33</w:t>
      </w:r>
      <w:r>
        <w:fldChar w:fldCharType="end"/>
      </w:r>
    </w:p>
    <w:p>
      <w:pPr>
        <w:pStyle w:val="TOC8"/>
        <w:rPr>
          <w:rFonts w:asciiTheme="minorHAnsi" w:eastAsiaTheme="minorEastAsia" w:hAnsiTheme="minorHAnsi" w:cstheme="minorBidi"/>
          <w:szCs w:val="22"/>
        </w:rPr>
      </w:pPr>
      <w:r>
        <w:t>35C.</w:t>
      </w:r>
      <w:r>
        <w:tab/>
        <w:t>Authorised representative’s powers relating to production and inspection of records or other documents</w:t>
      </w:r>
      <w:r>
        <w:tab/>
      </w:r>
      <w:r>
        <w:fldChar w:fldCharType="begin"/>
      </w:r>
      <w:r>
        <w:instrText xml:space="preserve"> PAGEREF _Toc187932574 \h </w:instrText>
      </w:r>
      <w:r>
        <w:fldChar w:fldCharType="separate"/>
      </w:r>
      <w:r>
        <w:t>34</w:t>
      </w:r>
      <w:r>
        <w:fldChar w:fldCharType="end"/>
      </w:r>
    </w:p>
    <w:p>
      <w:pPr>
        <w:pStyle w:val="TOC8"/>
        <w:rPr>
          <w:rFonts w:asciiTheme="minorHAnsi" w:eastAsiaTheme="minorEastAsia" w:hAnsiTheme="minorHAnsi" w:cstheme="minorBidi"/>
          <w:szCs w:val="22"/>
        </w:rPr>
      </w:pPr>
      <w:r>
        <w:t>36.</w:t>
      </w:r>
      <w:r>
        <w:tab/>
        <w:t>Prohibiting obstruction or delay of exercise of power</w:t>
      </w:r>
      <w:r>
        <w:tab/>
      </w:r>
      <w:r>
        <w:fldChar w:fldCharType="begin"/>
      </w:r>
      <w:r>
        <w:instrText xml:space="preserve"> PAGEREF _Toc187932575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_Toc187932577 \h </w:instrText>
      </w:r>
      <w:r>
        <w:fldChar w:fldCharType="separate"/>
      </w:r>
      <w:r>
        <w:t>36</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_Toc187932578 \h </w:instrText>
      </w:r>
      <w:r>
        <w:fldChar w:fldCharType="separate"/>
      </w:r>
      <w:r>
        <w:t>36</w:t>
      </w:r>
      <w:r>
        <w:fldChar w:fldCharType="end"/>
      </w:r>
    </w:p>
    <w:p>
      <w:pPr>
        <w:pStyle w:val="TOC8"/>
        <w:rPr>
          <w:rFonts w:asciiTheme="minorHAnsi" w:eastAsiaTheme="minorEastAsia" w:hAnsiTheme="minorHAnsi" w:cstheme="minorBidi"/>
          <w:szCs w:val="22"/>
        </w:rPr>
      </w:pPr>
      <w:r>
        <w:t>38A.</w:t>
      </w:r>
      <w:r>
        <w:tab/>
        <w:t>Tribunal’s power to make summary determination</w:t>
      </w:r>
      <w:r>
        <w:tab/>
      </w:r>
      <w:r>
        <w:fldChar w:fldCharType="begin"/>
      </w:r>
      <w:r>
        <w:instrText xml:space="preserve"> PAGEREF _Toc187932579 \h </w:instrText>
      </w:r>
      <w:r>
        <w:fldChar w:fldCharType="separate"/>
      </w:r>
      <w:r>
        <w:t>37</w:t>
      </w:r>
      <w:r>
        <w:fldChar w:fldCharType="end"/>
      </w:r>
    </w:p>
    <w:p>
      <w:pPr>
        <w:pStyle w:val="TOC8"/>
        <w:rPr>
          <w:rFonts w:asciiTheme="minorHAnsi" w:eastAsiaTheme="minorEastAsia" w:hAnsiTheme="minorHAnsi" w:cstheme="minorBidi"/>
          <w:szCs w:val="22"/>
        </w:rPr>
      </w:pPr>
      <w:r>
        <w:t>38B.</w:t>
      </w:r>
      <w:r>
        <w:tab/>
        <w:t>Tribunal’s power to make default determination</w:t>
      </w:r>
      <w:r>
        <w:tab/>
      </w:r>
      <w:r>
        <w:fldChar w:fldCharType="begin"/>
      </w:r>
      <w:r>
        <w:instrText xml:space="preserve"> PAGEREF _Toc187932580 \h </w:instrText>
      </w:r>
      <w:r>
        <w:fldChar w:fldCharType="separate"/>
      </w:r>
      <w:r>
        <w:t>38</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_Toc187932581 \h </w:instrText>
      </w:r>
      <w:r>
        <w:fldChar w:fldCharType="separate"/>
      </w:r>
      <w:r>
        <w:t>39</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_Toc187932582 \h </w:instrText>
      </w:r>
      <w:r>
        <w:fldChar w:fldCharType="separate"/>
      </w:r>
      <w:r>
        <w:t>39</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_Toc187932583 \h </w:instrText>
      </w:r>
      <w:r>
        <w:fldChar w:fldCharType="separate"/>
      </w:r>
      <w:r>
        <w:t>40</w:t>
      </w:r>
      <w:r>
        <w:fldChar w:fldCharType="end"/>
      </w:r>
    </w:p>
    <w:p>
      <w:pPr>
        <w:pStyle w:val="TOC8"/>
        <w:rPr>
          <w:rFonts w:asciiTheme="minorHAnsi" w:eastAsiaTheme="minorEastAsia" w:hAnsiTheme="minorHAnsi" w:cstheme="minorBidi"/>
          <w:szCs w:val="22"/>
        </w:rPr>
      </w:pPr>
      <w:r>
        <w:t>41A.</w:t>
      </w:r>
      <w:r>
        <w:tab/>
        <w:t>When referral not required</w:t>
      </w:r>
      <w:r>
        <w:tab/>
      </w:r>
      <w:r>
        <w:fldChar w:fldCharType="begin"/>
      </w:r>
      <w:r>
        <w:instrText xml:space="preserve"> PAGEREF _Toc187932584 \h </w:instrText>
      </w:r>
      <w:r>
        <w:fldChar w:fldCharType="separate"/>
      </w:r>
      <w:r>
        <w:t>40</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_Toc187932585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Applied provisions: practice, procedure and appeals</w:t>
      </w:r>
      <w:r>
        <w:tab/>
      </w:r>
      <w:r>
        <w:fldChar w:fldCharType="begin"/>
      </w:r>
      <w:r>
        <w:instrText xml:space="preserve"> PAGEREF _Toc187932586 \h </w:instrText>
      </w:r>
      <w:r>
        <w:fldChar w:fldCharType="separate"/>
      </w:r>
      <w:r>
        <w:t>41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_Toc187932587 \h </w:instrText>
      </w:r>
      <w:r>
        <w:fldChar w:fldCharType="separate"/>
      </w:r>
      <w:r>
        <w:t>42</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_Toc187932588 \h </w:instrText>
      </w:r>
      <w:r>
        <w:fldChar w:fldCharType="separate"/>
      </w:r>
      <w:r>
        <w:t>43</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_Toc187932589 \h </w:instrText>
      </w:r>
      <w:r>
        <w:fldChar w:fldCharType="separate"/>
      </w:r>
      <w:r>
        <w:t>44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_Toc187932590 \h </w:instrText>
      </w:r>
      <w:r>
        <w:fldChar w:fldCharType="separate"/>
      </w:r>
      <w:r>
        <w:t>45</w:t>
      </w:r>
      <w:r>
        <w:fldChar w:fldCharType="end"/>
      </w:r>
    </w:p>
    <w:p>
      <w:pPr>
        <w:pStyle w:val="TOC8"/>
        <w:rPr>
          <w:rFonts w:asciiTheme="minorHAnsi" w:eastAsiaTheme="minorEastAsia" w:hAnsiTheme="minorHAnsi" w:cstheme="minorBidi"/>
          <w:szCs w:val="22"/>
        </w:rPr>
      </w:pPr>
      <w:r>
        <w:t>47A.</w:t>
      </w:r>
      <w:r>
        <w:tab/>
        <w:t>Remedies that may be given</w:t>
      </w:r>
      <w:r>
        <w:tab/>
      </w:r>
      <w:r>
        <w:fldChar w:fldCharType="begin"/>
      </w:r>
      <w:r>
        <w:instrText xml:space="preserve"> PAGEREF _Toc187932591 \h </w:instrText>
      </w:r>
      <w:r>
        <w:fldChar w:fldCharType="separate"/>
      </w:r>
      <w:r>
        <w:t>45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_Toc187932592 \h </w:instrText>
      </w:r>
      <w:r>
        <w:fldChar w:fldCharType="separate"/>
      </w:r>
      <w:r>
        <w:t>46</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_Toc187932593 \h </w:instrText>
      </w:r>
      <w:r>
        <w:fldChar w:fldCharType="separate"/>
      </w:r>
      <w:r>
        <w:t>47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_Toc187932594 \h </w:instrText>
      </w:r>
      <w:r>
        <w:fldChar w:fldCharType="separate"/>
      </w:r>
      <w:r>
        <w:t>48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_Toc187932595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_Toc187932597 \h </w:instrText>
      </w:r>
      <w:r>
        <w:fldChar w:fldCharType="separate"/>
      </w:r>
      <w:r>
        <w:t>50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_Toc187932598 \h </w:instrText>
      </w:r>
      <w:r>
        <w:fldChar w:fldCharType="separate"/>
      </w:r>
      <w:r>
        <w:t>51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_Toc187932599 \h </w:instrText>
      </w:r>
      <w:r>
        <w:fldChar w:fldCharType="separate"/>
      </w:r>
      <w:r>
        <w:t>51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_Toc187932600 \h </w:instrText>
      </w:r>
      <w:r>
        <w:fldChar w:fldCharType="separate"/>
      </w:r>
      <w:r>
        <w:t>52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_Toc187932601 \h </w:instrText>
      </w:r>
      <w:r>
        <w:fldChar w:fldCharType="separate"/>
      </w:r>
      <w:r>
        <w:t>52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_Toc187932602 \h </w:instrText>
      </w:r>
      <w:r>
        <w:fldChar w:fldCharType="separate"/>
      </w:r>
      <w:r>
        <w:t>52</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_Toc187932603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60.</w:t>
      </w:r>
      <w:r>
        <w:tab/>
        <w:t>Notice of termination before commencement day</w:t>
      </w:r>
      <w:r>
        <w:tab/>
      </w:r>
      <w:r>
        <w:fldChar w:fldCharType="begin"/>
      </w:r>
      <w:r>
        <w:instrText xml:space="preserve"> PAGEREF _Toc187932605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_Toc187932608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_Toc187932610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_Toc187932612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Termination of contract</w:t>
      </w:r>
    </w:p>
    <w:p>
      <w:pPr>
        <w:pStyle w:val="TOC8"/>
        <w:rPr>
          <w:rFonts w:asciiTheme="minorHAnsi" w:eastAsiaTheme="minorEastAsia" w:hAnsiTheme="minorHAnsi" w:cstheme="minorBidi"/>
          <w:szCs w:val="22"/>
        </w:rPr>
      </w:pPr>
      <w:r>
        <w:t>4.</w:t>
      </w:r>
      <w:r>
        <w:tab/>
        <w:t>Notice of termination</w:t>
      </w:r>
      <w:r>
        <w:tab/>
      </w:r>
      <w:r>
        <w:fldChar w:fldCharType="begin"/>
      </w:r>
      <w:r>
        <w:instrText xml:space="preserve"> PAGEREF _Toc187932614 \h </w:instrText>
      </w:r>
      <w:r>
        <w:fldChar w:fldCharType="separate"/>
      </w:r>
      <w:r>
        <w:t>56</w:t>
      </w:r>
      <w:r>
        <w:fldChar w:fldCharType="end"/>
      </w:r>
    </w:p>
    <w:p>
      <w:pPr>
        <w:pStyle w:val="TOC8"/>
        <w:rPr>
          <w:rFonts w:asciiTheme="minorHAnsi" w:eastAsiaTheme="minorEastAsia" w:hAnsiTheme="minorHAnsi" w:cstheme="minorBidi"/>
          <w:szCs w:val="22"/>
        </w:rPr>
      </w:pPr>
      <w:r>
        <w:t>5.</w:t>
      </w:r>
      <w:r>
        <w:tab/>
        <w:t>Payment in lieu of notice</w:t>
      </w:r>
      <w:r>
        <w:tab/>
      </w:r>
      <w:r>
        <w:fldChar w:fldCharType="begin"/>
      </w:r>
      <w:r>
        <w:instrText xml:space="preserve"> PAGEREF _Toc187932615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_Toc187932618 \h </w:instrText>
      </w:r>
      <w:r>
        <w:fldChar w:fldCharType="separate"/>
      </w:r>
      <w:r>
        <w:t>58</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_Toc187932619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_Toc187932620 \h </w:instrText>
      </w:r>
      <w:r>
        <w:fldChar w:fldCharType="separate"/>
      </w:r>
      <w:r>
        <w:t>58</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_Toc187932621 \h </w:instrText>
      </w:r>
      <w:r>
        <w:fldChar w:fldCharType="separate"/>
      </w:r>
      <w:r>
        <w:t>59</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_Toc187932622 \h </w:instrText>
      </w:r>
      <w:r>
        <w:fldChar w:fldCharType="separate"/>
      </w:r>
      <w:r>
        <w:t>59</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_Toc187932623 \h </w:instrText>
      </w:r>
      <w:r>
        <w:fldChar w:fldCharType="separate"/>
      </w:r>
      <w:r>
        <w:t>59</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_Toc187932624 \h </w:instrText>
      </w:r>
      <w:r>
        <w:fldChar w:fldCharType="separate"/>
      </w:r>
      <w:r>
        <w:t>60</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_Toc187932625 \h </w:instrText>
      </w:r>
      <w:r>
        <w:fldChar w:fldCharType="separate"/>
      </w:r>
      <w:r>
        <w:t>60</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_Toc187932626 \h </w:instrText>
      </w:r>
      <w:r>
        <w:fldChar w:fldCharType="separate"/>
      </w:r>
      <w:r>
        <w:t>60</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_Toc187932627 \h </w:instrText>
      </w:r>
      <w:r>
        <w:fldChar w:fldCharType="separate"/>
      </w:r>
      <w:r>
        <w:t>60</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_Toc187932628 \h </w:instrText>
      </w:r>
      <w:r>
        <w:fldChar w:fldCharType="separate"/>
      </w:r>
      <w:r>
        <w:t>60</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_Toc187932629 \h </w:instrText>
      </w:r>
      <w:r>
        <w:fldChar w:fldCharType="separate"/>
      </w:r>
      <w:r>
        <w:t>60</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_Toc187932630 \h </w:instrText>
      </w:r>
      <w:r>
        <w:fldChar w:fldCharType="separate"/>
      </w:r>
      <w:r>
        <w:t>61</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_Toc187932631 \h </w:instrText>
      </w:r>
      <w:r>
        <w:fldChar w:fldCharType="separate"/>
      </w:r>
      <w:r>
        <w:t>61</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_Toc187932632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_Toc187932634 \h </w:instrText>
      </w:r>
      <w:r>
        <w:fldChar w:fldCharType="separate"/>
      </w:r>
      <w:r>
        <w:t>61</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_Toc187932635 \h </w:instrText>
      </w:r>
      <w:r>
        <w:fldChar w:fldCharType="separate"/>
      </w:r>
      <w:r>
        <w:t>62</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_Toc187932636 \h </w:instrText>
      </w:r>
      <w:r>
        <w:fldChar w:fldCharType="separate"/>
      </w:r>
      <w:r>
        <w:t>62</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_Toc187932637 \h </w:instrText>
      </w:r>
      <w:r>
        <w:fldChar w:fldCharType="separate"/>
      </w:r>
      <w:r>
        <w:t>62</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_Toc187932638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_Toc187932640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_Toc187932641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87917829"/>
      <w:bookmarkStart w:id="3" w:name="_Toc187918214"/>
      <w:bookmarkStart w:id="4" w:name="_Toc1879325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7932511"/>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6" w:name="_Toc187932512"/>
      <w:r>
        <w:rPr>
          <w:rStyle w:val="CharSectno"/>
        </w:rPr>
        <w:t>2</w:t>
      </w:r>
      <w:r>
        <w:rPr>
          <w:snapToGrid w:val="0"/>
        </w:rPr>
        <w:t>.</w:t>
      </w:r>
      <w:r>
        <w:rPr>
          <w:snapToGrid w:val="0"/>
        </w:rPr>
        <w:tab/>
      </w:r>
      <w:r>
        <w:t>Commencement</w:t>
      </w:r>
      <w:bookmarkEnd w:id="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7" w:name="_Toc187932513"/>
      <w:r>
        <w:rPr>
          <w:rStyle w:val="CharSectno"/>
        </w:rPr>
        <w:t>3</w:t>
      </w:r>
      <w:r>
        <w:t>.</w:t>
      </w:r>
      <w:r>
        <w:tab/>
        <w:t>Terms used</w:t>
      </w:r>
      <w:bookmarkEnd w:id="7"/>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lastRenderedPageBreak/>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8" w:name="_Toc187932514"/>
      <w:r>
        <w:rPr>
          <w:rStyle w:val="CharSectno"/>
        </w:rPr>
        <w:t>4</w:t>
      </w:r>
      <w:r>
        <w:t>.</w:t>
      </w:r>
      <w:r>
        <w:tab/>
        <w:t>Term used: owner-driver</w:t>
      </w:r>
      <w:bookmarkEnd w:id="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lastRenderedPageBreak/>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9" w:name="_Toc187932515"/>
      <w:r>
        <w:rPr>
          <w:rStyle w:val="CharSectno"/>
        </w:rPr>
        <w:t>5</w:t>
      </w:r>
      <w:r>
        <w:t>.</w:t>
      </w:r>
      <w:r>
        <w:tab/>
        <w:t>Term used: owner</w:t>
      </w:r>
      <w:r>
        <w:noBreakHyphen/>
        <w:t>driver contract</w:t>
      </w:r>
      <w:bookmarkEnd w:id="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0" w:name="_Toc187932516"/>
      <w:r>
        <w:rPr>
          <w:rStyle w:val="CharSectno"/>
        </w:rPr>
        <w:t>6</w:t>
      </w:r>
      <w:r>
        <w:t>.</w:t>
      </w:r>
      <w:r>
        <w:tab/>
        <w:t>Application of Act</w:t>
      </w:r>
      <w:bookmarkEnd w:id="1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lastRenderedPageBreak/>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1" w:name="_Toc187932517"/>
      <w:r>
        <w:rPr>
          <w:rStyle w:val="CharSectno"/>
        </w:rPr>
        <w:t>7</w:t>
      </w:r>
      <w:r>
        <w:t>.</w:t>
      </w:r>
      <w:r>
        <w:tab/>
        <w:t>Act prevails over owner</w:t>
      </w:r>
      <w:r>
        <w:noBreakHyphen/>
        <w:t>driver contracts</w:t>
      </w:r>
      <w:bookmarkEnd w:id="1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 xml:space="preserve">driver contract that is contrary to or </w:t>
      </w:r>
      <w:r>
        <w:lastRenderedPageBreak/>
        <w:t>inconsistent with a provision of this Act or the code of conduct prevails to the extent of the inconsistency.</w:t>
      </w:r>
    </w:p>
    <w:p>
      <w:pPr>
        <w:pStyle w:val="Heading5"/>
      </w:pPr>
      <w:bookmarkStart w:id="12" w:name="_Toc187932518"/>
      <w:r>
        <w:rPr>
          <w:rStyle w:val="CharSectno"/>
        </w:rPr>
        <w:t>8</w:t>
      </w:r>
      <w:r>
        <w:t>.</w:t>
      </w:r>
      <w:r>
        <w:tab/>
        <w:t>Act binds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187917838"/>
      <w:bookmarkStart w:id="14" w:name="_Toc187918223"/>
      <w:bookmarkStart w:id="15" w:name="_Toc187932519"/>
      <w:r>
        <w:rPr>
          <w:rStyle w:val="CharPartNo"/>
        </w:rPr>
        <w:lastRenderedPageBreak/>
        <w:t>Part 2</w:t>
      </w:r>
      <w:r>
        <w:t> — </w:t>
      </w:r>
      <w:r>
        <w:rPr>
          <w:rStyle w:val="CharPartText"/>
        </w:rPr>
        <w:t>Content of owner</w:t>
      </w:r>
      <w:r>
        <w:rPr>
          <w:rStyle w:val="CharPartText"/>
        </w:rPr>
        <w:noBreakHyphen/>
        <w:t>driver contracts</w:t>
      </w:r>
      <w:bookmarkEnd w:id="13"/>
      <w:bookmarkEnd w:id="14"/>
      <w:bookmarkEnd w:id="15"/>
    </w:p>
    <w:p>
      <w:pPr>
        <w:pStyle w:val="Heading3"/>
      </w:pPr>
      <w:bookmarkStart w:id="16" w:name="_Toc187917839"/>
      <w:bookmarkStart w:id="17" w:name="_Toc187918224"/>
      <w:bookmarkStart w:id="18" w:name="_Toc187932520"/>
      <w:r>
        <w:rPr>
          <w:rStyle w:val="CharDivNo"/>
        </w:rPr>
        <w:t>Division 1</w:t>
      </w:r>
      <w:r>
        <w:t> — </w:t>
      </w:r>
      <w:r>
        <w:rPr>
          <w:rStyle w:val="CharDivText"/>
        </w:rPr>
        <w:t>Prohibited provisions</w:t>
      </w:r>
      <w:bookmarkEnd w:id="16"/>
      <w:bookmarkEnd w:id="17"/>
      <w:bookmarkEnd w:id="18"/>
    </w:p>
    <w:p>
      <w:pPr>
        <w:pStyle w:val="Heading5"/>
      </w:pPr>
      <w:bookmarkStart w:id="19" w:name="_Toc187932521"/>
      <w:r>
        <w:rPr>
          <w:rStyle w:val="CharSectno"/>
        </w:rPr>
        <w:t>9</w:t>
      </w:r>
      <w:r>
        <w:t>.</w:t>
      </w:r>
      <w:r>
        <w:tab/>
        <w:t>Prohibited: pay if paid/when paid provisions</w:t>
      </w:r>
      <w:bookmarkEnd w:id="1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0" w:name="_Toc187932522"/>
      <w:r>
        <w:rPr>
          <w:rStyle w:val="CharSectno"/>
        </w:rPr>
        <w:t>10</w:t>
      </w:r>
      <w:r>
        <w:t>.</w:t>
      </w:r>
      <w:r>
        <w:tab/>
        <w:t>Prohibited: provisions requiring payment to be made after 30 days</w:t>
      </w:r>
      <w:bookmarkEnd w:id="2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1" w:name="_Toc187932523"/>
      <w:r>
        <w:rPr>
          <w:rStyle w:val="CharSectno"/>
        </w:rPr>
        <w:t>10A</w:t>
      </w:r>
      <w:r>
        <w:t>.</w:t>
      </w:r>
      <w:r>
        <w:tab/>
        <w:t>Prohibited: provisions allowing less than minimum notice period</w:t>
      </w:r>
      <w:bookmarkEnd w:id="21"/>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22" w:name="_Toc187932524"/>
      <w:r>
        <w:rPr>
          <w:rStyle w:val="CharSectno"/>
        </w:rPr>
        <w:t>11</w:t>
      </w:r>
      <w:r>
        <w:t>.</w:t>
      </w:r>
      <w:r>
        <w:tab/>
        <w:t>Prohibited: prescribed provisions</w:t>
      </w:r>
      <w:bookmarkEnd w:id="2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3" w:name="_Toc187932525"/>
      <w:r>
        <w:rPr>
          <w:rStyle w:val="CharSectno"/>
        </w:rPr>
        <w:t>12</w:t>
      </w:r>
      <w:r>
        <w:t>.</w:t>
      </w:r>
      <w:r>
        <w:tab/>
        <w:t>Other provisions of contract not affected</w:t>
      </w:r>
      <w:bookmarkEnd w:id="23"/>
    </w:p>
    <w:p>
      <w:pPr>
        <w:pStyle w:val="Subsection"/>
      </w:pPr>
      <w:r>
        <w:tab/>
      </w:r>
      <w:r>
        <w:tab/>
        <w:t>A provision in an owner</w:t>
      </w:r>
      <w:r>
        <w:noBreakHyphen/>
        <w:t xml:space="preserve">driver contract that has no effect because of section 9 or 11 or that is amended under section 10 </w:t>
      </w:r>
      <w:r>
        <w:lastRenderedPageBreak/>
        <w:t>does not prejudice or affect the operation of other provisions of the contract.</w:t>
      </w:r>
    </w:p>
    <w:p>
      <w:pPr>
        <w:pStyle w:val="Heading3"/>
      </w:pPr>
      <w:bookmarkStart w:id="24" w:name="_Toc187917845"/>
      <w:bookmarkStart w:id="25" w:name="_Toc187918230"/>
      <w:bookmarkStart w:id="26" w:name="_Toc187932526"/>
      <w:r>
        <w:rPr>
          <w:rStyle w:val="CharDivNo"/>
        </w:rPr>
        <w:t>Division 2</w:t>
      </w:r>
      <w:r>
        <w:t> — </w:t>
      </w:r>
      <w:r>
        <w:rPr>
          <w:rStyle w:val="CharDivText"/>
        </w:rPr>
        <w:t>Implied provisions</w:t>
      </w:r>
      <w:bookmarkEnd w:id="24"/>
      <w:bookmarkEnd w:id="25"/>
      <w:bookmarkEnd w:id="26"/>
    </w:p>
    <w:p>
      <w:pPr>
        <w:pStyle w:val="Heading5"/>
      </w:pPr>
      <w:bookmarkStart w:id="27" w:name="_Toc187932527"/>
      <w:r>
        <w:rPr>
          <w:rStyle w:val="CharSectno"/>
        </w:rPr>
        <w:t>13</w:t>
      </w:r>
      <w:r>
        <w:t>.</w:t>
      </w:r>
      <w:r>
        <w:tab/>
        <w:t>Time for payment</w:t>
      </w:r>
      <w:bookmarkEnd w:id="27"/>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8" w:name="_Toc187932528"/>
      <w:r>
        <w:rPr>
          <w:rStyle w:val="CharSectno"/>
        </w:rPr>
        <w:t>14</w:t>
      </w:r>
      <w:r>
        <w:t>.</w:t>
      </w:r>
      <w:r>
        <w:tab/>
        <w:t>Interest on overdue payments</w:t>
      </w:r>
      <w:bookmarkEnd w:id="2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9" w:name="_Toc187932529"/>
      <w:r>
        <w:rPr>
          <w:rStyle w:val="CharSectno"/>
        </w:rPr>
        <w:t>15</w:t>
      </w:r>
      <w:r>
        <w:t>.</w:t>
      </w:r>
      <w:r>
        <w:tab/>
        <w:t>Making payment claims</w:t>
      </w:r>
      <w:bookmarkEnd w:id="2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0" w:name="_Toc187932530"/>
      <w:r>
        <w:rPr>
          <w:rStyle w:val="CharSectno"/>
        </w:rPr>
        <w:t>15A</w:t>
      </w:r>
      <w:r>
        <w:t>.</w:t>
      </w:r>
      <w:r>
        <w:tab/>
        <w:t>Minimum period of notice for terminating contract</w:t>
      </w:r>
      <w:bookmarkEnd w:id="30"/>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31" w:name="_Toc187932531"/>
      <w:r>
        <w:rPr>
          <w:rStyle w:val="CharSectno"/>
        </w:rPr>
        <w:t>16</w:t>
      </w:r>
      <w:r>
        <w:t>.</w:t>
      </w:r>
      <w:r>
        <w:tab/>
        <w:t>Interpretation of implied provisions</w:t>
      </w:r>
      <w:bookmarkEnd w:id="3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2" w:name="_Toc187917851"/>
      <w:bookmarkStart w:id="33" w:name="_Toc187918236"/>
      <w:bookmarkStart w:id="34" w:name="_Toc187932532"/>
      <w:r>
        <w:rPr>
          <w:rStyle w:val="CharPartNo"/>
        </w:rPr>
        <w:lastRenderedPageBreak/>
        <w:t>Part 3</w:t>
      </w:r>
      <w:r>
        <w:rPr>
          <w:rStyle w:val="CharDivNo"/>
        </w:rPr>
        <w:t> </w:t>
      </w:r>
      <w:r>
        <w:t>—</w:t>
      </w:r>
      <w:r>
        <w:rPr>
          <w:rStyle w:val="CharDivText"/>
        </w:rPr>
        <w:t> </w:t>
      </w:r>
      <w:r>
        <w:rPr>
          <w:rStyle w:val="CharPartText"/>
        </w:rPr>
        <w:t>Road Freight Transport Industry Council</w:t>
      </w:r>
      <w:bookmarkEnd w:id="32"/>
      <w:bookmarkEnd w:id="33"/>
      <w:bookmarkEnd w:id="34"/>
    </w:p>
    <w:p>
      <w:pPr>
        <w:pStyle w:val="Heading5"/>
      </w:pPr>
      <w:bookmarkStart w:id="35" w:name="_Toc187932533"/>
      <w:r>
        <w:rPr>
          <w:rStyle w:val="CharSectno"/>
        </w:rPr>
        <w:t>17</w:t>
      </w:r>
      <w:r>
        <w:t>.</w:t>
      </w:r>
      <w:r>
        <w:tab/>
        <w:t>Road Freight Transport Industry Council established</w:t>
      </w:r>
      <w:bookmarkEnd w:id="35"/>
    </w:p>
    <w:p>
      <w:pPr>
        <w:pStyle w:val="Subsection"/>
      </w:pPr>
      <w:r>
        <w:tab/>
      </w:r>
      <w:r>
        <w:tab/>
        <w:t>A body called the Road Freight Transport Industry Council is established.</w:t>
      </w:r>
    </w:p>
    <w:p>
      <w:pPr>
        <w:pStyle w:val="Heading5"/>
      </w:pPr>
      <w:bookmarkStart w:id="36" w:name="_Toc187932534"/>
      <w:r>
        <w:rPr>
          <w:rStyle w:val="CharSectno"/>
        </w:rPr>
        <w:t>18</w:t>
      </w:r>
      <w:r>
        <w:t>.</w:t>
      </w:r>
      <w:r>
        <w:tab/>
        <w:t>Membership of Council</w:t>
      </w:r>
      <w:bookmarkEnd w:id="36"/>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37" w:name="_Toc187932535"/>
      <w:r>
        <w:rPr>
          <w:rStyle w:val="CharSectno"/>
        </w:rPr>
        <w:lastRenderedPageBreak/>
        <w:t>19</w:t>
      </w:r>
      <w:r>
        <w:t>.</w:t>
      </w:r>
      <w:r>
        <w:tab/>
        <w:t>Functions</w:t>
      </w:r>
      <w:bookmarkEnd w:id="3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8" w:name="_Toc187932536"/>
      <w:r>
        <w:rPr>
          <w:rStyle w:val="CharSectno"/>
        </w:rPr>
        <w:t>20</w:t>
      </w:r>
      <w:r>
        <w:t>.</w:t>
      </w:r>
      <w:r>
        <w:tab/>
        <w:t>Powers</w:t>
      </w:r>
      <w:bookmarkEnd w:id="38"/>
    </w:p>
    <w:p>
      <w:pPr>
        <w:pStyle w:val="Subsection"/>
      </w:pPr>
      <w:r>
        <w:tab/>
      </w:r>
      <w:r>
        <w:tab/>
        <w:t>The Council has all the powers it needs to perform its functions.</w:t>
      </w:r>
    </w:p>
    <w:p>
      <w:pPr>
        <w:pStyle w:val="Heading5"/>
      </w:pPr>
      <w:bookmarkStart w:id="39" w:name="_Toc187932537"/>
      <w:r>
        <w:rPr>
          <w:rStyle w:val="CharSectno"/>
        </w:rPr>
        <w:t>21</w:t>
      </w:r>
      <w:r>
        <w:t>.</w:t>
      </w:r>
      <w:r>
        <w:tab/>
        <w:t>Minister may give directions</w:t>
      </w:r>
      <w:bookmarkEnd w:id="3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40" w:name="_Toc187932538"/>
      <w:r>
        <w:rPr>
          <w:rStyle w:val="CharSectno"/>
        </w:rPr>
        <w:t>22</w:t>
      </w:r>
      <w:r>
        <w:t>.</w:t>
      </w:r>
      <w:r>
        <w:tab/>
        <w:t>Minister to have access to information</w:t>
      </w:r>
      <w:bookmarkEnd w:id="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1" w:name="_Toc187932539"/>
      <w:r>
        <w:rPr>
          <w:rStyle w:val="CharSectno"/>
        </w:rPr>
        <w:t>23</w:t>
      </w:r>
      <w:r>
        <w:t>.</w:t>
      </w:r>
      <w:r>
        <w:tab/>
        <w:t>Constitution and proceedings of Council</w:t>
      </w:r>
      <w:bookmarkEnd w:id="41"/>
    </w:p>
    <w:p>
      <w:pPr>
        <w:pStyle w:val="Subsection"/>
      </w:pPr>
      <w:r>
        <w:tab/>
      </w:r>
      <w:r>
        <w:tab/>
        <w:t>Schedule 2 sets out provisions as to the constitution and proceedings of the Council.</w:t>
      </w:r>
    </w:p>
    <w:p>
      <w:pPr>
        <w:pStyle w:val="Heading5"/>
      </w:pPr>
      <w:bookmarkStart w:id="42" w:name="_Toc187932540"/>
      <w:r>
        <w:rPr>
          <w:rStyle w:val="CharSectno"/>
        </w:rPr>
        <w:t>24</w:t>
      </w:r>
      <w:r>
        <w:t>.</w:t>
      </w:r>
      <w:r>
        <w:tab/>
        <w:t>Remuneration and allowances</w:t>
      </w:r>
      <w:bookmarkEnd w:id="42"/>
    </w:p>
    <w:p>
      <w:pPr>
        <w:pStyle w:val="Subsection"/>
        <w:keepNext/>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43" w:name="_Toc187932541"/>
      <w:r>
        <w:rPr>
          <w:rStyle w:val="CharSectno"/>
        </w:rPr>
        <w:t>25</w:t>
      </w:r>
      <w:r>
        <w:t>.</w:t>
      </w:r>
      <w:r>
        <w:tab/>
        <w:t>Department to provide support services to Council</w:t>
      </w:r>
      <w:bookmarkEnd w:id="43"/>
    </w:p>
    <w:p>
      <w:pPr>
        <w:pStyle w:val="Subsection"/>
      </w:pPr>
      <w:r>
        <w:tab/>
      </w:r>
      <w:r>
        <w:tab/>
        <w:t>The Department must provide the Council with any support services that the Council reasonably requires.</w:t>
      </w:r>
    </w:p>
    <w:p>
      <w:pPr>
        <w:pStyle w:val="Heading2"/>
      </w:pPr>
      <w:bookmarkStart w:id="44" w:name="_Toc187917861"/>
      <w:bookmarkStart w:id="45" w:name="_Toc187918246"/>
      <w:bookmarkStart w:id="46" w:name="_Toc187932542"/>
      <w:r>
        <w:rPr>
          <w:rStyle w:val="CharPartNo"/>
        </w:rPr>
        <w:lastRenderedPageBreak/>
        <w:t>Part 4</w:t>
      </w:r>
      <w:r>
        <w:rPr>
          <w:rStyle w:val="CharDivNo"/>
        </w:rPr>
        <w:t> </w:t>
      </w:r>
      <w:r>
        <w:t>—</w:t>
      </w:r>
      <w:r>
        <w:rPr>
          <w:rStyle w:val="CharDivText"/>
        </w:rPr>
        <w:t> </w:t>
      </w:r>
      <w:r>
        <w:rPr>
          <w:rStyle w:val="CharPartText"/>
        </w:rPr>
        <w:t>Code of conduct</w:t>
      </w:r>
      <w:bookmarkEnd w:id="44"/>
      <w:bookmarkEnd w:id="45"/>
      <w:bookmarkEnd w:id="46"/>
    </w:p>
    <w:p>
      <w:pPr>
        <w:pStyle w:val="Heading5"/>
      </w:pPr>
      <w:bookmarkStart w:id="47" w:name="_Toc187932543"/>
      <w:r>
        <w:rPr>
          <w:rStyle w:val="CharSectno"/>
        </w:rPr>
        <w:t>26</w:t>
      </w:r>
      <w:r>
        <w:t>.</w:t>
      </w:r>
      <w:r>
        <w:tab/>
        <w:t>Regulations may prescribe code of conduct</w:t>
      </w:r>
      <w:bookmarkEnd w:id="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8" w:name="_Toc187932544"/>
      <w:r>
        <w:rPr>
          <w:rStyle w:val="CharSectno"/>
        </w:rPr>
        <w:t>27</w:t>
      </w:r>
      <w:r>
        <w:t>.</w:t>
      </w:r>
      <w:r>
        <w:tab/>
        <w:t>Content of code of conduct</w:t>
      </w:r>
      <w:bookmarkEnd w:id="4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rPr>
        <w:t>Workers Compensation and Injury Management Act 2023</w:t>
      </w:r>
      <w:r>
        <w:t>); and</w:t>
      </w:r>
    </w:p>
    <w:p>
      <w:pPr>
        <w:pStyle w:val="Indenta"/>
        <w:keepNext/>
      </w:pPr>
      <w:r>
        <w:lastRenderedPageBreak/>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pPr>
      <w:r>
        <w:tab/>
        <w:t>[Section 27 amended: No. 21 of 2023 s. 709(2).]</w:t>
      </w:r>
    </w:p>
    <w:p>
      <w:pPr>
        <w:pStyle w:val="Heading2"/>
      </w:pPr>
      <w:bookmarkStart w:id="49" w:name="_Toc187917864"/>
      <w:bookmarkStart w:id="50" w:name="_Toc187918249"/>
      <w:bookmarkStart w:id="51" w:name="_Toc187932545"/>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49"/>
      <w:bookmarkEnd w:id="50"/>
      <w:bookmarkEnd w:id="51"/>
    </w:p>
    <w:p>
      <w:pPr>
        <w:pStyle w:val="Heading5"/>
      </w:pPr>
      <w:bookmarkStart w:id="52" w:name="_Toc187932546"/>
      <w:r>
        <w:rPr>
          <w:rStyle w:val="CharSectno"/>
        </w:rPr>
        <w:t>28</w:t>
      </w:r>
      <w:r>
        <w:t>.</w:t>
      </w:r>
      <w:r>
        <w:tab/>
        <w:t>Negotiating agents for owner</w:t>
      </w:r>
      <w:r>
        <w:noBreakHyphen/>
        <w:t>drivers</w:t>
      </w:r>
      <w:bookmarkEnd w:id="5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3" w:name="_Toc187932547"/>
      <w:r>
        <w:rPr>
          <w:rStyle w:val="CharSectno"/>
        </w:rPr>
        <w:t>29</w:t>
      </w:r>
      <w:r>
        <w:t>.</w:t>
      </w:r>
      <w:r>
        <w:tab/>
        <w:t>Negotiating agents for hirers</w:t>
      </w:r>
      <w:bookmarkEnd w:id="5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4" w:name="_Toc187917867"/>
      <w:bookmarkStart w:id="55" w:name="_Toc187918252"/>
      <w:bookmarkStart w:id="56" w:name="_Toc187932548"/>
      <w:r>
        <w:rPr>
          <w:rStyle w:val="CharPartNo"/>
        </w:rPr>
        <w:lastRenderedPageBreak/>
        <w:t>Part 6</w:t>
      </w:r>
      <w:r>
        <w:rPr>
          <w:rStyle w:val="CharDivNo"/>
        </w:rPr>
        <w:t> </w:t>
      </w:r>
      <w:r>
        <w:t>—</w:t>
      </w:r>
      <w:r>
        <w:rPr>
          <w:rStyle w:val="CharDivText"/>
        </w:rPr>
        <w:t> </w:t>
      </w:r>
      <w:r>
        <w:rPr>
          <w:rStyle w:val="CharPartText"/>
        </w:rPr>
        <w:t>Unconscionable conduct</w:t>
      </w:r>
      <w:bookmarkEnd w:id="54"/>
      <w:bookmarkEnd w:id="55"/>
      <w:bookmarkEnd w:id="56"/>
    </w:p>
    <w:p>
      <w:pPr>
        <w:pStyle w:val="Heading5"/>
      </w:pPr>
      <w:bookmarkStart w:id="57" w:name="_Toc187932549"/>
      <w:r>
        <w:rPr>
          <w:rStyle w:val="CharSectno"/>
        </w:rPr>
        <w:t>30</w:t>
      </w:r>
      <w:r>
        <w:t>.</w:t>
      </w:r>
      <w:r>
        <w:tab/>
        <w:t>Unconscionable conduct by hirers</w:t>
      </w:r>
      <w:bookmarkEnd w:id="57"/>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58" w:name="_Toc187932550"/>
      <w:r>
        <w:rPr>
          <w:rStyle w:val="CharSectno"/>
        </w:rPr>
        <w:t>31</w:t>
      </w:r>
      <w:r>
        <w:t>.</w:t>
      </w:r>
      <w:r>
        <w:tab/>
        <w:t>Unconscionable conduct by owner</w:t>
      </w:r>
      <w:r>
        <w:noBreakHyphen/>
        <w:t>drivers</w:t>
      </w:r>
      <w:bookmarkEnd w:id="5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w:t>
      </w:r>
      <w:r>
        <w:lastRenderedPageBreak/>
        <w:t xml:space="preserve">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lastRenderedPageBreak/>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59" w:name="_Toc187932551"/>
      <w:r>
        <w:rPr>
          <w:rStyle w:val="CharSectno"/>
        </w:rPr>
        <w:t>31A</w:t>
      </w:r>
      <w:r>
        <w:t>.</w:t>
      </w:r>
      <w:r>
        <w:tab/>
        <w:t>Unfair terms</w:t>
      </w:r>
      <w:bookmarkEnd w:id="59"/>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lastRenderedPageBreak/>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60" w:name="_Toc187917871"/>
      <w:bookmarkStart w:id="61" w:name="_Toc187918256"/>
      <w:bookmarkStart w:id="62" w:name="_Toc187932552"/>
      <w:r>
        <w:rPr>
          <w:rStyle w:val="CharPartNo"/>
        </w:rPr>
        <w:lastRenderedPageBreak/>
        <w:t>Part 6A</w:t>
      </w:r>
      <w:r>
        <w:t> — </w:t>
      </w:r>
      <w:r>
        <w:rPr>
          <w:rStyle w:val="CharPartText"/>
        </w:rPr>
        <w:t>Misleading or deceptive conduct</w:t>
      </w:r>
      <w:bookmarkEnd w:id="60"/>
      <w:bookmarkEnd w:id="61"/>
      <w:bookmarkEnd w:id="62"/>
    </w:p>
    <w:p>
      <w:pPr>
        <w:pStyle w:val="Footnoteheading"/>
      </w:pPr>
      <w:r>
        <w:tab/>
        <w:t>[Heading inserted: No. 36 of 2022 s. 11.]</w:t>
      </w:r>
    </w:p>
    <w:p>
      <w:pPr>
        <w:pStyle w:val="Heading5"/>
      </w:pPr>
      <w:bookmarkStart w:id="63" w:name="_Toc187932553"/>
      <w:r>
        <w:rPr>
          <w:rStyle w:val="CharSectno"/>
        </w:rPr>
        <w:t>31B</w:t>
      </w:r>
      <w:r>
        <w:t>.</w:t>
      </w:r>
      <w:r>
        <w:tab/>
        <w:t>Misleading or deceptive conduct by hirer</w:t>
      </w:r>
      <w:bookmarkEnd w:id="63"/>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64" w:name="_Toc187932554"/>
      <w:r>
        <w:rPr>
          <w:rStyle w:val="CharSectno"/>
        </w:rPr>
        <w:t>31C</w:t>
      </w:r>
      <w:r>
        <w:t>.</w:t>
      </w:r>
      <w:r>
        <w:tab/>
        <w:t>Misleading or deceptive conduct by owner</w:t>
      </w:r>
      <w:r>
        <w:noBreakHyphen/>
        <w:t>driver</w:t>
      </w:r>
      <w:bookmarkEnd w:id="64"/>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65" w:name="_Toc187917874"/>
      <w:bookmarkStart w:id="66" w:name="_Toc187918259"/>
      <w:bookmarkStart w:id="67" w:name="_Toc187932555"/>
      <w:r>
        <w:rPr>
          <w:rStyle w:val="CharPartNo"/>
        </w:rPr>
        <w:lastRenderedPageBreak/>
        <w:t>Part 6B</w:t>
      </w:r>
      <w:r>
        <w:t> — </w:t>
      </w:r>
      <w:r>
        <w:rPr>
          <w:rStyle w:val="CharPartText"/>
        </w:rPr>
        <w:t>Discrimination</w:t>
      </w:r>
      <w:bookmarkEnd w:id="65"/>
      <w:bookmarkEnd w:id="66"/>
      <w:bookmarkEnd w:id="67"/>
    </w:p>
    <w:p>
      <w:pPr>
        <w:pStyle w:val="Footnoteheading"/>
      </w:pPr>
      <w:r>
        <w:tab/>
        <w:t>[Heading inserted: No. 36 of 2022 s. 11.]</w:t>
      </w:r>
    </w:p>
    <w:p>
      <w:pPr>
        <w:pStyle w:val="Heading5"/>
      </w:pPr>
      <w:bookmarkStart w:id="68" w:name="_Toc187932556"/>
      <w:r>
        <w:rPr>
          <w:rStyle w:val="CharSectno"/>
        </w:rPr>
        <w:t>31D</w:t>
      </w:r>
      <w:r>
        <w:t>.</w:t>
      </w:r>
      <w:r>
        <w:tab/>
        <w:t>Discrimination against owner</w:t>
      </w:r>
      <w:r>
        <w:noBreakHyphen/>
        <w:t>driver</w:t>
      </w:r>
      <w:bookmarkEnd w:id="68"/>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lastRenderedPageBreak/>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69" w:name="_Toc187917876"/>
      <w:bookmarkStart w:id="70" w:name="_Toc187918261"/>
      <w:bookmarkStart w:id="71" w:name="_Toc187932557"/>
      <w:r>
        <w:rPr>
          <w:rStyle w:val="CharPartNo"/>
        </w:rPr>
        <w:lastRenderedPageBreak/>
        <w:t>Part 7</w:t>
      </w:r>
      <w:r>
        <w:rPr>
          <w:rStyle w:val="CharDivNo"/>
        </w:rPr>
        <w:t> </w:t>
      </w:r>
      <w:r>
        <w:t>—</w:t>
      </w:r>
      <w:r>
        <w:rPr>
          <w:rStyle w:val="CharDivText"/>
        </w:rPr>
        <w:t> </w:t>
      </w:r>
      <w:r>
        <w:rPr>
          <w:rStyle w:val="CharPartText"/>
        </w:rPr>
        <w:t>Inspectors</w:t>
      </w:r>
      <w:bookmarkEnd w:id="69"/>
      <w:bookmarkEnd w:id="70"/>
      <w:bookmarkEnd w:id="71"/>
    </w:p>
    <w:p>
      <w:pPr>
        <w:pStyle w:val="Heading5"/>
      </w:pPr>
      <w:bookmarkStart w:id="72" w:name="_Toc187932558"/>
      <w:r>
        <w:rPr>
          <w:rStyle w:val="CharSectno"/>
        </w:rPr>
        <w:t>32</w:t>
      </w:r>
      <w:r>
        <w:t>.</w:t>
      </w:r>
      <w:r>
        <w:tab/>
        <w:t>Functions of inspectors</w:t>
      </w:r>
      <w:bookmarkEnd w:id="7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73" w:name="_Toc187932559"/>
      <w:r>
        <w:rPr>
          <w:rStyle w:val="CharSectno"/>
        </w:rPr>
        <w:t>33</w:t>
      </w:r>
      <w:r>
        <w:t>.</w:t>
      </w:r>
      <w:r>
        <w:tab/>
        <w:t>Obstructing or hindering inspector</w:t>
      </w:r>
      <w:bookmarkEnd w:id="7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74" w:name="_Toc187917879"/>
      <w:bookmarkStart w:id="75" w:name="_Toc187918264"/>
      <w:bookmarkStart w:id="76" w:name="_Toc187932560"/>
      <w:r>
        <w:rPr>
          <w:rStyle w:val="CharPartNo"/>
        </w:rPr>
        <w:lastRenderedPageBreak/>
        <w:t>Part 8</w:t>
      </w:r>
      <w:r>
        <w:t> — </w:t>
      </w:r>
      <w:r>
        <w:rPr>
          <w:rStyle w:val="CharPartText"/>
        </w:rPr>
        <w:t>Rights of entry, inspection and access to records</w:t>
      </w:r>
      <w:bookmarkEnd w:id="74"/>
      <w:bookmarkEnd w:id="75"/>
      <w:bookmarkEnd w:id="76"/>
    </w:p>
    <w:p>
      <w:pPr>
        <w:pStyle w:val="Heading3"/>
      </w:pPr>
      <w:bookmarkStart w:id="77" w:name="_Toc187917880"/>
      <w:bookmarkStart w:id="78" w:name="_Toc187918265"/>
      <w:bookmarkStart w:id="79" w:name="_Toc187932561"/>
      <w:r>
        <w:rPr>
          <w:rStyle w:val="CharDivNo"/>
        </w:rPr>
        <w:t>Division 1</w:t>
      </w:r>
      <w:r>
        <w:t> — </w:t>
      </w:r>
      <w:r>
        <w:rPr>
          <w:rStyle w:val="CharDivText"/>
        </w:rPr>
        <w:t>Preliminary</w:t>
      </w:r>
      <w:bookmarkEnd w:id="77"/>
      <w:bookmarkEnd w:id="78"/>
      <w:bookmarkEnd w:id="79"/>
    </w:p>
    <w:p>
      <w:pPr>
        <w:pStyle w:val="Footnoteheading"/>
      </w:pPr>
      <w:r>
        <w:tab/>
        <w:t>[Heading inserted: No. 36 of 2022 s. 13.]</w:t>
      </w:r>
    </w:p>
    <w:p>
      <w:pPr>
        <w:pStyle w:val="Heading5"/>
      </w:pPr>
      <w:bookmarkStart w:id="80" w:name="_Toc187932562"/>
      <w:r>
        <w:rPr>
          <w:rStyle w:val="CharSectno"/>
        </w:rPr>
        <w:t>33A</w:t>
      </w:r>
      <w:r>
        <w:t>.</w:t>
      </w:r>
      <w:r>
        <w:tab/>
        <w:t>Term used: record</w:t>
      </w:r>
      <w:bookmarkEnd w:id="80"/>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81" w:name="_Toc187917882"/>
      <w:bookmarkStart w:id="82" w:name="_Toc187918267"/>
      <w:bookmarkStart w:id="83" w:name="_Toc187932563"/>
      <w:r>
        <w:rPr>
          <w:rStyle w:val="CharDivNo"/>
        </w:rPr>
        <w:t>Division 2</w:t>
      </w:r>
      <w:r>
        <w:t> — </w:t>
      </w:r>
      <w:r>
        <w:rPr>
          <w:rStyle w:val="CharDivText"/>
        </w:rPr>
        <w:t>Access to records</w:t>
      </w:r>
      <w:bookmarkEnd w:id="81"/>
      <w:bookmarkEnd w:id="82"/>
      <w:bookmarkEnd w:id="83"/>
    </w:p>
    <w:p>
      <w:pPr>
        <w:pStyle w:val="Footnoteheading"/>
      </w:pPr>
      <w:r>
        <w:tab/>
        <w:t>[Heading inserted: No. 36 of 2022 s. 14.]</w:t>
      </w:r>
    </w:p>
    <w:p>
      <w:pPr>
        <w:pStyle w:val="Heading5"/>
      </w:pPr>
      <w:bookmarkStart w:id="84" w:name="_Toc187932564"/>
      <w:r>
        <w:rPr>
          <w:rStyle w:val="CharSectno"/>
        </w:rPr>
        <w:t>34</w:t>
      </w:r>
      <w:r>
        <w:t>.</w:t>
      </w:r>
      <w:r>
        <w:tab/>
        <w:t>Access to and inspection of records</w:t>
      </w:r>
      <w:bookmarkEnd w:id="8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lastRenderedPageBreak/>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85" w:name="_Toc187917884"/>
      <w:bookmarkStart w:id="86" w:name="_Toc187918269"/>
      <w:bookmarkStart w:id="87" w:name="_Toc187932565"/>
      <w:r>
        <w:rPr>
          <w:rStyle w:val="CharDivNo"/>
        </w:rPr>
        <w:t>Division 3</w:t>
      </w:r>
      <w:r>
        <w:t> — </w:t>
      </w:r>
      <w:r>
        <w:rPr>
          <w:rStyle w:val="CharDivText"/>
        </w:rPr>
        <w:t>Authorised representative’s right of entry to conduct investigation</w:t>
      </w:r>
      <w:bookmarkEnd w:id="85"/>
      <w:bookmarkEnd w:id="86"/>
      <w:bookmarkEnd w:id="87"/>
    </w:p>
    <w:p>
      <w:pPr>
        <w:pStyle w:val="Footnoteheading"/>
      </w:pPr>
      <w:r>
        <w:tab/>
        <w:t>[Heading inserted: No. 36 of 2022 s. 16.]</w:t>
      </w:r>
    </w:p>
    <w:p>
      <w:pPr>
        <w:pStyle w:val="Heading5"/>
      </w:pPr>
      <w:bookmarkStart w:id="88" w:name="_Toc187932566"/>
      <w:r>
        <w:rPr>
          <w:rStyle w:val="CharSectno"/>
        </w:rPr>
        <w:t>34A</w:t>
      </w:r>
      <w:r>
        <w:t>.</w:t>
      </w:r>
      <w:r>
        <w:tab/>
        <w:t>Terms used</w:t>
      </w:r>
      <w:bookmarkEnd w:id="88"/>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89" w:name="_Toc187932567"/>
      <w:r>
        <w:rPr>
          <w:rStyle w:val="CharSectno"/>
        </w:rPr>
        <w:lastRenderedPageBreak/>
        <w:t>34B</w:t>
      </w:r>
      <w:r>
        <w:t>.</w:t>
      </w:r>
      <w:r>
        <w:tab/>
        <w:t>Authorised representative</w:t>
      </w:r>
      <w:bookmarkEnd w:id="89"/>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 right of entry permit as defined in the IR Act section 49G(1)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lastRenderedPageBreak/>
        <w:tab/>
      </w:r>
      <w:r>
        <w:t>(5)</w:t>
      </w:r>
      <w:r>
        <w:tab/>
        <w:t>An authority issued under subsection (2) remains in force until it is revoked or suspended.</w:t>
      </w:r>
    </w:p>
    <w:p>
      <w:pPr>
        <w:pStyle w:val="Footnotesection"/>
      </w:pPr>
      <w:r>
        <w:tab/>
        <w:t>[Section 34B inserted: No. 36 of 2022 s. 16; amended: No. 43 of 2024 s. 158(2).]</w:t>
      </w:r>
    </w:p>
    <w:p>
      <w:pPr>
        <w:pStyle w:val="Heading5"/>
      </w:pPr>
      <w:bookmarkStart w:id="90" w:name="_Toc187932568"/>
      <w:r>
        <w:rPr>
          <w:rStyle w:val="CharSectno"/>
        </w:rPr>
        <w:t>34C</w:t>
      </w:r>
      <w:r>
        <w:t>.</w:t>
      </w:r>
      <w:r>
        <w:tab/>
        <w:t>Authorised representative who ceases to hold authority or entry permit</w:t>
      </w:r>
      <w:bookmarkEnd w:id="90"/>
    </w:p>
    <w:p>
      <w:pPr>
        <w:pStyle w:val="Subsection"/>
      </w:pPr>
      <w:r>
        <w:tab/>
        <w:t>(1)</w:t>
      </w:r>
      <w:r>
        <w:tab/>
        <w:t>An authorised representative must, within 28 days after ceasing to hold a permit referred to in section 34B(3)(b), inform the Registrar that they no longer hold the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 amended: No. 43 of 2024 s. 158(3).]</w:t>
      </w:r>
    </w:p>
    <w:p>
      <w:pPr>
        <w:pStyle w:val="Heading5"/>
      </w:pPr>
      <w:bookmarkStart w:id="91" w:name="_Toc187932569"/>
      <w:r>
        <w:rPr>
          <w:rStyle w:val="CharSectno"/>
        </w:rPr>
        <w:t>34D</w:t>
      </w:r>
      <w:r>
        <w:t>.</w:t>
      </w:r>
      <w:r>
        <w:tab/>
        <w:t>Revocation or suspension of authority</w:t>
      </w:r>
      <w:bookmarkEnd w:id="91"/>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 right of entry permit as defined in the IR Act section 49G(1);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lastRenderedPageBreak/>
        <w:tab/>
        <w:t>(3)</w:t>
      </w:r>
      <w:r>
        <w:tab/>
        <w:t>The Tribunal may, on application by any person, revoke, or suspend for a period determined by the Tribunal, an authority 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 right of entry permit as defined in the IR Act section 49G(1);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 amended: No. 43 of 2024 s. 158(4).]</w:t>
      </w:r>
    </w:p>
    <w:p>
      <w:pPr>
        <w:pStyle w:val="Heading5"/>
      </w:pPr>
      <w:bookmarkStart w:id="92" w:name="_Toc187932570"/>
      <w:r>
        <w:rPr>
          <w:rStyle w:val="CharSectno"/>
        </w:rPr>
        <w:t>34E</w:t>
      </w:r>
      <w:r>
        <w:t>.</w:t>
      </w:r>
      <w:r>
        <w:tab/>
        <w:t>Written authority of owner</w:t>
      </w:r>
      <w:r>
        <w:noBreakHyphen/>
        <w:t>driver required</w:t>
      </w:r>
      <w:bookmarkEnd w:id="92"/>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lastRenderedPageBreak/>
        <w:tab/>
        <w:t>[Section 34E inserted: No. 36 of 2022 s. 16.]</w:t>
      </w:r>
    </w:p>
    <w:p>
      <w:pPr>
        <w:pStyle w:val="Heading5"/>
      </w:pPr>
      <w:bookmarkStart w:id="93" w:name="_Toc187932571"/>
      <w:r>
        <w:rPr>
          <w:rStyle w:val="CharSectno"/>
        </w:rPr>
        <w:t>35</w:t>
      </w:r>
      <w:r>
        <w:t>.</w:t>
      </w:r>
      <w:r>
        <w:tab/>
        <w:t>Authorised representative’s right of entry</w:t>
      </w:r>
      <w:bookmarkEnd w:id="93"/>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94" w:name="_Toc187932572"/>
      <w:r>
        <w:rPr>
          <w:rStyle w:val="CharSectno"/>
        </w:rPr>
        <w:t>35A</w:t>
      </w:r>
      <w:r>
        <w:t>.</w:t>
      </w:r>
      <w:r>
        <w:tab/>
        <w:t>Authority must be shown on request</w:t>
      </w:r>
      <w:bookmarkEnd w:id="94"/>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95" w:name="_Toc187932573"/>
      <w:r>
        <w:rPr>
          <w:rStyle w:val="CharSectno"/>
        </w:rPr>
        <w:t>35B</w:t>
      </w:r>
      <w:r>
        <w:t>.</w:t>
      </w:r>
      <w:r>
        <w:tab/>
        <w:t>Conduct in workplace</w:t>
      </w:r>
      <w:bookmarkEnd w:id="95"/>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96" w:name="_Toc187932574"/>
      <w:r>
        <w:rPr>
          <w:rStyle w:val="CharSectno"/>
        </w:rPr>
        <w:lastRenderedPageBreak/>
        <w:t>35C</w:t>
      </w:r>
      <w:r>
        <w:t>.</w:t>
      </w:r>
      <w:r>
        <w:tab/>
        <w:t>Authorised representative’s powers relating to production and inspection of records or other documents</w:t>
      </w:r>
      <w:bookmarkEnd w:id="96"/>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lastRenderedPageBreak/>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97" w:name="_Toc187932575"/>
      <w:r>
        <w:rPr>
          <w:rStyle w:val="CharSectno"/>
        </w:rPr>
        <w:t>36</w:t>
      </w:r>
      <w:r>
        <w:t>.</w:t>
      </w:r>
      <w:r>
        <w:tab/>
        <w:t>Prohibiting obstruction or delay of exercise of power</w:t>
      </w:r>
      <w:bookmarkEnd w:id="97"/>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98" w:name="_Toc187917895"/>
      <w:bookmarkStart w:id="99" w:name="_Toc187918280"/>
      <w:bookmarkStart w:id="100" w:name="_Toc187932576"/>
      <w:r>
        <w:rPr>
          <w:rStyle w:val="CharPartNo"/>
        </w:rPr>
        <w:lastRenderedPageBreak/>
        <w:t>Part 9</w:t>
      </w:r>
      <w:r>
        <w:rPr>
          <w:rStyle w:val="CharDivNo"/>
        </w:rPr>
        <w:t> </w:t>
      </w:r>
      <w:r>
        <w:t>—</w:t>
      </w:r>
      <w:r>
        <w:rPr>
          <w:rStyle w:val="CharDivText"/>
        </w:rPr>
        <w:t> </w:t>
      </w:r>
      <w:r>
        <w:rPr>
          <w:rStyle w:val="CharPartText"/>
        </w:rPr>
        <w:t>Road Freight Transport Industry Tribunal</w:t>
      </w:r>
      <w:bookmarkEnd w:id="98"/>
      <w:bookmarkEnd w:id="99"/>
      <w:bookmarkEnd w:id="100"/>
    </w:p>
    <w:p>
      <w:pPr>
        <w:pStyle w:val="Heading5"/>
      </w:pPr>
      <w:bookmarkStart w:id="101" w:name="_Toc187932577"/>
      <w:r>
        <w:rPr>
          <w:rStyle w:val="CharSectno"/>
        </w:rPr>
        <w:t>37</w:t>
      </w:r>
      <w:r>
        <w:t>.</w:t>
      </w:r>
      <w:r>
        <w:tab/>
        <w:t>Terms used</w:t>
      </w:r>
      <w:bookmarkEnd w:id="101"/>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102" w:name="_Toc187932578"/>
      <w:r>
        <w:rPr>
          <w:rStyle w:val="CharSectno"/>
        </w:rPr>
        <w:t>38</w:t>
      </w:r>
      <w:r>
        <w:t>.</w:t>
      </w:r>
      <w:r>
        <w:tab/>
        <w:t>Industrial Relations Commission sitting as the Road Freight Transport Industry Tribunal</w:t>
      </w:r>
      <w:bookmarkEnd w:id="10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lastRenderedPageBreak/>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103" w:name="_Toc187932579"/>
      <w:r>
        <w:rPr>
          <w:rStyle w:val="CharSectno"/>
        </w:rPr>
        <w:t>38A</w:t>
      </w:r>
      <w:r>
        <w:t>.</w:t>
      </w:r>
      <w:r>
        <w:tab/>
        <w:t>Tribunal’s power to make summary determination</w:t>
      </w:r>
      <w:bookmarkEnd w:id="103"/>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lastRenderedPageBreak/>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104" w:name="_Toc187932580"/>
      <w:r>
        <w:rPr>
          <w:rStyle w:val="CharSectno"/>
        </w:rPr>
        <w:t>38B</w:t>
      </w:r>
      <w:r>
        <w:t>.</w:t>
      </w:r>
      <w:r>
        <w:tab/>
        <w:t>Tribunal’s power to make default determination</w:t>
      </w:r>
      <w:bookmarkEnd w:id="104"/>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lastRenderedPageBreak/>
        <w:tab/>
        <w:t>(b)</w:t>
      </w:r>
      <w:r>
        <w:tab/>
        <w:t>to set aside a default determination.</w:t>
      </w:r>
    </w:p>
    <w:p>
      <w:pPr>
        <w:pStyle w:val="Footnotesection"/>
      </w:pPr>
      <w:r>
        <w:tab/>
        <w:t>[Section 38B inserted: No. 36 of 2022 s. 21.]</w:t>
      </w:r>
    </w:p>
    <w:p>
      <w:pPr>
        <w:pStyle w:val="Heading5"/>
      </w:pPr>
      <w:bookmarkStart w:id="105" w:name="_Toc187932581"/>
      <w:r>
        <w:rPr>
          <w:rStyle w:val="CharSectno"/>
        </w:rPr>
        <w:t>39</w:t>
      </w:r>
      <w:r>
        <w:t>.</w:t>
      </w:r>
      <w:r>
        <w:tab/>
        <w:t>Jurisdiction to be exercised by Commissioner with necessary qualifications</w:t>
      </w:r>
      <w:bookmarkEnd w:id="105"/>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6" w:name="_Toc187932582"/>
      <w:r>
        <w:rPr>
          <w:rStyle w:val="CharSectno"/>
        </w:rPr>
        <w:t>40</w:t>
      </w:r>
      <w:r>
        <w:t>.</w:t>
      </w:r>
      <w:r>
        <w:tab/>
        <w:t>Persons who may refer disputes and matters to the Tribunal</w:t>
      </w:r>
      <w:bookmarkEnd w:id="106"/>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lastRenderedPageBreak/>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107" w:name="_Toc187932583"/>
      <w:r>
        <w:rPr>
          <w:rStyle w:val="CharSectno"/>
        </w:rPr>
        <w:t>41</w:t>
      </w:r>
      <w:r>
        <w:t>.</w:t>
      </w:r>
      <w:r>
        <w:tab/>
        <w:t>Intervention in proceeding</w:t>
      </w:r>
      <w:bookmarkEnd w:id="107"/>
    </w:p>
    <w:p>
      <w:pPr>
        <w:pStyle w:val="Subsection"/>
      </w:pPr>
      <w:r>
        <w:tab/>
      </w:r>
      <w:r>
        <w:tab/>
        <w:t>The Minister may, on behalf of the State and by leave of the Tribunal, intervene in a proceeding of the Tribunal in which the State has an interest.</w:t>
      </w:r>
    </w:p>
    <w:p>
      <w:pPr>
        <w:pStyle w:val="Heading5"/>
      </w:pPr>
      <w:bookmarkStart w:id="108" w:name="_Toc187932584"/>
      <w:r>
        <w:rPr>
          <w:rStyle w:val="CharSectno"/>
        </w:rPr>
        <w:t>41A</w:t>
      </w:r>
      <w:r>
        <w:t>.</w:t>
      </w:r>
      <w:r>
        <w:tab/>
        <w:t>When referral not required</w:t>
      </w:r>
      <w:bookmarkEnd w:id="108"/>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lastRenderedPageBreak/>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109" w:name="_Toc187932585"/>
      <w:r>
        <w:rPr>
          <w:rStyle w:val="CharSectno"/>
        </w:rPr>
        <w:t>42</w:t>
      </w:r>
      <w:r>
        <w:t>.</w:t>
      </w:r>
      <w:r>
        <w:tab/>
        <w:t>Representation</w:t>
      </w:r>
      <w:bookmarkEnd w:id="10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10" w:name="_Toc187932586"/>
      <w:r>
        <w:rPr>
          <w:rStyle w:val="CharSectno"/>
        </w:rPr>
        <w:t>43</w:t>
      </w:r>
      <w:r>
        <w:t>.</w:t>
      </w:r>
      <w:r>
        <w:tab/>
        <w:t>Applied provisions: practice, procedure and appeals</w:t>
      </w:r>
      <w:bookmarkEnd w:id="110"/>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lastRenderedPageBreak/>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111" w:name="_Toc187932587"/>
      <w:r>
        <w:rPr>
          <w:rStyle w:val="CharSectno"/>
        </w:rPr>
        <w:t>44</w:t>
      </w:r>
      <w:r>
        <w:t>.</w:t>
      </w:r>
      <w:r>
        <w:tab/>
        <w:t>Conciliation</w:t>
      </w:r>
      <w:bookmarkEnd w:id="111"/>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lastRenderedPageBreak/>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2" w:name="_Toc187932588"/>
      <w:r>
        <w:rPr>
          <w:rStyle w:val="CharSectno"/>
        </w:rPr>
        <w:t>45</w:t>
      </w:r>
      <w:r>
        <w:t>.</w:t>
      </w:r>
      <w:r>
        <w:tab/>
        <w:t>Compulsory attendance at conciliation</w:t>
      </w:r>
      <w:bookmarkEnd w:id="112"/>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lastRenderedPageBreak/>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13" w:name="_Toc187932589"/>
      <w:r>
        <w:rPr>
          <w:rStyle w:val="CharSectno"/>
        </w:rPr>
        <w:t>46</w:t>
      </w:r>
      <w:r>
        <w:t>.</w:t>
      </w:r>
      <w:r>
        <w:tab/>
        <w:t>Enforcement for the purposes of sections 44 and 45</w:t>
      </w:r>
      <w:bookmarkEnd w:id="113"/>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14" w:name="_Toc187932590"/>
      <w:r>
        <w:rPr>
          <w:rStyle w:val="CharSectno"/>
        </w:rPr>
        <w:lastRenderedPageBreak/>
        <w:t>47</w:t>
      </w:r>
      <w:r>
        <w:t>.</w:t>
      </w:r>
      <w:r>
        <w:tab/>
        <w:t>Determination of dispute where no resolution by conciliation</w:t>
      </w:r>
      <w:bookmarkEnd w:id="114"/>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115" w:name="_Toc187932591"/>
      <w:r>
        <w:rPr>
          <w:rStyle w:val="CharSectno"/>
        </w:rPr>
        <w:t>47A</w:t>
      </w:r>
      <w:r>
        <w:t>.</w:t>
      </w:r>
      <w:r>
        <w:tab/>
        <w:t>Remedies that may be given</w:t>
      </w:r>
      <w:bookmarkEnd w:id="115"/>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lastRenderedPageBreak/>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116" w:name="_Toc187932592"/>
      <w:r>
        <w:rPr>
          <w:rStyle w:val="CharSectno"/>
        </w:rPr>
        <w:t>48</w:t>
      </w:r>
      <w:r>
        <w:t>.</w:t>
      </w:r>
      <w:r>
        <w:tab/>
        <w:t>Order to prevent entering into of owner</w:t>
      </w:r>
      <w:r>
        <w:noBreakHyphen/>
        <w:t>driver contracts</w:t>
      </w:r>
      <w:bookmarkEnd w:id="116"/>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lastRenderedPageBreak/>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117" w:name="_Toc187932593"/>
      <w:r>
        <w:rPr>
          <w:rStyle w:val="CharSectno"/>
        </w:rPr>
        <w:t>49</w:t>
      </w:r>
      <w:r>
        <w:t>.</w:t>
      </w:r>
      <w:r>
        <w:tab/>
        <w:t>Other jurisdictions</w:t>
      </w:r>
      <w:bookmarkEnd w:id="117"/>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 xml:space="preserve">the proceedings referred to in subsection (3) are, or the part of the proceedings relating to the issue referred to in </w:t>
      </w:r>
      <w:r>
        <w:lastRenderedPageBreak/>
        <w:t>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18" w:name="_Toc187932594"/>
      <w:r>
        <w:rPr>
          <w:rStyle w:val="CharSectno"/>
        </w:rPr>
        <w:t>50</w:t>
      </w:r>
      <w:r>
        <w:t>.</w:t>
      </w:r>
      <w:r>
        <w:tab/>
        <w:t>Enforcement of monetary order</w:t>
      </w:r>
      <w:bookmarkEnd w:id="118"/>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19" w:name="_Toc187932595"/>
      <w:r>
        <w:rPr>
          <w:rStyle w:val="CharSectno"/>
        </w:rPr>
        <w:lastRenderedPageBreak/>
        <w:t>51</w:t>
      </w:r>
      <w:r>
        <w:t>.</w:t>
      </w:r>
      <w:r>
        <w:tab/>
        <w:t>Enforcement of order other than conciliation or monetary order</w:t>
      </w:r>
      <w:bookmarkEnd w:id="119"/>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20" w:name="_Toc187917915"/>
      <w:bookmarkStart w:id="121" w:name="_Toc187918300"/>
      <w:bookmarkStart w:id="122" w:name="_Toc187932596"/>
      <w:r>
        <w:rPr>
          <w:rStyle w:val="CharPartNo"/>
        </w:rPr>
        <w:lastRenderedPageBreak/>
        <w:t>Part 10</w:t>
      </w:r>
      <w:r>
        <w:rPr>
          <w:rStyle w:val="CharDivNo"/>
        </w:rPr>
        <w:t> </w:t>
      </w:r>
      <w:r>
        <w:t>—</w:t>
      </w:r>
      <w:r>
        <w:rPr>
          <w:rStyle w:val="CharDivText"/>
        </w:rPr>
        <w:t> </w:t>
      </w:r>
      <w:r>
        <w:rPr>
          <w:rStyle w:val="CharPartText"/>
        </w:rPr>
        <w:t>Miscellaneous</w:t>
      </w:r>
      <w:bookmarkEnd w:id="120"/>
      <w:bookmarkEnd w:id="121"/>
      <w:bookmarkEnd w:id="122"/>
    </w:p>
    <w:p>
      <w:pPr>
        <w:pStyle w:val="Heading5"/>
      </w:pPr>
      <w:bookmarkStart w:id="123" w:name="_Toc187932597"/>
      <w:r>
        <w:rPr>
          <w:rStyle w:val="CharSectno"/>
        </w:rPr>
        <w:t>52</w:t>
      </w:r>
      <w:r>
        <w:t>.</w:t>
      </w:r>
      <w:r>
        <w:tab/>
        <w:t>Trade Practices Act</w:t>
      </w:r>
      <w:r>
        <w:rPr>
          <w:b w:val="0"/>
          <w:vertAlign w:val="superscript"/>
        </w:rPr>
        <w:t> 1</w:t>
      </w:r>
      <w:r>
        <w:t xml:space="preserve"> and Competition Code</w:t>
      </w:r>
      <w:bookmarkEnd w:id="123"/>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24" w:name="_Toc187932598"/>
      <w:r>
        <w:rPr>
          <w:rStyle w:val="CharSectno"/>
        </w:rPr>
        <w:t>53</w:t>
      </w:r>
      <w:r>
        <w:t>.</w:t>
      </w:r>
      <w:r>
        <w:tab/>
        <w:t>Confidentiality</w:t>
      </w:r>
      <w:bookmarkEnd w:id="124"/>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125" w:name="_Toc187932599"/>
      <w:r>
        <w:rPr>
          <w:rStyle w:val="CharSectno"/>
        </w:rPr>
        <w:t>54</w:t>
      </w:r>
      <w:r>
        <w:t>.</w:t>
      </w:r>
      <w:r>
        <w:tab/>
        <w:t>Laying documents before Parliament</w:t>
      </w:r>
      <w:bookmarkEnd w:id="12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 xml:space="preserve">The laying of a copy of a document that is taken to have occurred under subsection (2) must be recorded in the Minutes, </w:t>
      </w:r>
      <w:r>
        <w:lastRenderedPageBreak/>
        <w:t>or Votes and Proceedings, of the House on the first sitting day of the House after the Clerk received the copy.</w:t>
      </w:r>
    </w:p>
    <w:p>
      <w:pPr>
        <w:pStyle w:val="Heading5"/>
      </w:pPr>
      <w:bookmarkStart w:id="126" w:name="_Toc187932600"/>
      <w:r>
        <w:rPr>
          <w:rStyle w:val="CharSectno"/>
        </w:rPr>
        <w:t>55</w:t>
      </w:r>
      <w:r>
        <w:t>.</w:t>
      </w:r>
      <w:r>
        <w:tab/>
        <w:t>Protection from liability</w:t>
      </w:r>
      <w:bookmarkEnd w:id="1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7" w:name="_Toc187932601"/>
      <w:r>
        <w:rPr>
          <w:rStyle w:val="CharSectno"/>
        </w:rPr>
        <w:t>56</w:t>
      </w:r>
      <w:r>
        <w:t>.</w:t>
      </w:r>
      <w:r>
        <w:tab/>
        <w:t>Protection for compliance with this Act</w:t>
      </w:r>
      <w:bookmarkEnd w:id="1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28" w:name="_Toc187932602"/>
      <w:r>
        <w:rPr>
          <w:rStyle w:val="CharSectno"/>
        </w:rPr>
        <w:t>57</w:t>
      </w:r>
      <w:r>
        <w:t>.</w:t>
      </w:r>
      <w:r>
        <w:tab/>
        <w:t>Regulations</w:t>
      </w:r>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w:t>
      </w:r>
      <w:r>
        <w:lastRenderedPageBreak/>
        <w:t xml:space="preserve">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29" w:name="_Toc187932603"/>
      <w:r>
        <w:rPr>
          <w:rStyle w:val="CharSectno"/>
        </w:rPr>
        <w:t>59</w:t>
      </w:r>
      <w:r>
        <w:t>.</w:t>
      </w:r>
      <w:r>
        <w:tab/>
        <w:t>Review of Act</w:t>
      </w:r>
      <w:bookmarkEnd w:id="129"/>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130" w:name="_Toc187917923"/>
      <w:bookmarkStart w:id="131" w:name="_Toc187918308"/>
      <w:bookmarkStart w:id="132" w:name="_Toc187932604"/>
      <w:r>
        <w:rPr>
          <w:rStyle w:val="CharPartNo"/>
        </w:rPr>
        <w:lastRenderedPageBreak/>
        <w:t>Part 11</w:t>
      </w:r>
      <w:r>
        <w:t> — </w:t>
      </w:r>
      <w:r>
        <w:rPr>
          <w:rStyle w:val="CharPartText"/>
        </w:rPr>
        <w:t>Transitional provisions</w:t>
      </w:r>
      <w:bookmarkEnd w:id="130"/>
      <w:bookmarkEnd w:id="131"/>
      <w:bookmarkEnd w:id="132"/>
    </w:p>
    <w:p>
      <w:pPr>
        <w:pStyle w:val="Footnoteheading"/>
      </w:pPr>
      <w:r>
        <w:tab/>
        <w:t>[Heading inserted: No. 36 of 2022 s. 29.]</w:t>
      </w:r>
    </w:p>
    <w:p>
      <w:pPr>
        <w:pStyle w:val="Heading5"/>
      </w:pPr>
      <w:bookmarkStart w:id="133" w:name="_Toc187932605"/>
      <w:r>
        <w:rPr>
          <w:rStyle w:val="CharSectno"/>
        </w:rPr>
        <w:t>60</w:t>
      </w:r>
      <w:r>
        <w:t>.</w:t>
      </w:r>
      <w:r>
        <w:tab/>
        <w:t>Notice of termination before commencement day</w:t>
      </w:r>
      <w:bookmarkEnd w:id="133"/>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34" w:name="_Toc187917925"/>
      <w:bookmarkStart w:id="135" w:name="_Toc187918310"/>
      <w:bookmarkStart w:id="136" w:name="_Toc187932606"/>
      <w:r>
        <w:rPr>
          <w:rStyle w:val="CharSchNo"/>
        </w:rPr>
        <w:lastRenderedPageBreak/>
        <w:t>Schedule 1</w:t>
      </w:r>
      <w:r>
        <w:t> — </w:t>
      </w:r>
      <w:r>
        <w:rPr>
          <w:rStyle w:val="CharSchText"/>
        </w:rPr>
        <w:t>Implied provisions</w:t>
      </w:r>
      <w:bookmarkEnd w:id="134"/>
      <w:bookmarkEnd w:id="135"/>
      <w:bookmarkEnd w:id="136"/>
    </w:p>
    <w:p>
      <w:pPr>
        <w:pStyle w:val="yShoulderClause"/>
      </w:pPr>
      <w:r>
        <w:rPr>
          <w:szCs w:val="22"/>
        </w:rPr>
        <w:t>[s. 13, 14, 15, 15A and 16]</w:t>
      </w:r>
    </w:p>
    <w:p>
      <w:pPr>
        <w:pStyle w:val="yFootnoteheading"/>
      </w:pPr>
      <w:r>
        <w:tab/>
        <w:t>[Heading amended: No. 36 of 2022 s. 30.]</w:t>
      </w:r>
    </w:p>
    <w:p>
      <w:pPr>
        <w:pStyle w:val="yHeading3"/>
      </w:pPr>
      <w:bookmarkStart w:id="137" w:name="_Toc187917926"/>
      <w:bookmarkStart w:id="138" w:name="_Toc187918311"/>
      <w:bookmarkStart w:id="139" w:name="_Toc187932607"/>
      <w:r>
        <w:rPr>
          <w:rStyle w:val="CharSDivNo"/>
        </w:rPr>
        <w:t>Division 1</w:t>
      </w:r>
      <w:r>
        <w:t> — </w:t>
      </w:r>
      <w:r>
        <w:rPr>
          <w:rStyle w:val="CharSDivText"/>
        </w:rPr>
        <w:t>Responding to claims for payment</w:t>
      </w:r>
      <w:bookmarkEnd w:id="137"/>
      <w:bookmarkEnd w:id="138"/>
      <w:bookmarkEnd w:id="139"/>
    </w:p>
    <w:p>
      <w:pPr>
        <w:pStyle w:val="yHeading5"/>
      </w:pPr>
      <w:bookmarkStart w:id="140" w:name="_Toc187932608"/>
      <w:r>
        <w:rPr>
          <w:rStyle w:val="CharSClsNo"/>
        </w:rPr>
        <w:t>1</w:t>
      </w:r>
      <w:r>
        <w:t>.</w:t>
      </w:r>
      <w:r>
        <w:tab/>
        <w:t>Responding to a payment claim</w:t>
      </w:r>
      <w:bookmarkEnd w:id="14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41" w:name="_Toc187917928"/>
      <w:bookmarkStart w:id="142" w:name="_Toc187918313"/>
      <w:bookmarkStart w:id="143" w:name="_Toc187932609"/>
      <w:r>
        <w:rPr>
          <w:rStyle w:val="CharSDivNo"/>
        </w:rPr>
        <w:t>Division 2</w:t>
      </w:r>
      <w:r>
        <w:t> — </w:t>
      </w:r>
      <w:r>
        <w:rPr>
          <w:rStyle w:val="CharSDivText"/>
        </w:rPr>
        <w:t>Interest on overdue amounts</w:t>
      </w:r>
      <w:bookmarkEnd w:id="141"/>
      <w:bookmarkEnd w:id="142"/>
      <w:bookmarkEnd w:id="143"/>
    </w:p>
    <w:p>
      <w:pPr>
        <w:pStyle w:val="yHeading5"/>
      </w:pPr>
      <w:bookmarkStart w:id="144" w:name="_Toc187932610"/>
      <w:r>
        <w:rPr>
          <w:rStyle w:val="CharSClsNo"/>
        </w:rPr>
        <w:t>2</w:t>
      </w:r>
      <w:r>
        <w:t>.</w:t>
      </w:r>
      <w:r>
        <w:tab/>
        <w:t>Interest payable on overdue amounts</w:t>
      </w:r>
      <w:bookmarkEnd w:id="14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45" w:name="_Toc187917930"/>
      <w:bookmarkStart w:id="146" w:name="_Toc187918315"/>
      <w:bookmarkStart w:id="147" w:name="_Toc187932611"/>
      <w:r>
        <w:rPr>
          <w:rStyle w:val="CharSDivNo"/>
        </w:rPr>
        <w:t>Division 3</w:t>
      </w:r>
      <w:r>
        <w:t> — </w:t>
      </w:r>
      <w:r>
        <w:rPr>
          <w:rStyle w:val="CharSDivText"/>
        </w:rPr>
        <w:t>Making claims for payment</w:t>
      </w:r>
      <w:bookmarkEnd w:id="145"/>
      <w:bookmarkEnd w:id="146"/>
      <w:bookmarkEnd w:id="147"/>
    </w:p>
    <w:p>
      <w:pPr>
        <w:pStyle w:val="yHeading5"/>
      </w:pPr>
      <w:bookmarkStart w:id="148" w:name="_Toc187932612"/>
      <w:r>
        <w:rPr>
          <w:rStyle w:val="CharSClsNo"/>
        </w:rPr>
        <w:t>3</w:t>
      </w:r>
      <w:r>
        <w:t>.</w:t>
      </w:r>
      <w:r>
        <w:tab/>
        <w:t>Content of claim for payment</w:t>
      </w:r>
      <w:bookmarkEnd w:id="148"/>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 xml:space="preserve">driver — itemise and describe the obligations under this contract that the </w:t>
      </w:r>
      <w:r>
        <w:lastRenderedPageBreak/>
        <w:t>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149" w:name="_Toc187917932"/>
      <w:bookmarkStart w:id="150" w:name="_Toc187918317"/>
      <w:bookmarkStart w:id="151" w:name="_Toc187932613"/>
      <w:r>
        <w:rPr>
          <w:rStyle w:val="CharSDivNo"/>
        </w:rPr>
        <w:t>Division 4</w:t>
      </w:r>
      <w:r>
        <w:t> — </w:t>
      </w:r>
      <w:r>
        <w:rPr>
          <w:rStyle w:val="CharSDivText"/>
        </w:rPr>
        <w:t>Termination of contract</w:t>
      </w:r>
      <w:bookmarkEnd w:id="149"/>
      <w:bookmarkEnd w:id="150"/>
      <w:bookmarkEnd w:id="151"/>
    </w:p>
    <w:p>
      <w:pPr>
        <w:pStyle w:val="yFootnoteheading"/>
      </w:pPr>
      <w:r>
        <w:tab/>
        <w:t>[Heading inserted: No. 36 of 2022 s. 31.]</w:t>
      </w:r>
    </w:p>
    <w:p>
      <w:pPr>
        <w:pStyle w:val="yHeading5"/>
      </w:pPr>
      <w:bookmarkStart w:id="152" w:name="_Toc187932614"/>
      <w:r>
        <w:rPr>
          <w:rStyle w:val="CharSClsNo"/>
        </w:rPr>
        <w:t>4</w:t>
      </w:r>
      <w:r>
        <w:t>.</w:t>
      </w:r>
      <w:r>
        <w:tab/>
        <w:t>Notice of termination</w:t>
      </w:r>
      <w:bookmarkEnd w:id="152"/>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153" w:name="_Toc187932615"/>
      <w:r>
        <w:rPr>
          <w:rStyle w:val="CharSClsNo"/>
        </w:rPr>
        <w:t>5</w:t>
      </w:r>
      <w:r>
        <w:t>.</w:t>
      </w:r>
      <w:r>
        <w:tab/>
        <w:t>Payment in lieu of notice</w:t>
      </w:r>
      <w:bookmarkEnd w:id="153"/>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lastRenderedPageBreak/>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154" w:name="_Toc187917935"/>
      <w:bookmarkStart w:id="155" w:name="_Toc187918320"/>
      <w:bookmarkStart w:id="156" w:name="_Toc187932616"/>
      <w:r>
        <w:rPr>
          <w:rStyle w:val="CharSchNo"/>
        </w:rPr>
        <w:lastRenderedPageBreak/>
        <w:t>Schedule 2</w:t>
      </w:r>
      <w:r>
        <w:t> — </w:t>
      </w:r>
      <w:r>
        <w:rPr>
          <w:rStyle w:val="CharSchText"/>
        </w:rPr>
        <w:t>Constitution and proceedings of Council</w:t>
      </w:r>
      <w:bookmarkEnd w:id="154"/>
      <w:bookmarkEnd w:id="155"/>
      <w:bookmarkEnd w:id="156"/>
    </w:p>
    <w:p>
      <w:pPr>
        <w:pStyle w:val="yShoulderClause"/>
      </w:pPr>
      <w:r>
        <w:t>[s. 23]</w:t>
      </w:r>
    </w:p>
    <w:p>
      <w:pPr>
        <w:pStyle w:val="yHeading3"/>
      </w:pPr>
      <w:bookmarkStart w:id="157" w:name="_Toc187917936"/>
      <w:bookmarkStart w:id="158" w:name="_Toc187918321"/>
      <w:bookmarkStart w:id="159" w:name="_Toc187932617"/>
      <w:r>
        <w:rPr>
          <w:rStyle w:val="CharSDivNo"/>
        </w:rPr>
        <w:t>Division 1</w:t>
      </w:r>
      <w:r>
        <w:t> — </w:t>
      </w:r>
      <w:r>
        <w:rPr>
          <w:rStyle w:val="CharSDivText"/>
        </w:rPr>
        <w:t>General provisions</w:t>
      </w:r>
      <w:bookmarkEnd w:id="157"/>
      <w:bookmarkEnd w:id="158"/>
      <w:bookmarkEnd w:id="159"/>
    </w:p>
    <w:p>
      <w:pPr>
        <w:pStyle w:val="yHeading5"/>
      </w:pPr>
      <w:bookmarkStart w:id="160" w:name="_Toc187932618"/>
      <w:r>
        <w:rPr>
          <w:rStyle w:val="CharSClsNo"/>
        </w:rPr>
        <w:t>1</w:t>
      </w:r>
      <w:r>
        <w:t>.</w:t>
      </w:r>
      <w:r>
        <w:tab/>
        <w:t>Term of office</w:t>
      </w:r>
      <w:bookmarkEnd w:id="160"/>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161" w:name="_Toc187932619"/>
      <w:r>
        <w:rPr>
          <w:rStyle w:val="CharSClsNo"/>
        </w:rPr>
        <w:t>2</w:t>
      </w:r>
      <w:r>
        <w:t>.</w:t>
      </w:r>
      <w:r>
        <w:tab/>
        <w:t>Chairman and deputy chairman</w:t>
      </w:r>
      <w:bookmarkEnd w:id="16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62" w:name="_Toc187932620"/>
      <w:r>
        <w:rPr>
          <w:rStyle w:val="CharSClsNo"/>
        </w:rPr>
        <w:t>3</w:t>
      </w:r>
      <w:r>
        <w:t>.</w:t>
      </w:r>
      <w:r>
        <w:tab/>
        <w:t>Resignation, removal, etc.</w:t>
      </w:r>
      <w:bookmarkEnd w:id="16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lastRenderedPageBreak/>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63" w:name="_Toc187932621"/>
      <w:r>
        <w:rPr>
          <w:rStyle w:val="CharSClsNo"/>
        </w:rPr>
        <w:t>4</w:t>
      </w:r>
      <w:r>
        <w:t>.</w:t>
      </w:r>
      <w:r>
        <w:tab/>
        <w:t>Leave of absence</w:t>
      </w:r>
      <w:bookmarkEnd w:id="163"/>
    </w:p>
    <w:p>
      <w:pPr>
        <w:pStyle w:val="ySubsection"/>
      </w:pPr>
      <w:r>
        <w:tab/>
      </w:r>
      <w:r>
        <w:tab/>
        <w:t>The Council may grant leave of absence to a Council member on the terms and conditions that it thinks fit.</w:t>
      </w:r>
    </w:p>
    <w:p>
      <w:pPr>
        <w:pStyle w:val="yHeading5"/>
      </w:pPr>
      <w:bookmarkStart w:id="164" w:name="_Toc187932622"/>
      <w:r>
        <w:rPr>
          <w:rStyle w:val="CharSClsNo"/>
        </w:rPr>
        <w:t>5</w:t>
      </w:r>
      <w:r>
        <w:t>.</w:t>
      </w:r>
      <w:r>
        <w:tab/>
        <w:t>Council member unable to act</w:t>
      </w:r>
      <w:bookmarkEnd w:id="16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65" w:name="_Toc187932623"/>
      <w:r>
        <w:rPr>
          <w:rStyle w:val="CharSClsNo"/>
        </w:rPr>
        <w:t>6</w:t>
      </w:r>
      <w:r>
        <w:t>.</w:t>
      </w:r>
      <w:r>
        <w:tab/>
        <w:t>Savings</w:t>
      </w:r>
      <w:bookmarkEnd w:id="16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66" w:name="_Toc187932624"/>
      <w:r>
        <w:rPr>
          <w:rStyle w:val="CharSClsNo"/>
        </w:rPr>
        <w:lastRenderedPageBreak/>
        <w:t>7</w:t>
      </w:r>
      <w:r>
        <w:t>.</w:t>
      </w:r>
      <w:r>
        <w:tab/>
        <w:t>Calling of meetings</w:t>
      </w:r>
      <w:bookmarkEnd w:id="166"/>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67" w:name="_Toc187932625"/>
      <w:r>
        <w:rPr>
          <w:rStyle w:val="CharSClsNo"/>
        </w:rPr>
        <w:t>8</w:t>
      </w:r>
      <w:r>
        <w:t>.</w:t>
      </w:r>
      <w:r>
        <w:tab/>
        <w:t>Presiding officer</w:t>
      </w:r>
      <w:bookmarkEnd w:id="16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68" w:name="_Toc187932626"/>
      <w:r>
        <w:rPr>
          <w:rStyle w:val="CharSClsNo"/>
        </w:rPr>
        <w:t>9</w:t>
      </w:r>
      <w:r>
        <w:t>.</w:t>
      </w:r>
      <w:r>
        <w:tab/>
        <w:t>Quorum</w:t>
      </w:r>
      <w:bookmarkEnd w:id="168"/>
    </w:p>
    <w:p>
      <w:pPr>
        <w:pStyle w:val="ySubsection"/>
      </w:pPr>
      <w:r>
        <w:tab/>
      </w:r>
      <w:r>
        <w:tab/>
        <w:t>A quorum for a meeting of the Council is at least one half of the number of Council members.</w:t>
      </w:r>
    </w:p>
    <w:p>
      <w:pPr>
        <w:pStyle w:val="yHeading5"/>
      </w:pPr>
      <w:bookmarkStart w:id="169" w:name="_Toc187932627"/>
      <w:r>
        <w:rPr>
          <w:rStyle w:val="CharSClsNo"/>
        </w:rPr>
        <w:t>10</w:t>
      </w:r>
      <w:r>
        <w:t>.</w:t>
      </w:r>
      <w:r>
        <w:tab/>
        <w:t>Voting</w:t>
      </w:r>
      <w:bookmarkEnd w:id="16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70" w:name="_Toc187932628"/>
      <w:r>
        <w:rPr>
          <w:rStyle w:val="CharSClsNo"/>
        </w:rPr>
        <w:t>11</w:t>
      </w:r>
      <w:r>
        <w:t>.</w:t>
      </w:r>
      <w:r>
        <w:tab/>
        <w:t>Minutes</w:t>
      </w:r>
      <w:bookmarkEnd w:id="170"/>
    </w:p>
    <w:p>
      <w:pPr>
        <w:pStyle w:val="ySubsection"/>
      </w:pPr>
      <w:r>
        <w:tab/>
      </w:r>
      <w:r>
        <w:tab/>
        <w:t>The Council is to cause accurate minutes to be kept of the proceedings at its meetings.</w:t>
      </w:r>
    </w:p>
    <w:p>
      <w:pPr>
        <w:pStyle w:val="yHeading5"/>
      </w:pPr>
      <w:bookmarkStart w:id="171" w:name="_Toc187932629"/>
      <w:r>
        <w:rPr>
          <w:rStyle w:val="CharSClsNo"/>
        </w:rPr>
        <w:t>12</w:t>
      </w:r>
      <w:r>
        <w:t>.</w:t>
      </w:r>
      <w:r>
        <w:tab/>
        <w:t>Resolution without meeting</w:t>
      </w:r>
      <w:bookmarkEnd w:id="17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lastRenderedPageBreak/>
        <w:tab/>
        <w:t>(2)</w:t>
      </w:r>
      <w:r>
        <w:tab/>
        <w:t>The Council must cause a record to be kept of each resolution under subclause (1).</w:t>
      </w:r>
    </w:p>
    <w:p>
      <w:pPr>
        <w:pStyle w:val="yHeading5"/>
      </w:pPr>
      <w:bookmarkStart w:id="172" w:name="_Toc187932630"/>
      <w:r>
        <w:rPr>
          <w:rStyle w:val="CharSClsNo"/>
        </w:rPr>
        <w:t>13</w:t>
      </w:r>
      <w:r>
        <w:t>.</w:t>
      </w:r>
      <w:r>
        <w:tab/>
        <w:t>Holding meetings remotely</w:t>
      </w:r>
      <w:bookmarkEnd w:id="17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73" w:name="_Toc187932631"/>
      <w:r>
        <w:rPr>
          <w:rStyle w:val="CharSClsNo"/>
        </w:rPr>
        <w:t>14</w:t>
      </w:r>
      <w:r>
        <w:t>.</w:t>
      </w:r>
      <w:r>
        <w:tab/>
        <w:t>Committees</w:t>
      </w:r>
      <w:bookmarkEnd w:id="17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74" w:name="_Toc187932632"/>
      <w:r>
        <w:rPr>
          <w:rStyle w:val="CharSClsNo"/>
        </w:rPr>
        <w:t>15</w:t>
      </w:r>
      <w:r>
        <w:t>.</w:t>
      </w:r>
      <w:r>
        <w:tab/>
        <w:t>Council to determine own procedures</w:t>
      </w:r>
      <w:bookmarkEnd w:id="174"/>
    </w:p>
    <w:p>
      <w:pPr>
        <w:pStyle w:val="ySubsection"/>
      </w:pPr>
      <w:r>
        <w:tab/>
      </w:r>
      <w:r>
        <w:tab/>
        <w:t>Subject to this Act, the Council is to determine its own procedures.</w:t>
      </w:r>
    </w:p>
    <w:p>
      <w:pPr>
        <w:pStyle w:val="yHeading3"/>
      </w:pPr>
      <w:bookmarkStart w:id="175" w:name="_Toc187917952"/>
      <w:bookmarkStart w:id="176" w:name="_Toc187918337"/>
      <w:bookmarkStart w:id="177" w:name="_Toc187932633"/>
      <w:r>
        <w:rPr>
          <w:rStyle w:val="CharSDivNo"/>
        </w:rPr>
        <w:t>Division 2</w:t>
      </w:r>
      <w:r>
        <w:t> — </w:t>
      </w:r>
      <w:r>
        <w:rPr>
          <w:rStyle w:val="CharSDivText"/>
        </w:rPr>
        <w:t>Disclosure of interests etc.</w:t>
      </w:r>
      <w:bookmarkEnd w:id="175"/>
      <w:bookmarkEnd w:id="176"/>
      <w:bookmarkEnd w:id="177"/>
    </w:p>
    <w:p>
      <w:pPr>
        <w:pStyle w:val="yHeading5"/>
      </w:pPr>
      <w:bookmarkStart w:id="178" w:name="_Toc187932634"/>
      <w:r>
        <w:rPr>
          <w:rStyle w:val="CharSClsNo"/>
        </w:rPr>
        <w:t>16</w:t>
      </w:r>
      <w:r>
        <w:t>.</w:t>
      </w:r>
      <w:r>
        <w:tab/>
        <w:t>Disclosure of interests</w:t>
      </w:r>
      <w:bookmarkEnd w:id="178"/>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79" w:name="_Toc187932635"/>
      <w:r>
        <w:rPr>
          <w:rStyle w:val="CharSClsNo"/>
        </w:rPr>
        <w:lastRenderedPageBreak/>
        <w:t>17</w:t>
      </w:r>
      <w:r>
        <w:t>.</w:t>
      </w:r>
      <w:r>
        <w:tab/>
        <w:t>Voting by interested members</w:t>
      </w:r>
      <w:bookmarkEnd w:id="179"/>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80" w:name="_Toc187932636"/>
      <w:r>
        <w:rPr>
          <w:rStyle w:val="CharSClsNo"/>
        </w:rPr>
        <w:t>18</w:t>
      </w:r>
      <w:r>
        <w:t>.</w:t>
      </w:r>
      <w:r>
        <w:tab/>
        <w:t>Clause 17 may be declared inapplicable</w:t>
      </w:r>
      <w:bookmarkEnd w:id="18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81" w:name="_Toc187932637"/>
      <w:r>
        <w:rPr>
          <w:rStyle w:val="CharSClsNo"/>
        </w:rPr>
        <w:t>19</w:t>
      </w:r>
      <w:r>
        <w:t>.</w:t>
      </w:r>
      <w:r>
        <w:tab/>
        <w:t>Quorum where clause 17 applies</w:t>
      </w:r>
      <w:bookmarkEnd w:id="181"/>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82" w:name="_Toc187932638"/>
      <w:r>
        <w:rPr>
          <w:rStyle w:val="CharSClsNo"/>
        </w:rPr>
        <w:lastRenderedPageBreak/>
        <w:t>20</w:t>
      </w:r>
      <w:r>
        <w:t>.</w:t>
      </w:r>
      <w:r>
        <w:tab/>
        <w:t>Minister may declare clauses 17 and 19 inapplicable</w:t>
      </w:r>
      <w:bookmarkEnd w:id="182"/>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4" w:name="_Toc187917958"/>
      <w:bookmarkStart w:id="185" w:name="_Toc187918343"/>
      <w:bookmarkStart w:id="186" w:name="_Toc187932639"/>
      <w:r>
        <w:lastRenderedPageBreak/>
        <w:t>Notes</w:t>
      </w:r>
      <w:bookmarkEnd w:id="184"/>
      <w:bookmarkEnd w:id="185"/>
      <w:bookmarkEnd w:id="186"/>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w:t>
      </w:r>
    </w:p>
    <w:p>
      <w:pPr>
        <w:pStyle w:val="nHeading3"/>
      </w:pPr>
      <w:bookmarkStart w:id="187" w:name="_Toc187932640"/>
      <w:r>
        <w:t>Compilation table</w:t>
      </w:r>
      <w:bookmarkEnd w:id="1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r>
        <w:tc>
          <w:tcPr>
            <w:tcW w:w="2240" w:type="dxa"/>
            <w:tcBorders>
              <w:top w:val="nil"/>
              <w:bottom w:val="nil"/>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nil"/>
            </w:tcBorders>
            <w:shd w:val="clear" w:color="auto" w:fill="auto"/>
          </w:tcPr>
          <w:p>
            <w:pPr>
              <w:pStyle w:val="nTable"/>
              <w:spacing w:after="40"/>
              <w:rPr>
                <w:snapToGrid w:val="0"/>
              </w:rPr>
            </w:pPr>
            <w:r>
              <w:t>21 of 2023</w:t>
            </w:r>
          </w:p>
        </w:tc>
        <w:tc>
          <w:tcPr>
            <w:tcW w:w="1134" w:type="dxa"/>
            <w:gridSpan w:val="2"/>
            <w:tcBorders>
              <w:top w:val="nil"/>
              <w:bottom w:val="nil"/>
            </w:tcBorders>
            <w:shd w:val="clear" w:color="auto" w:fill="auto"/>
          </w:tcPr>
          <w:p>
            <w:pPr>
              <w:pStyle w:val="nTable"/>
              <w:spacing w:after="40"/>
              <w:rPr>
                <w:snapToGrid w:val="0"/>
              </w:rPr>
            </w:pPr>
            <w:r>
              <w:t>24 Oct 2023</w:t>
            </w:r>
          </w:p>
        </w:tc>
        <w:tc>
          <w:tcPr>
            <w:tcW w:w="2580" w:type="dxa"/>
            <w:gridSpan w:val="2"/>
            <w:tcBorders>
              <w:top w:val="nil"/>
              <w:bottom w:val="nil"/>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r>
        <w:tc>
          <w:tcPr>
            <w:tcW w:w="2240" w:type="dxa"/>
            <w:tcBorders>
              <w:top w:val="nil"/>
              <w:bottom w:val="single" w:sz="8" w:space="0" w:color="auto"/>
            </w:tcBorders>
            <w:shd w:val="clear" w:color="auto" w:fill="auto"/>
          </w:tcPr>
          <w:p>
            <w:pPr>
              <w:pStyle w:val="nTable"/>
              <w:spacing w:after="40"/>
              <w:rPr>
                <w:i/>
                <w:iCs/>
              </w:rPr>
            </w:pPr>
            <w:r>
              <w:rPr>
                <w:i/>
              </w:rPr>
              <w:lastRenderedPageBreak/>
              <w:t xml:space="preserve">Industrial Relations Legislation Amendment Act 2024 </w:t>
            </w:r>
            <w:r>
              <w:rPr>
                <w:iCs/>
              </w:rPr>
              <w:t>s. 158</w:t>
            </w:r>
          </w:p>
        </w:tc>
        <w:tc>
          <w:tcPr>
            <w:tcW w:w="1134" w:type="dxa"/>
            <w:gridSpan w:val="2"/>
            <w:tcBorders>
              <w:top w:val="nil"/>
              <w:bottom w:val="single" w:sz="8" w:space="0" w:color="auto"/>
            </w:tcBorders>
            <w:shd w:val="clear" w:color="auto" w:fill="auto"/>
          </w:tcPr>
          <w:p>
            <w:pPr>
              <w:pStyle w:val="nTable"/>
              <w:spacing w:after="40"/>
            </w:pPr>
            <w:r>
              <w:t>43 of 2024</w:t>
            </w:r>
          </w:p>
        </w:tc>
        <w:tc>
          <w:tcPr>
            <w:tcW w:w="1134" w:type="dxa"/>
            <w:gridSpan w:val="2"/>
            <w:tcBorders>
              <w:top w:val="nil"/>
              <w:bottom w:val="single" w:sz="8" w:space="0" w:color="auto"/>
            </w:tcBorders>
            <w:shd w:val="clear" w:color="auto" w:fill="auto"/>
          </w:tcPr>
          <w:p>
            <w:pPr>
              <w:pStyle w:val="nTable"/>
              <w:spacing w:after="40"/>
            </w:pPr>
            <w:r>
              <w:t>13 Nov 2024</w:t>
            </w:r>
          </w:p>
        </w:tc>
        <w:tc>
          <w:tcPr>
            <w:tcW w:w="2580" w:type="dxa"/>
            <w:gridSpan w:val="2"/>
            <w:tcBorders>
              <w:top w:val="nil"/>
              <w:bottom w:val="single" w:sz="8" w:space="0" w:color="auto"/>
            </w:tcBorders>
            <w:shd w:val="clear" w:color="auto" w:fill="auto"/>
          </w:tcPr>
          <w:p>
            <w:pPr>
              <w:pStyle w:val="nTable"/>
              <w:spacing w:after="40"/>
              <w:rPr>
                <w:noProof/>
              </w:rPr>
            </w:pPr>
            <w:r>
              <w:t>31 Jan 2025 (see s. 2(c))</w:t>
            </w:r>
          </w:p>
        </w:tc>
      </w:tr>
    </w:tbl>
    <w:p>
      <w:pPr>
        <w:pStyle w:val="nHeading3"/>
      </w:pPr>
      <w:bookmarkStart w:id="188" w:name="_Toc187932641"/>
      <w:r>
        <w:t>Other notes</w:t>
      </w:r>
      <w:bookmarkEnd w:id="188"/>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0" w:name="_Toc187917962"/>
      <w:bookmarkStart w:id="191" w:name="_Toc187918346"/>
      <w:bookmarkStart w:id="192" w:name="_Toc187932642"/>
      <w:r>
        <w:rPr>
          <w:sz w:val="28"/>
        </w:rPr>
        <w:lastRenderedPageBreak/>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authorised representative</w:t>
      </w:r>
      <w:r>
        <w:tab/>
        <w:t>34A</w:t>
      </w:r>
    </w:p>
    <w:p>
      <w:pPr>
        <w:pStyle w:val="DefinedTerms"/>
      </w:pPr>
      <w:r>
        <w:t>Chief Commissioner</w:t>
      </w:r>
      <w:r>
        <w:tab/>
        <w:t>37(1)</w:t>
      </w:r>
    </w:p>
    <w:p>
      <w:pPr>
        <w:pStyle w:val="DefinedTerms"/>
      </w:pPr>
      <w:r>
        <w:t>code of conduct</w:t>
      </w:r>
      <w:r>
        <w:tab/>
        <w:t>3</w:t>
      </w:r>
    </w:p>
    <w:p>
      <w:pPr>
        <w:pStyle w:val="DefinedTerms"/>
      </w:pPr>
      <w:r>
        <w:t>commencement day</w:t>
      </w:r>
      <w:r>
        <w:tab/>
        <w:t>60(1)</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default determination</w:t>
      </w:r>
      <w:r>
        <w:tab/>
        <w:t>38B(2)</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first payment dispute</w:t>
      </w:r>
      <w:r>
        <w:tab/>
        <w:t>41A(1)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minimum notice period</w:t>
      </w:r>
      <w:r>
        <w:tab/>
        <w:t>3</w:t>
      </w:r>
    </w:p>
    <w:p>
      <w:pPr>
        <w:pStyle w:val="DefinedTerms"/>
      </w:pPr>
      <w:r>
        <w:t>monetary order</w:t>
      </w:r>
      <w:r>
        <w:tab/>
        <w:t>50(1)</w:t>
      </w:r>
    </w:p>
    <w:p>
      <w:pPr>
        <w:pStyle w:val="DefinedTerms"/>
      </w:pPr>
      <w:r>
        <w:t>notice period</w:t>
      </w:r>
      <w:r>
        <w:tab/>
        <w:t>3</w:t>
      </w:r>
    </w:p>
    <w:p>
      <w:pPr>
        <w:pStyle w:val="DefinedTerms"/>
      </w:pPr>
      <w:r>
        <w:t>occupier</w:t>
      </w:r>
      <w:r>
        <w:tab/>
        <w:t>34A</w:t>
      </w:r>
    </w:p>
    <w:p>
      <w:pPr>
        <w:pStyle w:val="DefinedTerms"/>
      </w:pPr>
      <w:r>
        <w:t>officer</w:t>
      </w:r>
      <w:r>
        <w:tab/>
        <w:t>4(1), 34A</w:t>
      </w:r>
    </w:p>
    <w:p>
      <w:pPr>
        <w:pStyle w:val="DefinedTerms"/>
      </w:pPr>
      <w:r>
        <w:t>organisation</w:t>
      </w:r>
      <w:r>
        <w:tab/>
        <w:t>34A</w:t>
      </w:r>
    </w:p>
    <w:p>
      <w:pPr>
        <w:pStyle w:val="DefinedTerms"/>
      </w:pPr>
      <w:r>
        <w:t>owner-driver</w:t>
      </w:r>
      <w:r>
        <w:tab/>
        <w:t>3, 4(2)</w:t>
      </w:r>
    </w:p>
    <w:p>
      <w:pPr>
        <w:pStyle w:val="DefinedTerms"/>
      </w:pPr>
      <w:r>
        <w:t>owner-driver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prescribed representative body</w:t>
      </w:r>
      <w:r>
        <w:tab/>
        <w:t>3</w:t>
      </w:r>
    </w:p>
    <w:p>
      <w:pPr>
        <w:pStyle w:val="DefinedTerms"/>
      </w:pPr>
      <w:r>
        <w:t>record</w:t>
      </w:r>
      <w:r>
        <w:tab/>
        <w:t>33A</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lastRenderedPageBreak/>
        <w:t>summary determination</w:t>
      </w:r>
      <w:r>
        <w:tab/>
        <w:t>38A(1)</w:t>
      </w:r>
    </w:p>
    <w:p>
      <w:pPr>
        <w:pStyle w:val="DefinedTerms"/>
      </w:pPr>
      <w:r>
        <w:t>transport association</w:t>
      </w:r>
      <w:r>
        <w:tab/>
        <w:t>3</w:t>
      </w:r>
    </w:p>
    <w:p>
      <w:pPr>
        <w:pStyle w:val="DefinedTerms"/>
      </w:pPr>
      <w:r>
        <w:t>Tribunal</w:t>
      </w:r>
      <w:r>
        <w:tab/>
        <w:t>3, 38(2)</w:t>
      </w:r>
    </w:p>
    <w:p>
      <w:pPr>
        <w:pStyle w:val="DefinedTerms"/>
      </w:pPr>
      <w:r>
        <w:t>workplace</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58AE5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610AC3" w14:textId="3C388EAF" w:rsidR="0028726F" w:rsidRDefault="00EE5C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61E3">
                        <w:rPr>
                          <w:sz w:val="16"/>
                        </w:rPr>
                        <w:t>2025</w:t>
                      </w:r>
                      <w:r>
                        <w:rPr>
                          <w:sz w:val="16"/>
                        </w:rPr>
                        <w:fldChar w:fldCharType="end"/>
                      </w:r>
                      <w:r>
                        <w:rPr>
                          <w:sz w:val="16"/>
                        </w:rPr>
                        <w:t>.</w:t>
                      </w:r>
                    </w:p>
                    <w:p w14:paraId="70E6A7CA" w14:textId="77777777" w:rsidR="0028726F" w:rsidRDefault="00EE5C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BFDF20" w14:textId="61001195" w:rsidR="0028726F" w:rsidRDefault="00EE5C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61E3">
                        <w:rPr>
                          <w:sz w:val="16"/>
                        </w:rPr>
                        <w:t>2025</w:t>
                      </w:r>
                      <w:r>
                        <w:rPr>
                          <w:sz w:val="16"/>
                        </w:rPr>
                        <w:fldChar w:fldCharType="end"/>
                      </w:r>
                      <w:r>
                        <w:rPr>
                          <w:sz w:val="16"/>
                        </w:rPr>
                        <w:t>.</w:t>
                      </w:r>
                    </w:p>
                    <w:p w14:paraId="6ADFBA72" w14:textId="77777777" w:rsidR="0028726F" w:rsidRDefault="00EE5C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10211"/>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 w:name="WAFER_20241112145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5013_GUID" w:val="87d019d3-5c48-47f1-816c-fa43357c3b5e"/>
    <w:docVar w:name="WAFER_2025011611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0211_GUID" w:val="630d97ba-4af3-4574-9494-c256082cd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15071</Words>
  <Characters>73396</Characters>
  <Application>Microsoft Office Word</Application>
  <DocSecurity>0</DocSecurity>
  <Lines>2038</Lines>
  <Paragraphs>1300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2007 - 01-g0-00</dc:title>
  <dc:subject/>
  <dc:creator/>
  <cp:keywords/>
  <dc:description/>
  <cp:lastModifiedBy>Master Repository Process</cp:lastModifiedBy>
  <cp:revision>4</cp:revision>
  <cp:lastPrinted>2017-07-26T02:36:00Z</cp:lastPrinted>
  <dcterms:created xsi:type="dcterms:W3CDTF">2025-06-09T04:29:00Z</dcterms:created>
  <dcterms:modified xsi:type="dcterms:W3CDTF">2025-06-09T04:29:00Z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31 Jan 2025</vt:lpwstr>
  </property>
  <property fmtid="{D5CDD505-2E9C-101B-9397-08002B2CF9AE}" pid="8" name="Suffix">
    <vt:lpwstr>01-g0-00</vt:lpwstr>
  </property>
  <property fmtid="{D5CDD505-2E9C-101B-9397-08002B2CF9AE}" pid="9" name="Official">
    <vt:lpwstr/>
  </property>
  <property fmtid="{D5CDD505-2E9C-101B-9397-08002B2CF9AE}" pid="10" name="CommencementDate">
    <vt:lpwstr>20250131</vt:lpwstr>
  </property>
  <property fmtid="{D5CDD505-2E9C-101B-9397-08002B2CF9AE}" pid="11" name="CommencementAsAt">
    <vt:filetime>2025-01-30T16:00:00Z</vt:filetime>
  </property>
  <property fmtid="{D5CDD505-2E9C-101B-9397-08002B2CF9AE}" pid="12" name="CommencementYear">
    <vt:lpwstr>2025</vt:lpwstr>
  </property>
</Properties>
</file>