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_Toc189562505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_Toc189562506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_Toc189562507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48 amended</w:t>
      </w:r>
      <w:r>
        <w:tab/>
      </w:r>
      <w:r>
        <w:fldChar w:fldCharType="begin"/>
      </w:r>
      <w:r>
        <w:instrText xml:space="preserve"> PAGEREF _Toc189562508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50 amended</w:t>
      </w:r>
      <w:r>
        <w:tab/>
      </w:r>
      <w:r>
        <w:fldChar w:fldCharType="begin"/>
      </w:r>
      <w:r>
        <w:instrText xml:space="preserve"> PAGEREF _Toc189562509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50A amended</w:t>
      </w:r>
      <w:r>
        <w:tab/>
      </w:r>
      <w:r>
        <w:fldChar w:fldCharType="begin"/>
      </w:r>
      <w:r>
        <w:instrText xml:space="preserve"> PAGEREF _Toc189562510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51 amended</w:t>
      </w:r>
      <w:r>
        <w:tab/>
      </w:r>
      <w:r>
        <w:fldChar w:fldCharType="begin"/>
      </w:r>
      <w:r>
        <w:instrText xml:space="preserve"> PAGEREF _Toc189562511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52 amended</w:t>
      </w:r>
      <w:r>
        <w:tab/>
      </w:r>
      <w:r>
        <w:fldChar w:fldCharType="begin"/>
      </w:r>
      <w:r>
        <w:instrText xml:space="preserve"> PAGEREF _Toc189562512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53 amended</w:t>
      </w:r>
      <w:r>
        <w:tab/>
      </w:r>
      <w:r>
        <w:fldChar w:fldCharType="begin"/>
      </w:r>
      <w:r>
        <w:instrText xml:space="preserve"> PAGEREF _Toc189562513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53A amended</w:t>
      </w:r>
      <w:r>
        <w:tab/>
      </w:r>
      <w:r>
        <w:fldChar w:fldCharType="begin"/>
      </w:r>
      <w:r>
        <w:instrText xml:space="preserve"> PAGEREF _Toc189562514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54A amended</w:t>
      </w:r>
      <w:r>
        <w:tab/>
      </w:r>
      <w:r>
        <w:fldChar w:fldCharType="begin"/>
      </w:r>
      <w:r>
        <w:instrText xml:space="preserve"> PAGEREF _Toc189562515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_Toc189562516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6 amended</w:t>
      </w:r>
      <w:r>
        <w:tab/>
      </w:r>
      <w:r>
        <w:fldChar w:fldCharType="begin"/>
      </w:r>
      <w:r>
        <w:instrText xml:space="preserve"> PAGEREF _Toc189562517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Act 2011</w:t>
      </w:r>
    </w:p>
    <w:p>
      <w:pPr>
        <w:pStyle w:val="NameofActReg"/>
      </w:pPr>
      <w:r>
        <w:t>Building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9144286"/>
      <w:bookmarkStart w:id="3" w:name="_Toc18956250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4287"/>
      <w:bookmarkStart w:id="6" w:name="_Toc1895625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9144288"/>
      <w:bookmarkStart w:id="8" w:name="_Toc1895625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Regulations 2012</w:t>
      </w:r>
      <w:r>
        <w:t>.</w:t>
      </w:r>
    </w:p>
    <w:p>
      <w:pPr>
        <w:pStyle w:val="Heading5"/>
      </w:pPr>
      <w:bookmarkStart w:id="9" w:name="_Toc189144289"/>
      <w:bookmarkStart w:id="10" w:name="_Toc189562508"/>
      <w:r>
        <w:rPr>
          <w:rStyle w:val="CharSectno"/>
        </w:rPr>
        <w:t>4</w:t>
      </w:r>
      <w:r>
        <w:t>.</w:t>
      </w:r>
      <w:r>
        <w:tab/>
        <w:t>Regulation 48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48 delete the definition of </w:t>
      </w:r>
      <w:r>
        <w:rPr>
          <w:b/>
          <w:bCs/>
          <w:i/>
          <w:iCs/>
        </w:rPr>
        <w:t>pool barrier</w:t>
      </w:r>
      <w:r>
        <w:t>.</w:t>
      </w:r>
    </w:p>
    <w:p>
      <w:pPr>
        <w:pStyle w:val="Heading5"/>
      </w:pPr>
      <w:bookmarkStart w:id="11" w:name="_Toc189144290"/>
      <w:bookmarkStart w:id="12" w:name="_Toc189562509"/>
      <w:r>
        <w:rPr>
          <w:rStyle w:val="CharSectno"/>
        </w:rPr>
        <w:t>5</w:t>
      </w:r>
      <w:r>
        <w:t>.</w:t>
      </w:r>
      <w:r>
        <w:tab/>
        <w:t>Regulation 50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regulation 50(2) delete “restricting access”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that restricts access to the pool and complies with the requirements of regulation 50A (and, if applicable, regulation 52)</w:t>
      </w:r>
    </w:p>
    <w:p>
      <w:pPr>
        <w:pStyle w:val="BlankClose"/>
      </w:pPr>
    </w:p>
    <w:p>
      <w:pPr>
        <w:pStyle w:val="Heading5"/>
      </w:pPr>
      <w:bookmarkStart w:id="13" w:name="_Toc189144291"/>
      <w:bookmarkStart w:id="14" w:name="_Toc189562510"/>
      <w:r>
        <w:rPr>
          <w:rStyle w:val="CharSectno"/>
        </w:rPr>
        <w:lastRenderedPageBreak/>
        <w:t>6</w:t>
      </w:r>
      <w:r>
        <w:t>.</w:t>
      </w:r>
      <w:r>
        <w:tab/>
        <w:t>Regulation 50A amended</w:t>
      </w:r>
      <w:bookmarkEnd w:id="13"/>
      <w:bookmarkEnd w:id="14"/>
    </w:p>
    <w:p>
      <w:pPr>
        <w:pStyle w:val="Subsection"/>
        <w:keepNext/>
      </w:pPr>
      <w:r>
        <w:tab/>
      </w:r>
      <w:r>
        <w:tab/>
        <w:t>In regulation 50A(1) and (4)(b) after “access”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to the pool</w:t>
      </w:r>
    </w:p>
    <w:p>
      <w:pPr>
        <w:pStyle w:val="BlankClose"/>
      </w:pPr>
    </w:p>
    <w:p>
      <w:pPr>
        <w:pStyle w:val="Heading5"/>
      </w:pPr>
      <w:bookmarkStart w:id="15" w:name="_Toc189144292"/>
      <w:bookmarkStart w:id="16" w:name="_Toc189562511"/>
      <w:r>
        <w:rPr>
          <w:rStyle w:val="CharSectno"/>
        </w:rPr>
        <w:t>7</w:t>
      </w:r>
      <w:r>
        <w:t>.</w:t>
      </w:r>
      <w:r>
        <w:tab/>
        <w:t>Regulation 51 amended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In regulation 51(2) after “access”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to the pool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51(3)(c) delete “access.”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access to the pool.</w:t>
      </w:r>
    </w:p>
    <w:p>
      <w:pPr>
        <w:pStyle w:val="BlankClose"/>
      </w:pPr>
    </w:p>
    <w:p>
      <w:pPr>
        <w:pStyle w:val="Heading5"/>
      </w:pPr>
      <w:bookmarkStart w:id="17" w:name="_Toc189144293"/>
      <w:bookmarkStart w:id="18" w:name="_Toc189562512"/>
      <w:r>
        <w:rPr>
          <w:rStyle w:val="CharSectno"/>
        </w:rPr>
        <w:t>8</w:t>
      </w:r>
      <w:r>
        <w:t>.</w:t>
      </w:r>
      <w:r>
        <w:tab/>
        <w:t>Regulation 52 amended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52(3) and insert:</w:t>
      </w:r>
    </w:p>
    <w:p>
      <w:pPr>
        <w:pStyle w:val="BlankOpen"/>
      </w:pPr>
    </w:p>
    <w:p>
      <w:pPr>
        <w:pStyle w:val="zSubsection"/>
        <w:keepNext/>
      </w:pPr>
      <w:r>
        <w:tab/>
        <w:t>(3)</w:t>
      </w:r>
      <w:r>
        <w:tab/>
        <w:t>The pool barrier required by regulation 50(2) may include a wall that contains a door permitting access to the pool through a building if that door satisfies the requirements of AS 1926.1-1993.</w:t>
      </w:r>
    </w:p>
    <w:p>
      <w:pPr>
        <w:pStyle w:val="BlankClose"/>
      </w:pPr>
    </w:p>
    <w:p>
      <w:pPr>
        <w:pStyle w:val="Heading5"/>
      </w:pPr>
      <w:bookmarkStart w:id="19" w:name="_Toc189144294"/>
      <w:bookmarkStart w:id="20" w:name="_Toc189562513"/>
      <w:r>
        <w:rPr>
          <w:rStyle w:val="CharSectno"/>
        </w:rPr>
        <w:t>9</w:t>
      </w:r>
      <w:r>
        <w:t>.</w:t>
      </w:r>
      <w:r>
        <w:tab/>
        <w:t>Regulation 53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In regulation 53(1) delete “the provisions of regulations 50, 50A and 52 are”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 50(2) is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In regulation 53(2)(b)(i) delete “the provisions in regulation 50, 50A and 52 are”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 50(2) is</w:t>
      </w:r>
    </w:p>
    <w:p>
      <w:pPr>
        <w:pStyle w:val="BlankClose"/>
      </w:pPr>
    </w:p>
    <w:p>
      <w:pPr>
        <w:pStyle w:val="Subsection"/>
        <w:keepNext/>
        <w:keepLines/>
      </w:pPr>
      <w:r>
        <w:tab/>
        <w:t>(3)</w:t>
      </w:r>
      <w:r>
        <w:tab/>
        <w:t>In regulation 53(2) in the note delete “</w:t>
      </w:r>
      <w:r>
        <w:rPr>
          <w:rFonts w:ascii="Arial" w:hAnsi="Arial" w:cs="Arial"/>
          <w:sz w:val="18"/>
          <w:szCs w:val="18"/>
        </w:rPr>
        <w:t>the provisions in regulations 50, 50A and 52 are</w:t>
      </w:r>
      <w:r>
        <w:t>”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</w:rPr>
      </w:pPr>
      <w:r>
        <w:tab/>
      </w:r>
      <w:r>
        <w:tab/>
      </w:r>
      <w:r>
        <w:rPr>
          <w:rFonts w:ascii="Arial" w:hAnsi="Arial" w:cs="Arial"/>
          <w:sz w:val="18"/>
          <w:szCs w:val="14"/>
        </w:rPr>
        <w:t>regulation 50(2) is</w:t>
      </w:r>
    </w:p>
    <w:p>
      <w:pPr>
        <w:pStyle w:val="BlankClose"/>
      </w:pPr>
    </w:p>
    <w:p>
      <w:pPr>
        <w:pStyle w:val="Heading5"/>
      </w:pPr>
      <w:bookmarkStart w:id="21" w:name="_Toc189144295"/>
      <w:bookmarkStart w:id="22" w:name="_Toc189562514"/>
      <w:r>
        <w:rPr>
          <w:rStyle w:val="CharSectno"/>
        </w:rPr>
        <w:t>10</w:t>
      </w:r>
      <w:r>
        <w:t>.</w:t>
      </w:r>
      <w:r>
        <w:tab/>
        <w:t>Regulation 53A amended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In regulation 53A(1) in the definition of </w:t>
      </w:r>
      <w:r>
        <w:rPr>
          <w:b/>
          <w:bCs/>
          <w:i/>
          <w:iCs/>
        </w:rPr>
        <w:t>re</w:t>
      </w:r>
      <w:r>
        <w:rPr>
          <w:b/>
          <w:bCs/>
          <w:i/>
          <w:iCs/>
        </w:rPr>
        <w:noBreakHyphen/>
        <w:t>inspection</w:t>
      </w:r>
      <w:r>
        <w:t xml:space="preserve"> delete “53(2)(b(i))”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53(2)(b)(i)</w:t>
      </w:r>
    </w:p>
    <w:p>
      <w:pPr>
        <w:pStyle w:val="BlankClose"/>
      </w:pPr>
    </w:p>
    <w:p>
      <w:pPr>
        <w:pStyle w:val="Heading5"/>
      </w:pPr>
      <w:bookmarkStart w:id="23" w:name="_Toc189144296"/>
      <w:bookmarkStart w:id="24" w:name="_Toc189562515"/>
      <w:r>
        <w:rPr>
          <w:rStyle w:val="CharSectno"/>
        </w:rPr>
        <w:t>11</w:t>
      </w:r>
      <w:r>
        <w:t>.</w:t>
      </w:r>
      <w:r>
        <w:tab/>
        <w:t>Regulation 54A amended</w:t>
      </w:r>
      <w:bookmarkEnd w:id="23"/>
      <w:bookmarkEnd w:id="24"/>
    </w:p>
    <w:p>
      <w:pPr>
        <w:pStyle w:val="Subsection"/>
        <w:keepNext/>
      </w:pPr>
      <w:r>
        <w:tab/>
      </w:r>
      <w:r>
        <w:tab/>
        <w:t>In regulation 54A(2) delete “complies with regulation 50”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restricts access to the pool and complies with the requirements of regulation 50A (and, if applicable, regulation 52)</w:t>
      </w:r>
    </w:p>
    <w:p>
      <w:pPr>
        <w:pStyle w:val="BlankClose"/>
      </w:pPr>
    </w:p>
    <w:p>
      <w:pPr>
        <w:pStyle w:val="Heading5"/>
      </w:pPr>
      <w:bookmarkStart w:id="25" w:name="_Toc189144297"/>
      <w:bookmarkStart w:id="26" w:name="_Toc189562516"/>
      <w:r>
        <w:rPr>
          <w:rStyle w:val="CharSectno"/>
        </w:rPr>
        <w:t>12</w:t>
      </w:r>
      <w:r>
        <w:t>.</w:t>
      </w:r>
      <w:r>
        <w:tab/>
        <w:t>Schedule 4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In Schedule 4 clause 2 in the definition of </w:t>
      </w:r>
      <w:r>
        <w:rPr>
          <w:b/>
          <w:bCs/>
          <w:i/>
          <w:iCs/>
        </w:rPr>
        <w:t>fence</w:t>
      </w:r>
      <w:r>
        <w:t xml:space="preserve"> delete “</w:t>
      </w:r>
      <w:r>
        <w:rPr>
          <w:sz w:val="22"/>
          <w:szCs w:val="18"/>
        </w:rPr>
        <w:t>barrier as defined in regulation 48;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barrier;</w:t>
      </w:r>
    </w:p>
    <w:p>
      <w:pPr>
        <w:pStyle w:val="BlankClose"/>
      </w:pPr>
    </w:p>
    <w:p>
      <w:pPr>
        <w:pStyle w:val="Heading5"/>
      </w:pPr>
      <w:bookmarkStart w:id="27" w:name="_Toc189144298"/>
      <w:bookmarkStart w:id="28" w:name="_Toc189562517"/>
      <w:r>
        <w:rPr>
          <w:rStyle w:val="CharSectno"/>
        </w:rPr>
        <w:lastRenderedPageBreak/>
        <w:t>13</w:t>
      </w:r>
      <w:r>
        <w:t>.</w:t>
      </w:r>
      <w:r>
        <w:tab/>
        <w:t>Schedule 6 amended</w:t>
      </w:r>
      <w:bookmarkEnd w:id="27"/>
      <w:bookmarkEnd w:id="28"/>
    </w:p>
    <w:p>
      <w:pPr>
        <w:pStyle w:val="Subsection"/>
        <w:keepNext/>
      </w:pPr>
      <w:r>
        <w:tab/>
      </w:r>
      <w:r>
        <w:tab/>
        <w:t>In Schedule 6 Division 2 delete the item relating to regulation 50(1) and insert:</w:t>
      </w:r>
    </w:p>
    <w:p>
      <w:pPr>
        <w:pStyle w:val="BlankOpen"/>
      </w:pP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4394"/>
        <w:gridCol w:w="1276"/>
      </w:tblGrid>
      <w:tr>
        <w:trPr>
          <w:cantSplit/>
        </w:trPr>
        <w:tc>
          <w:tcPr>
            <w:tcW w:w="992" w:type="dxa"/>
          </w:tcPr>
          <w:p>
            <w:pPr>
              <w:pStyle w:val="zyTableNAm"/>
              <w:keepNext/>
            </w:pPr>
            <w:r>
              <w:t>r. 50(2)</w:t>
            </w:r>
          </w:p>
        </w:tc>
        <w:tc>
          <w:tcPr>
            <w:tcW w:w="4394" w:type="dxa"/>
          </w:tcPr>
          <w:p>
            <w:pPr>
              <w:pStyle w:val="zyTableNAm"/>
              <w:keepNext/>
            </w:pPr>
            <w:r>
              <w:t>Failure to install compliant pool barrier around private swimming pool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keepNext/>
              <w:jc w:val="center"/>
            </w:pPr>
            <w:r>
              <w:t>$1 000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0B2B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F1D97FB" w14:textId="7D08B183" w:rsidR="00E4092C" w:rsidRDefault="00E409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16C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5C5A57" w14:textId="77777777" w:rsidR="00E4092C" w:rsidRDefault="00E409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029380" w14:textId="0EBBDEE8" w:rsidR="00E4092C" w:rsidRDefault="00E409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116C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E14B73" w14:textId="77777777" w:rsidR="00E4092C" w:rsidRDefault="00E4092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501301543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1135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1135540_GUID" w:val="d9111583-ca30-4e0a-8bd4-ba5529c0e128"/>
    <w:docVar w:name="WAFER_202411281512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8151256_GUID" w:val="6c322efc-1a4e-49b7-9512-63d69550e80c"/>
    <w:docVar w:name="WAFER_202501301543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54353_GUID" w:val="b1fa90f4-3a98-4c26-a2a9-f29a2e3d16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2C7ADF45-5B1C-4F9F-BCF7-6B2FF9F8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3149</Characters>
  <Application>Microsoft Office Word</Application>
  <DocSecurity>0</DocSecurity>
  <Lines>149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Amendment Regulations 2025 - 00-00-00</dc:title>
  <dc:subject/>
  <dc:creator/>
  <cp:keywords/>
  <dc:description/>
  <cp:lastModifiedBy>Master Repository Process</cp:lastModifiedBy>
  <cp:revision>4</cp:revision>
  <cp:lastPrinted>2024-11-07T01:11:00Z</cp:lastPrinted>
  <dcterms:created xsi:type="dcterms:W3CDTF">2025-06-17T04:01:00Z</dcterms:created>
  <dcterms:modified xsi:type="dcterms:W3CDTF">2025-06-17T04:01:00Z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55175</vt:lpwstr>
  </property>
  <property fmtid="{D5CDD505-2E9C-101B-9397-08002B2CF9AE}" pid="3" name="DocumentType">
    <vt:lpwstr>Reg</vt:lpwstr>
  </property>
  <property fmtid="{D5CDD505-2E9C-101B-9397-08002B2CF9AE}" pid="4" name="AsAtDate">
    <vt:lpwstr>05 Feb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2025/34</vt:lpwstr>
  </property>
  <property fmtid="{D5CDD505-2E9C-101B-9397-08002B2CF9AE}" pid="8" name="PublishDate">
    <vt:lpwstr>5 Feb 2025</vt:lpwstr>
  </property>
  <property fmtid="{D5CDD505-2E9C-101B-9397-08002B2CF9AE}" pid="9" name="CommencementDate">
    <vt:lpwstr>20250205</vt:lpwstr>
  </property>
  <property fmtid="{D5CDD505-2E9C-101B-9397-08002B2CF9AE}" pid="10" name="CommencementAsAt">
    <vt:filetime>2025-02-04T16:00:00Z</vt:filetime>
  </property>
  <property fmtid="{D5CDD505-2E9C-101B-9397-08002B2CF9AE}" pid="11" name="CommencementYear">
    <vt:lpwstr>2025</vt:lpwstr>
  </property>
</Properties>
</file>