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Electricity Industry Act 2004</w:t>
      </w:r>
      <w:r>
        <w:rPr>
          <w:noProof/>
        </w:rPr>
        <w:br/>
        <w:t>Electricity Transmission and Distribution Systems (Access) Act 1994</w:t>
      </w:r>
      <w:r>
        <w:rPr>
          <w:noProof/>
        </w:rPr>
        <w:br/>
        <w:t>Gas Services Information Act 2012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Regulations Amendment (Distributed Energy Resources) Regulations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Regulations Amendment (Distributed Energy Resources) Regulations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_Toc189561741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_Toc189561742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2 — </w:t>
      </w:r>
      <w:r>
        <w:rPr>
          <w:i/>
        </w:rPr>
        <w:t>Australian Energy Market Operator (Functions) Regulations 2015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_Toc189561744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5 amended</w:t>
      </w:r>
      <w:r>
        <w:tab/>
      </w:r>
      <w:r>
        <w:fldChar w:fldCharType="begin"/>
      </w:r>
      <w:r>
        <w:instrText xml:space="preserve"> PAGEREF _Toc189561745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3 — </w:t>
      </w:r>
      <w:r>
        <w:rPr>
          <w:i/>
          <w:iCs/>
        </w:rPr>
        <w:t>Electricity Industry (Wholesale Electricity Market) Regulations 2004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_Toc189561747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Regulation 1 amended</w:t>
      </w:r>
      <w:r>
        <w:tab/>
      </w:r>
      <w:r>
        <w:fldChar w:fldCharType="begin"/>
      </w:r>
      <w:r>
        <w:instrText xml:space="preserve"> PAGEREF _Toc189561748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Regulation 2 deleted</w:t>
      </w:r>
      <w:r>
        <w:tab/>
      </w:r>
      <w:r>
        <w:fldChar w:fldCharType="begin"/>
      </w:r>
      <w:r>
        <w:instrText xml:space="preserve"> PAGEREF _Toc189561749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Regulation 3 amended</w:t>
      </w:r>
      <w:r>
        <w:tab/>
      </w:r>
      <w:r>
        <w:fldChar w:fldCharType="begin"/>
      </w:r>
      <w:r>
        <w:instrText xml:space="preserve"> PAGEREF _Toc189561750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Regulation 4A amended</w:t>
      </w:r>
      <w:r>
        <w:tab/>
      </w:r>
      <w:r>
        <w:fldChar w:fldCharType="begin"/>
      </w:r>
      <w:r>
        <w:instrText xml:space="preserve"> PAGEREF _Toc189561751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10.</w:t>
      </w:r>
      <w:r>
        <w:tab/>
        <w:t>Regulation 5 amended</w:t>
      </w:r>
      <w:r>
        <w:tab/>
      </w:r>
      <w:r>
        <w:fldChar w:fldCharType="begin"/>
      </w:r>
      <w:r>
        <w:instrText xml:space="preserve"> PAGEREF _Toc189561752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11.</w:t>
      </w:r>
      <w:r>
        <w:tab/>
        <w:t>Regulation 7 amended</w:t>
      </w:r>
      <w:r>
        <w:tab/>
      </w:r>
      <w:r>
        <w:fldChar w:fldCharType="begin"/>
      </w:r>
      <w:r>
        <w:instrText xml:space="preserve"> PAGEREF _Toc189561753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12.</w:t>
      </w:r>
      <w:r>
        <w:tab/>
        <w:t>Regulation 17 amended</w:t>
      </w:r>
      <w:r>
        <w:tab/>
      </w:r>
      <w:r>
        <w:fldChar w:fldCharType="begin"/>
      </w:r>
      <w:r>
        <w:instrText xml:space="preserve"> PAGEREF _Toc189561754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13.</w:t>
      </w:r>
      <w:r>
        <w:tab/>
        <w:t>Regulation 21 amended</w:t>
      </w:r>
      <w:r>
        <w:tab/>
      </w:r>
      <w:r>
        <w:fldChar w:fldCharType="begin"/>
      </w:r>
      <w:r>
        <w:instrText xml:space="preserve"> PAGEREF _Toc189561755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14.</w:t>
      </w:r>
      <w:r>
        <w:tab/>
        <w:t>Regulation 31 amended</w:t>
      </w:r>
      <w:r>
        <w:tab/>
      </w:r>
      <w:r>
        <w:fldChar w:fldCharType="begin"/>
      </w:r>
      <w:r>
        <w:instrText xml:space="preserve"> PAGEREF _Toc189561756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15.</w:t>
      </w:r>
      <w:r>
        <w:tab/>
        <w:t>Regulation 51 replaced</w:t>
      </w:r>
      <w:r>
        <w:tab/>
      </w:r>
      <w:r>
        <w:fldChar w:fldCharType="begin"/>
      </w:r>
      <w:r>
        <w:instrText xml:space="preserve"> PAGEREF _Toc189561757 \h </w:instrText>
      </w:r>
      <w:r>
        <w:fldChar w:fldCharType="separate"/>
      </w:r>
      <w:r>
        <w:t>5</w:t>
      </w:r>
      <w: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lastRenderedPageBreak/>
        <w:t>51.</w:t>
      </w:r>
      <w:r>
        <w:rPr>
          <w:noProof/>
        </w:rPr>
        <w:tab/>
        <w:t>Specified governance participants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_Toc189561758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16.</w:t>
      </w:r>
      <w:r>
        <w:tab/>
        <w:t>Regulation 52 amended</w:t>
      </w:r>
      <w:r>
        <w:tab/>
      </w:r>
      <w:r>
        <w:fldChar w:fldCharType="begin"/>
      </w:r>
      <w:r>
        <w:instrText xml:space="preserve"> PAGEREF _Toc189561759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17.</w:t>
      </w:r>
      <w:r>
        <w:tab/>
        <w:t>Regulation 53 amended</w:t>
      </w:r>
      <w:r>
        <w:tab/>
      </w:r>
      <w:r>
        <w:fldChar w:fldCharType="begin"/>
      </w:r>
      <w:r>
        <w:instrText xml:space="preserve"> PAGEREF _Toc189561760 \h </w:instrText>
      </w:r>
      <w:r>
        <w:fldChar w:fldCharType="separate"/>
      </w:r>
      <w:r>
        <w:t>7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18.</w:t>
      </w:r>
      <w:r>
        <w:tab/>
        <w:t>Part 10 heading replaced</w:t>
      </w:r>
      <w:r>
        <w:tab/>
      </w:r>
      <w:r>
        <w:fldChar w:fldCharType="begin"/>
      </w:r>
      <w:r>
        <w:instrText xml:space="preserve"> PAGEREF _Toc189561761 \h </w:instrText>
      </w:r>
      <w:r>
        <w:fldChar w:fldCharType="separate"/>
      </w:r>
      <w:r>
        <w:t>7</w:t>
      </w:r>
      <w:r>
        <w:fldChar w:fldCharType="end"/>
      </w:r>
    </w:p>
    <w:p>
      <w:pPr>
        <w:pStyle w:val="TOC3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10 — Miscellaneous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19.</w:t>
      </w:r>
      <w:r>
        <w:tab/>
        <w:t>Regulations 55A and 55B inserted</w:t>
      </w:r>
      <w:r>
        <w:tab/>
      </w:r>
      <w:r>
        <w:fldChar w:fldCharType="begin"/>
      </w:r>
      <w:r>
        <w:instrText xml:space="preserve"> PAGEREF _Toc189561763 \h </w:instrText>
      </w:r>
      <w:r>
        <w:fldChar w:fldCharType="separate"/>
      </w:r>
      <w:r>
        <w:t>7</w:t>
      </w:r>
      <w: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55A.</w:t>
      </w:r>
      <w:r>
        <w:rPr>
          <w:noProof/>
        </w:rPr>
        <w:tab/>
        <w:t>Prescribed voltage (Act s. 3(1))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_Toc189561764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55B.</w:t>
      </w:r>
      <w:r>
        <w:rPr>
          <w:noProof/>
        </w:rPr>
        <w:tab/>
        <w:t>System voltage (Act s. 124B)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_Toc189561765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20.</w:t>
      </w:r>
      <w:r>
        <w:tab/>
        <w:t>Schedule 1 amended</w:t>
      </w:r>
      <w:r>
        <w:tab/>
      </w:r>
      <w:r>
        <w:fldChar w:fldCharType="begin"/>
      </w:r>
      <w:r>
        <w:instrText xml:space="preserve"> PAGEREF _Toc189561766 \h </w:instrText>
      </w:r>
      <w:r>
        <w:fldChar w:fldCharType="separate"/>
      </w:r>
      <w:r>
        <w:t>8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4 — </w:t>
      </w:r>
      <w:r>
        <w:rPr>
          <w:i/>
          <w:iCs/>
        </w:rPr>
        <w:t>Electricity Transmission Regulations 1996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21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_Toc189561768 \h </w:instrText>
      </w:r>
      <w:r>
        <w:fldChar w:fldCharType="separate"/>
      </w:r>
      <w:r>
        <w:t>12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22.</w:t>
      </w:r>
      <w:r>
        <w:tab/>
        <w:t>Regulation 20 amended</w:t>
      </w:r>
      <w:r>
        <w:tab/>
      </w:r>
      <w:r>
        <w:fldChar w:fldCharType="begin"/>
      </w:r>
      <w:r>
        <w:instrText xml:space="preserve"> PAGEREF _Toc189561769 \h </w:instrText>
      </w:r>
      <w:r>
        <w:fldChar w:fldCharType="separate"/>
      </w:r>
      <w:r>
        <w:t>12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Electricity Industry Act 2004</w:t>
      </w:r>
      <w:r>
        <w:br/>
      </w:r>
      <w:r>
        <w:rPr>
          <w:iCs/>
        </w:rPr>
        <w:t>Electricity Transmission and Distribution Systems (Access) Act 1994</w:t>
      </w:r>
      <w:r>
        <w:rPr>
          <w:iCs/>
        </w:rPr>
        <w:br/>
        <w:t>Gas Services Information Act 2012</w:t>
      </w:r>
    </w:p>
    <w:p>
      <w:pPr>
        <w:pStyle w:val="NameofActReg"/>
      </w:pPr>
      <w:r>
        <w:t>Electricity Industry Regulations Amendment (Distributed Energy Resources) Regulations 2025</w:t>
      </w:r>
    </w:p>
    <w:p>
      <w:pPr>
        <w:pStyle w:val="MadeBy"/>
      </w:pPr>
      <w:r>
        <w:t>Made by the Governor in Executive Council.</w:t>
      </w:r>
    </w:p>
    <w:p>
      <w:pPr>
        <w:pStyle w:val="Heading2"/>
        <w:pageBreakBefore w:val="0"/>
        <w:spacing w:before="360"/>
      </w:pPr>
      <w:bookmarkStart w:id="2" w:name="_Toc189142571"/>
      <w:bookmarkStart w:id="3" w:name="_Toc189142685"/>
      <w:bookmarkStart w:id="4" w:name="_Toc189142957"/>
      <w:bookmarkStart w:id="5" w:name="_Toc189143578"/>
      <w:bookmarkStart w:id="6" w:name="_Toc189561740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  <w:bookmarkEnd w:id="5"/>
      <w:bookmarkEnd w:id="6"/>
    </w:p>
    <w:p>
      <w:pPr>
        <w:pStyle w:val="Heading5"/>
      </w:pPr>
      <w:bookmarkStart w:id="7" w:name="_Toc189142572"/>
      <w:bookmarkStart w:id="8" w:name="_Toc189561741"/>
      <w:r>
        <w:rPr>
          <w:rStyle w:val="CharSectno"/>
        </w:rPr>
        <w:t>1</w:t>
      </w:r>
      <w:r>
        <w:t>.</w:t>
      </w:r>
      <w:r>
        <w:tab/>
        <w:t>Citation</w:t>
      </w:r>
      <w:bookmarkEnd w:id="7"/>
      <w:bookmarkEnd w:id="8"/>
    </w:p>
    <w:p>
      <w:pPr>
        <w:pStyle w:val="Subsection"/>
      </w:pPr>
      <w:r>
        <w:tab/>
      </w:r>
      <w:r>
        <w:tab/>
      </w:r>
      <w:bookmarkStart w:id="9" w:name="Start_Cursor"/>
      <w:bookmarkEnd w:id="9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Electricity Industry Regulations Amendment (Distributed Energy Resources) Regulations 2025</w:t>
      </w:r>
      <w:r>
        <w:t>.</w:t>
      </w:r>
    </w:p>
    <w:p>
      <w:pPr>
        <w:pStyle w:val="Heading5"/>
        <w:rPr>
          <w:spacing w:val="-2"/>
        </w:rPr>
      </w:pPr>
      <w:bookmarkStart w:id="10" w:name="_Toc189142573"/>
      <w:bookmarkStart w:id="11" w:name="_Toc18956174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0"/>
      <w:bookmarkEnd w:id="11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  <w:t xml:space="preserve">Part 1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on the day on which the </w:t>
      </w:r>
      <w:r>
        <w:rPr>
          <w:i/>
          <w:iCs/>
        </w:rPr>
        <w:t>Electricity Industry Amendment (Distributed Energy Resources) Act 2024</w:t>
      </w:r>
      <w:r>
        <w:t xml:space="preserve"> section 3 comes into operation.</w:t>
      </w:r>
    </w:p>
    <w:p>
      <w:pPr>
        <w:pStyle w:val="Heading2"/>
      </w:pPr>
      <w:bookmarkStart w:id="12" w:name="_Toc189142574"/>
      <w:bookmarkStart w:id="13" w:name="_Toc189142688"/>
      <w:bookmarkStart w:id="14" w:name="_Toc189142960"/>
      <w:bookmarkStart w:id="15" w:name="_Toc189143581"/>
      <w:bookmarkStart w:id="16" w:name="_Toc189561743"/>
      <w:r>
        <w:rPr>
          <w:rStyle w:val="CharPartNo"/>
        </w:rPr>
        <w:lastRenderedPageBreak/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Australian Energy Market Operator (Functions) Regulations 2015</w:t>
      </w:r>
      <w:r>
        <w:rPr>
          <w:rStyle w:val="CharPartText"/>
        </w:rPr>
        <w:t xml:space="preserve"> amended</w:t>
      </w:r>
      <w:bookmarkEnd w:id="12"/>
      <w:bookmarkEnd w:id="13"/>
      <w:bookmarkEnd w:id="14"/>
      <w:bookmarkEnd w:id="15"/>
      <w:bookmarkEnd w:id="16"/>
    </w:p>
    <w:p>
      <w:pPr>
        <w:pStyle w:val="Heading5"/>
        <w:rPr>
          <w:snapToGrid w:val="0"/>
        </w:rPr>
      </w:pPr>
      <w:bookmarkStart w:id="17" w:name="_Toc189142575"/>
      <w:bookmarkStart w:id="18" w:name="_Toc18956174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17"/>
      <w:bookmarkEnd w:id="18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Australian Energy Market Operator (Functions) Regulations 2015</w:t>
      </w:r>
      <w:r>
        <w:t>.</w:t>
      </w:r>
    </w:p>
    <w:p>
      <w:pPr>
        <w:pStyle w:val="Heading5"/>
      </w:pPr>
      <w:bookmarkStart w:id="19" w:name="_Toc189142576"/>
      <w:bookmarkStart w:id="20" w:name="_Toc189561745"/>
      <w:r>
        <w:rPr>
          <w:rStyle w:val="CharSectno"/>
        </w:rPr>
        <w:t>4</w:t>
      </w:r>
      <w:r>
        <w:t>.</w:t>
      </w:r>
      <w:r>
        <w:tab/>
        <w:t>Regulation 5 amended</w:t>
      </w:r>
      <w:bookmarkEnd w:id="19"/>
      <w:bookmarkEnd w:id="20"/>
    </w:p>
    <w:p>
      <w:pPr>
        <w:pStyle w:val="Subsection"/>
      </w:pPr>
      <w:r>
        <w:tab/>
      </w:r>
      <w:r>
        <w:tab/>
        <w:t>In regulation 5(1) and (2) delete “</w:t>
      </w:r>
      <w:r>
        <w:rPr>
          <w:i/>
          <w:iCs/>
        </w:rPr>
        <w:t>(Wholesale Electricity Market)</w:t>
      </w:r>
      <w:r>
        <w:t>” and insert:</w:t>
      </w:r>
    </w:p>
    <w:p>
      <w:pPr>
        <w:pStyle w:val="BlankOpen"/>
      </w:pPr>
    </w:p>
    <w:p>
      <w:pPr>
        <w:pStyle w:val="Subsection"/>
        <w:rPr>
          <w:i/>
          <w:iCs/>
        </w:rPr>
      </w:pPr>
      <w:r>
        <w:tab/>
      </w:r>
      <w:r>
        <w:tab/>
      </w:r>
      <w:r>
        <w:rPr>
          <w:i/>
          <w:iCs/>
        </w:rPr>
        <w:t>(Electricity System and Market)</w:t>
      </w:r>
    </w:p>
    <w:p>
      <w:pPr>
        <w:pStyle w:val="BlankClose"/>
      </w:pPr>
    </w:p>
    <w:p>
      <w:pPr>
        <w:pStyle w:val="Heading2"/>
      </w:pPr>
      <w:bookmarkStart w:id="21" w:name="_Toc189142577"/>
      <w:bookmarkStart w:id="22" w:name="_Toc189142691"/>
      <w:bookmarkStart w:id="23" w:name="_Toc189142963"/>
      <w:bookmarkStart w:id="24" w:name="_Toc189143584"/>
      <w:bookmarkStart w:id="25" w:name="_Toc189561746"/>
      <w:r>
        <w:rPr>
          <w:rStyle w:val="CharPartNo"/>
        </w:rPr>
        <w:lastRenderedPageBreak/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Electricity Industry (Wholesale Electricity Market) Regulations 2004</w:t>
      </w:r>
      <w:r>
        <w:rPr>
          <w:rStyle w:val="CharPartText"/>
        </w:rPr>
        <w:t xml:space="preserve"> amended</w:t>
      </w:r>
      <w:bookmarkEnd w:id="21"/>
      <w:bookmarkEnd w:id="22"/>
      <w:bookmarkEnd w:id="23"/>
      <w:bookmarkEnd w:id="24"/>
      <w:bookmarkEnd w:id="25"/>
    </w:p>
    <w:p>
      <w:pPr>
        <w:pStyle w:val="Heading5"/>
        <w:rPr>
          <w:snapToGrid w:val="0"/>
        </w:rPr>
      </w:pPr>
      <w:bookmarkStart w:id="26" w:name="_Toc189142578"/>
      <w:bookmarkStart w:id="27" w:name="_Toc189561747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26"/>
      <w:bookmarkEnd w:id="27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Electricity Industry (Wholesale Electricity Market) Regulations 2004</w:t>
      </w:r>
      <w:r>
        <w:t>.</w:t>
      </w:r>
    </w:p>
    <w:p>
      <w:pPr>
        <w:pStyle w:val="Heading5"/>
      </w:pPr>
      <w:bookmarkStart w:id="28" w:name="_Toc189142579"/>
      <w:bookmarkStart w:id="29" w:name="_Toc189561748"/>
      <w:r>
        <w:rPr>
          <w:rStyle w:val="CharSectno"/>
        </w:rPr>
        <w:t>6</w:t>
      </w:r>
      <w:r>
        <w:t>.</w:t>
      </w:r>
      <w:r>
        <w:tab/>
        <w:t>Regulation 1 amended</w:t>
      </w:r>
      <w:bookmarkEnd w:id="28"/>
      <w:bookmarkEnd w:id="29"/>
    </w:p>
    <w:p>
      <w:pPr>
        <w:pStyle w:val="Subsection"/>
      </w:pPr>
      <w:r>
        <w:tab/>
      </w:r>
      <w:r>
        <w:tab/>
        <w:t>In regulation 1 delete “</w:t>
      </w:r>
      <w:r>
        <w:rPr>
          <w:i/>
          <w:iCs/>
        </w:rPr>
        <w:t>(Wholesale Electricity Market)</w:t>
      </w:r>
      <w:r>
        <w:t>” and insert:</w:t>
      </w:r>
    </w:p>
    <w:p>
      <w:pPr>
        <w:pStyle w:val="BlankOpen"/>
      </w:pPr>
    </w:p>
    <w:p>
      <w:pPr>
        <w:pStyle w:val="Subsection"/>
        <w:rPr>
          <w:i/>
          <w:iCs/>
        </w:rPr>
      </w:pPr>
      <w:r>
        <w:tab/>
      </w:r>
      <w:r>
        <w:tab/>
      </w:r>
      <w:r>
        <w:rPr>
          <w:i/>
          <w:iCs/>
        </w:rPr>
        <w:t>(Electricity System and Market)</w:t>
      </w:r>
    </w:p>
    <w:p>
      <w:pPr>
        <w:pStyle w:val="BlankClose"/>
      </w:pPr>
    </w:p>
    <w:p>
      <w:pPr>
        <w:pStyle w:val="Heading5"/>
      </w:pPr>
      <w:bookmarkStart w:id="30" w:name="_Toc189142580"/>
      <w:bookmarkStart w:id="31" w:name="_Toc189561749"/>
      <w:r>
        <w:rPr>
          <w:rStyle w:val="CharSectno"/>
        </w:rPr>
        <w:t>7</w:t>
      </w:r>
      <w:r>
        <w:t>.</w:t>
      </w:r>
      <w:r>
        <w:tab/>
        <w:t>Regulation 2 deleted</w:t>
      </w:r>
      <w:bookmarkEnd w:id="30"/>
      <w:bookmarkEnd w:id="31"/>
    </w:p>
    <w:p>
      <w:pPr>
        <w:pStyle w:val="Subsection"/>
      </w:pPr>
      <w:r>
        <w:tab/>
      </w:r>
      <w:r>
        <w:tab/>
        <w:t>Delete regulation 2.</w:t>
      </w:r>
    </w:p>
    <w:p>
      <w:pPr>
        <w:pStyle w:val="Heading5"/>
      </w:pPr>
      <w:bookmarkStart w:id="32" w:name="_Toc189142581"/>
      <w:bookmarkStart w:id="33" w:name="_Toc189561750"/>
      <w:r>
        <w:rPr>
          <w:rStyle w:val="CharSectno"/>
        </w:rPr>
        <w:t>8</w:t>
      </w:r>
      <w:r>
        <w:t>.</w:t>
      </w:r>
      <w:r>
        <w:tab/>
        <w:t>Regulation 3 amended</w:t>
      </w:r>
      <w:bookmarkEnd w:id="32"/>
      <w:bookmarkEnd w:id="33"/>
    </w:p>
    <w:p>
      <w:pPr>
        <w:pStyle w:val="Subsection"/>
      </w:pPr>
      <w:r>
        <w:tab/>
        <w:t>(1)</w:t>
      </w:r>
      <w:r>
        <w:tab/>
        <w:t>In regulation 3 insert in alphabetical order:</w:t>
      </w:r>
    </w:p>
    <w:p>
      <w:pPr>
        <w:pStyle w:val="BlankOpen"/>
      </w:pPr>
    </w:p>
    <w:p>
      <w:pPr>
        <w:pStyle w:val="zDefstart"/>
      </w:pPr>
      <w:r>
        <w:rPr>
          <w:b/>
        </w:rPr>
        <w:tab/>
      </w:r>
      <w:r>
        <w:rPr>
          <w:rStyle w:val="CharDefText"/>
        </w:rPr>
        <w:t>market rules</w:t>
      </w:r>
      <w:r>
        <w:t xml:space="preserve"> means the electricity system and market rules;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 xml:space="preserve">In regulation 3 in the definition of </w:t>
      </w:r>
      <w:r>
        <w:rPr>
          <w:b/>
          <w:bCs/>
          <w:i/>
          <w:iCs/>
        </w:rPr>
        <w:t>registered participant</w:t>
      </w:r>
      <w:r>
        <w:t xml:space="preserve"> delete “section 121(2)(a)”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 xml:space="preserve">paragraph (a) of the definition of </w:t>
      </w:r>
      <w:r>
        <w:rPr>
          <w:b/>
          <w:i/>
        </w:rPr>
        <w:t>participant</w:t>
      </w:r>
      <w:r>
        <w:t xml:space="preserve"> in section 121(1)</w:t>
      </w:r>
    </w:p>
    <w:p>
      <w:pPr>
        <w:pStyle w:val="BlankClose"/>
      </w:pPr>
    </w:p>
    <w:p>
      <w:pPr>
        <w:pStyle w:val="Heading5"/>
      </w:pPr>
      <w:bookmarkStart w:id="34" w:name="_Toc189142582"/>
      <w:bookmarkStart w:id="35" w:name="_Toc189561751"/>
      <w:r>
        <w:rPr>
          <w:rStyle w:val="CharSectno"/>
        </w:rPr>
        <w:lastRenderedPageBreak/>
        <w:t>9</w:t>
      </w:r>
      <w:r>
        <w:t>.</w:t>
      </w:r>
      <w:r>
        <w:tab/>
        <w:t>Regulation 4A amended</w:t>
      </w:r>
      <w:bookmarkEnd w:id="34"/>
      <w:bookmarkEnd w:id="35"/>
    </w:p>
    <w:p>
      <w:pPr>
        <w:pStyle w:val="Subsection"/>
        <w:keepNext/>
      </w:pPr>
      <w:r>
        <w:tab/>
      </w:r>
      <w:r>
        <w:tab/>
        <w:t>In regulation 4A delete “1 October 2023.”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20 November 2024.</w:t>
      </w:r>
    </w:p>
    <w:p>
      <w:pPr>
        <w:pStyle w:val="BlankClose"/>
      </w:pPr>
    </w:p>
    <w:p>
      <w:pPr>
        <w:pStyle w:val="Heading5"/>
      </w:pPr>
      <w:bookmarkStart w:id="36" w:name="_Toc189142583"/>
      <w:bookmarkStart w:id="37" w:name="_Toc189561752"/>
      <w:r>
        <w:rPr>
          <w:rStyle w:val="CharSectno"/>
        </w:rPr>
        <w:t>10</w:t>
      </w:r>
      <w:r>
        <w:t>.</w:t>
      </w:r>
      <w:r>
        <w:tab/>
        <w:t>Regulation 5 amended</w:t>
      </w:r>
      <w:bookmarkEnd w:id="36"/>
      <w:bookmarkEnd w:id="37"/>
    </w:p>
    <w:p>
      <w:pPr>
        <w:pStyle w:val="Subsection"/>
      </w:pPr>
      <w:r>
        <w:tab/>
      </w:r>
      <w:r>
        <w:tab/>
        <w:t xml:space="preserve">In regulation 5 delete “section 123(1) of the Act (the </w:t>
      </w:r>
      <w:r>
        <w:rPr>
          <w:b/>
          <w:bCs/>
          <w:i/>
          <w:iCs/>
        </w:rPr>
        <w:t>market rules</w:t>
      </w:r>
      <w:r>
        <w:t>).”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section 123 of the Act.</w:t>
      </w:r>
    </w:p>
    <w:p>
      <w:pPr>
        <w:pStyle w:val="BlankClose"/>
      </w:pPr>
    </w:p>
    <w:p>
      <w:pPr>
        <w:pStyle w:val="Heading5"/>
      </w:pPr>
      <w:bookmarkStart w:id="38" w:name="_Toc189142584"/>
      <w:bookmarkStart w:id="39" w:name="_Toc189561753"/>
      <w:r>
        <w:rPr>
          <w:rStyle w:val="CharSectno"/>
        </w:rPr>
        <w:t>11</w:t>
      </w:r>
      <w:r>
        <w:t>.</w:t>
      </w:r>
      <w:r>
        <w:tab/>
        <w:t>Regulation 7 amended</w:t>
      </w:r>
      <w:bookmarkEnd w:id="38"/>
      <w:bookmarkEnd w:id="39"/>
    </w:p>
    <w:p>
      <w:pPr>
        <w:pStyle w:val="Subsection"/>
      </w:pPr>
      <w:r>
        <w:tab/>
      </w:r>
      <w:r>
        <w:tab/>
        <w:t>In regulation 7(5) delete “31 October 2025.”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31 October 2027.</w:t>
      </w:r>
    </w:p>
    <w:p>
      <w:pPr>
        <w:pStyle w:val="BlankClose"/>
      </w:pPr>
    </w:p>
    <w:p>
      <w:pPr>
        <w:pStyle w:val="Heading5"/>
      </w:pPr>
      <w:bookmarkStart w:id="40" w:name="_Toc189142585"/>
      <w:bookmarkStart w:id="41" w:name="_Toc189561754"/>
      <w:r>
        <w:rPr>
          <w:rStyle w:val="CharSectno"/>
        </w:rPr>
        <w:t>12</w:t>
      </w:r>
      <w:r>
        <w:t>.</w:t>
      </w:r>
      <w:r>
        <w:tab/>
        <w:t>Regulation 17 amended</w:t>
      </w:r>
      <w:bookmarkEnd w:id="40"/>
      <w:bookmarkEnd w:id="41"/>
    </w:p>
    <w:p>
      <w:pPr>
        <w:pStyle w:val="Subsection"/>
      </w:pPr>
      <w:r>
        <w:tab/>
      </w:r>
      <w:r>
        <w:tab/>
        <w:t>Delete regulation 17(k).</w:t>
      </w:r>
    </w:p>
    <w:p>
      <w:pPr>
        <w:pStyle w:val="Heading5"/>
      </w:pPr>
      <w:bookmarkStart w:id="42" w:name="_Toc189142586"/>
      <w:bookmarkStart w:id="43" w:name="_Toc189561755"/>
      <w:r>
        <w:rPr>
          <w:rStyle w:val="CharSectno"/>
        </w:rPr>
        <w:t>13</w:t>
      </w:r>
      <w:r>
        <w:t>.</w:t>
      </w:r>
      <w:r>
        <w:tab/>
        <w:t>Regulation 21 amended</w:t>
      </w:r>
      <w:bookmarkEnd w:id="42"/>
      <w:bookmarkEnd w:id="43"/>
    </w:p>
    <w:p>
      <w:pPr>
        <w:pStyle w:val="Subsection"/>
      </w:pPr>
      <w:r>
        <w:tab/>
      </w:r>
      <w:r>
        <w:tab/>
        <w:t>In regulation 21(1) delete “A participant described in section 121(2)(b) or (c) of the Act”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A governance participant</w:t>
      </w:r>
    </w:p>
    <w:p>
      <w:pPr>
        <w:pStyle w:val="BlankClose"/>
      </w:pPr>
    </w:p>
    <w:p>
      <w:pPr>
        <w:pStyle w:val="Heading5"/>
      </w:pPr>
      <w:bookmarkStart w:id="44" w:name="_Toc189142587"/>
      <w:bookmarkStart w:id="45" w:name="_Toc189561756"/>
      <w:r>
        <w:rPr>
          <w:rStyle w:val="CharSectno"/>
        </w:rPr>
        <w:lastRenderedPageBreak/>
        <w:t>14</w:t>
      </w:r>
      <w:r>
        <w:t>.</w:t>
      </w:r>
      <w:r>
        <w:tab/>
        <w:t>Regulation 31 amended</w:t>
      </w:r>
      <w:bookmarkEnd w:id="44"/>
      <w:bookmarkEnd w:id="45"/>
    </w:p>
    <w:p>
      <w:pPr>
        <w:pStyle w:val="Subsection"/>
        <w:keepNext/>
      </w:pPr>
      <w:r>
        <w:tab/>
      </w:r>
      <w:r>
        <w:tab/>
        <w:t>Delete regulation 31(5)(c) and insert:</w:t>
      </w:r>
    </w:p>
    <w:p>
      <w:pPr>
        <w:pStyle w:val="BlankOpen"/>
      </w:pPr>
    </w:p>
    <w:p>
      <w:pPr>
        <w:pStyle w:val="zIndenta"/>
        <w:keepNext/>
      </w:pPr>
      <w:r>
        <w:tab/>
        <w:t>(c)</w:t>
      </w:r>
      <w:r>
        <w:tab/>
        <w:t>state that the notice is given under this regulation; and</w:t>
      </w:r>
    </w:p>
    <w:p>
      <w:pPr>
        <w:pStyle w:val="BlankClose"/>
      </w:pPr>
    </w:p>
    <w:p>
      <w:pPr>
        <w:pStyle w:val="Heading5"/>
      </w:pPr>
      <w:bookmarkStart w:id="46" w:name="_Toc189142588"/>
      <w:bookmarkStart w:id="47" w:name="_Toc189561757"/>
      <w:r>
        <w:rPr>
          <w:rStyle w:val="CharSectno"/>
        </w:rPr>
        <w:t>15</w:t>
      </w:r>
      <w:r>
        <w:t>.</w:t>
      </w:r>
      <w:r>
        <w:tab/>
        <w:t>Regulation 51 replaced</w:t>
      </w:r>
      <w:bookmarkEnd w:id="46"/>
      <w:bookmarkEnd w:id="47"/>
    </w:p>
    <w:p>
      <w:pPr>
        <w:pStyle w:val="Subsection"/>
      </w:pPr>
      <w:r>
        <w:tab/>
      </w:r>
      <w:r>
        <w:tab/>
        <w:t>Delete regulation 51 and insert:</w:t>
      </w:r>
    </w:p>
    <w:p>
      <w:pPr>
        <w:pStyle w:val="BlankOpen"/>
      </w:pPr>
    </w:p>
    <w:p>
      <w:pPr>
        <w:pStyle w:val="zHeading5"/>
      </w:pPr>
      <w:bookmarkStart w:id="48" w:name="_Toc189142589"/>
      <w:bookmarkStart w:id="49" w:name="_Toc189561758"/>
      <w:r>
        <w:t>51.</w:t>
      </w:r>
      <w:r>
        <w:tab/>
        <w:t>Specified governance participants</w:t>
      </w:r>
      <w:bookmarkEnd w:id="48"/>
      <w:bookmarkEnd w:id="49"/>
    </w:p>
    <w:p>
      <w:pPr>
        <w:pStyle w:val="zSubsection"/>
      </w:pPr>
      <w:r>
        <w:tab/>
      </w:r>
      <w:r>
        <w:tab/>
        <w:t xml:space="preserve">In this Part — </w:t>
      </w:r>
    </w:p>
    <w:p>
      <w:pPr>
        <w:pStyle w:val="zDefstart"/>
      </w:pPr>
      <w:r>
        <w:tab/>
      </w:r>
      <w:r>
        <w:rPr>
          <w:rStyle w:val="CharDefText"/>
        </w:rPr>
        <w:t>specified governance participant</w:t>
      </w:r>
      <w:r>
        <w:t xml:space="preserve"> means — </w:t>
      </w:r>
    </w:p>
    <w:p>
      <w:pPr>
        <w:pStyle w:val="zDefpara"/>
      </w:pPr>
      <w:r>
        <w:tab/>
        <w:t>(a)</w:t>
      </w:r>
      <w:r>
        <w:tab/>
        <w:t>the AEMO; and</w:t>
      </w:r>
    </w:p>
    <w:p>
      <w:pPr>
        <w:pStyle w:val="zDefpara"/>
      </w:pPr>
      <w:r>
        <w:tab/>
        <w:t>(b)</w:t>
      </w:r>
      <w:r>
        <w:tab/>
        <w:t>the Board.</w:t>
      </w:r>
    </w:p>
    <w:p>
      <w:pPr>
        <w:pStyle w:val="BlankClose"/>
      </w:pPr>
    </w:p>
    <w:p>
      <w:pPr>
        <w:pStyle w:val="Heading5"/>
      </w:pPr>
      <w:bookmarkStart w:id="50" w:name="_Toc189142590"/>
      <w:bookmarkStart w:id="51" w:name="_Toc189561759"/>
      <w:r>
        <w:rPr>
          <w:rStyle w:val="CharSectno"/>
        </w:rPr>
        <w:t>16</w:t>
      </w:r>
      <w:r>
        <w:t>.</w:t>
      </w:r>
      <w:r>
        <w:tab/>
        <w:t>Regulation 52 amended</w:t>
      </w:r>
      <w:bookmarkEnd w:id="50"/>
      <w:bookmarkEnd w:id="51"/>
    </w:p>
    <w:p>
      <w:pPr>
        <w:pStyle w:val="Subsection"/>
      </w:pPr>
      <w:r>
        <w:tab/>
        <w:t>(1)</w:t>
      </w:r>
      <w:r>
        <w:tab/>
        <w:t>Delete regulation 52(1).</w:t>
      </w:r>
    </w:p>
    <w:p>
      <w:pPr>
        <w:pStyle w:val="Subsection"/>
      </w:pPr>
      <w:r>
        <w:tab/>
        <w:t>(2)</w:t>
      </w:r>
      <w:r>
        <w:tab/>
        <w:t>In regulation 52(2):</w:t>
      </w:r>
    </w:p>
    <w:p>
      <w:pPr>
        <w:pStyle w:val="Indenta"/>
      </w:pPr>
      <w:r>
        <w:tab/>
        <w:t>(a)</w:t>
      </w:r>
      <w:r>
        <w:tab/>
        <w:t>delete “the person’s liability to pay a civil monetary penalty”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a specified governance participant’s civil monetary liability</w:t>
      </w:r>
    </w:p>
    <w:p>
      <w:pPr>
        <w:pStyle w:val="BlankClose"/>
      </w:pPr>
    </w:p>
    <w:p>
      <w:pPr>
        <w:pStyle w:val="Indenta"/>
        <w:keepNext/>
      </w:pPr>
      <w:r>
        <w:lastRenderedPageBreak/>
        <w:tab/>
        <w:t>(b)</w:t>
      </w:r>
      <w:r>
        <w:tab/>
        <w:t>in paragraph (b) delete “person’s total liability (whether paid or payable) for civil monetary penalties”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participant’s total civil monetary liability (whether paid or payable)</w:t>
      </w:r>
    </w:p>
    <w:p>
      <w:pPr>
        <w:pStyle w:val="BlankClose"/>
      </w:pPr>
    </w:p>
    <w:p>
      <w:pPr>
        <w:pStyle w:val="Subsection"/>
      </w:pPr>
      <w:r>
        <w:tab/>
        <w:t>(3)</w:t>
      </w:r>
      <w:r>
        <w:tab/>
        <w:t>At the end of regulation 52(3A) insert:</w:t>
      </w:r>
    </w:p>
    <w:p>
      <w:pPr>
        <w:pStyle w:val="BlankOpen"/>
      </w:pPr>
    </w:p>
    <w:p>
      <w:pPr>
        <w:pStyle w:val="zPermNoteHeading"/>
      </w:pPr>
      <w:r>
        <w:tab/>
        <w:t>Note for this subregulation:</w:t>
      </w:r>
    </w:p>
    <w:p>
      <w:pPr>
        <w:pStyle w:val="zPermNoteText"/>
      </w:pPr>
      <w:r>
        <w:tab/>
      </w:r>
      <w:r>
        <w:tab/>
        <w:t xml:space="preserve">The reference to subregulation (2) is to that subregulation as in effect prior to the amendments made by the </w:t>
      </w:r>
      <w:r>
        <w:rPr>
          <w:i/>
        </w:rPr>
        <w:t>Electricity Industry Regulations Amendment (Distributed Energy Resources) Regulations 2025</w:t>
      </w:r>
      <w:r>
        <w:rPr>
          <w:iCs/>
        </w:rPr>
        <w:t xml:space="preserve"> </w:t>
      </w:r>
      <w:r>
        <w:t>regulation 16.</w:t>
      </w:r>
    </w:p>
    <w:p>
      <w:pPr>
        <w:pStyle w:val="BlankClose"/>
      </w:pPr>
    </w:p>
    <w:p>
      <w:pPr>
        <w:pStyle w:val="Subsection"/>
      </w:pPr>
      <w:r>
        <w:tab/>
        <w:t>(4)</w:t>
      </w:r>
      <w:r>
        <w:tab/>
        <w:t>In regulation 52(3):</w:t>
      </w:r>
    </w:p>
    <w:p>
      <w:pPr>
        <w:pStyle w:val="Indenta"/>
      </w:pPr>
      <w:r>
        <w:tab/>
        <w:t>(a)</w:t>
      </w:r>
      <w:r>
        <w:tab/>
        <w:t>delete “The person’s total liability for civil monetary penalties”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A specified governance participant’s total civil monetary liability</w:t>
      </w:r>
    </w:p>
    <w:p>
      <w:pPr>
        <w:pStyle w:val="BlankClose"/>
      </w:pPr>
    </w:p>
    <w:p>
      <w:pPr>
        <w:pStyle w:val="Indenta"/>
      </w:pPr>
      <w:r>
        <w:tab/>
        <w:t>(b)</w:t>
      </w:r>
      <w:r>
        <w:tab/>
        <w:t>delete “person’s liability to a civil monetary penalty”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participant’s civil monetary liability</w:t>
      </w:r>
    </w:p>
    <w:p>
      <w:pPr>
        <w:pStyle w:val="BlankClose"/>
      </w:pPr>
    </w:p>
    <w:p>
      <w:pPr>
        <w:pStyle w:val="SectAltNote"/>
      </w:pPr>
      <w:r>
        <w:tab/>
        <w:t>Note: The heading to amended regulation 52 is to read:</w:t>
      </w:r>
    </w:p>
    <w:p>
      <w:pPr>
        <w:pStyle w:val="SectAltHeading"/>
      </w:pPr>
      <w:r>
        <w:tab/>
      </w:r>
      <w:r>
        <w:tab/>
        <w:t>Maximum civil monetary liability of specified governance participants</w:t>
      </w:r>
    </w:p>
    <w:p>
      <w:pPr>
        <w:pStyle w:val="Heading5"/>
      </w:pPr>
      <w:bookmarkStart w:id="52" w:name="_Toc189142591"/>
      <w:bookmarkStart w:id="53" w:name="_Toc189561760"/>
      <w:r>
        <w:rPr>
          <w:rStyle w:val="CharSectno"/>
        </w:rPr>
        <w:lastRenderedPageBreak/>
        <w:t>17</w:t>
      </w:r>
      <w:r>
        <w:t>.</w:t>
      </w:r>
      <w:r>
        <w:tab/>
        <w:t>Regulation 53 amended</w:t>
      </w:r>
      <w:bookmarkEnd w:id="52"/>
      <w:bookmarkEnd w:id="53"/>
    </w:p>
    <w:p>
      <w:pPr>
        <w:pStyle w:val="Subsection"/>
        <w:keepNext/>
      </w:pPr>
      <w:r>
        <w:tab/>
      </w:r>
      <w:r>
        <w:tab/>
        <w:t>In regulation 53:</w:t>
      </w:r>
    </w:p>
    <w:p>
      <w:pPr>
        <w:pStyle w:val="Indenta"/>
        <w:keepNext/>
      </w:pPr>
      <w:r>
        <w:tab/>
        <w:t>(a)</w:t>
      </w:r>
      <w:r>
        <w:tab/>
        <w:t>after “maximum amount of”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 xml:space="preserve">civil monetary </w:t>
      </w:r>
    </w:p>
    <w:p>
      <w:pPr>
        <w:pStyle w:val="BlankClose"/>
      </w:pPr>
    </w:p>
    <w:p>
      <w:pPr>
        <w:pStyle w:val="Indenta"/>
      </w:pPr>
      <w:r>
        <w:tab/>
        <w:t>(b)</w:t>
      </w:r>
      <w:r>
        <w:tab/>
        <w:t>delete “market”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specified</w:t>
      </w:r>
    </w:p>
    <w:p>
      <w:pPr>
        <w:pStyle w:val="BlankClose"/>
      </w:pPr>
    </w:p>
    <w:p>
      <w:pPr>
        <w:pStyle w:val="Indenta"/>
      </w:pPr>
      <w:r>
        <w:tab/>
        <w:t>(c)</w:t>
      </w:r>
      <w:r>
        <w:tab/>
        <w:t>delete “to pay a civil monetary penalty”.</w:t>
      </w:r>
    </w:p>
    <w:p>
      <w:pPr>
        <w:pStyle w:val="SectAltNote"/>
      </w:pPr>
      <w:r>
        <w:tab/>
        <w:t>Note: The heading to amended regulation 53 is to read:</w:t>
      </w:r>
    </w:p>
    <w:p>
      <w:pPr>
        <w:pStyle w:val="SectAltHeading"/>
      </w:pPr>
      <w:r>
        <w:tab/>
      </w:r>
      <w:r>
        <w:tab/>
        <w:t>Maximum civil monetary liability of officers and employees of specified governance participants</w:t>
      </w:r>
    </w:p>
    <w:p>
      <w:pPr>
        <w:pStyle w:val="Heading5"/>
      </w:pPr>
      <w:bookmarkStart w:id="54" w:name="_Toc189142592"/>
      <w:bookmarkStart w:id="55" w:name="_Toc189561761"/>
      <w:r>
        <w:rPr>
          <w:rStyle w:val="CharSectno"/>
        </w:rPr>
        <w:t>18</w:t>
      </w:r>
      <w:r>
        <w:t>.</w:t>
      </w:r>
      <w:r>
        <w:tab/>
        <w:t>Part 10 heading replaced</w:t>
      </w:r>
      <w:bookmarkEnd w:id="54"/>
      <w:bookmarkEnd w:id="55"/>
    </w:p>
    <w:p>
      <w:pPr>
        <w:pStyle w:val="Subsection"/>
      </w:pPr>
      <w:r>
        <w:tab/>
      </w:r>
      <w:r>
        <w:tab/>
        <w:t>Delete the heading to Part 10 and insert:</w:t>
      </w:r>
    </w:p>
    <w:p>
      <w:pPr>
        <w:pStyle w:val="BlankOpen"/>
      </w:pPr>
    </w:p>
    <w:p>
      <w:pPr>
        <w:pStyle w:val="zHeading2"/>
      </w:pPr>
      <w:bookmarkStart w:id="56" w:name="_Toc189142593"/>
      <w:bookmarkStart w:id="57" w:name="_Toc189142707"/>
      <w:bookmarkStart w:id="58" w:name="_Toc189142979"/>
      <w:bookmarkStart w:id="59" w:name="_Toc189143600"/>
      <w:bookmarkStart w:id="60" w:name="_Toc189561762"/>
      <w:r>
        <w:t>Part 10 — Miscellaneous</w:t>
      </w:r>
      <w:bookmarkEnd w:id="56"/>
      <w:bookmarkEnd w:id="57"/>
      <w:bookmarkEnd w:id="58"/>
      <w:bookmarkEnd w:id="59"/>
      <w:bookmarkEnd w:id="60"/>
    </w:p>
    <w:p>
      <w:pPr>
        <w:pStyle w:val="BlankClose"/>
      </w:pPr>
    </w:p>
    <w:p>
      <w:pPr>
        <w:pStyle w:val="Heading5"/>
      </w:pPr>
      <w:bookmarkStart w:id="61" w:name="_Toc189142594"/>
      <w:bookmarkStart w:id="62" w:name="_Toc189561763"/>
      <w:r>
        <w:rPr>
          <w:rStyle w:val="CharSectno"/>
        </w:rPr>
        <w:t>19</w:t>
      </w:r>
      <w:r>
        <w:t>.</w:t>
      </w:r>
      <w:r>
        <w:tab/>
        <w:t>Regulations 55A and 55B inserted</w:t>
      </w:r>
      <w:bookmarkEnd w:id="61"/>
      <w:bookmarkEnd w:id="62"/>
    </w:p>
    <w:p>
      <w:pPr>
        <w:pStyle w:val="Subsection"/>
      </w:pPr>
      <w:r>
        <w:tab/>
      </w:r>
      <w:r>
        <w:tab/>
        <w:t>At the end of Part 10 insert:</w:t>
      </w:r>
    </w:p>
    <w:p>
      <w:pPr>
        <w:pStyle w:val="BlankOpen"/>
      </w:pPr>
    </w:p>
    <w:p>
      <w:pPr>
        <w:pStyle w:val="zHeading5"/>
      </w:pPr>
      <w:bookmarkStart w:id="63" w:name="_Toc189142595"/>
      <w:bookmarkStart w:id="64" w:name="_Toc189561764"/>
      <w:r>
        <w:t>55A.</w:t>
      </w:r>
      <w:r>
        <w:tab/>
        <w:t>Prescribed voltage (Act s. 3(1))</w:t>
      </w:r>
      <w:bookmarkEnd w:id="63"/>
      <w:bookmarkEnd w:id="64"/>
    </w:p>
    <w:p>
      <w:pPr>
        <w:pStyle w:val="zSubsection"/>
      </w:pPr>
      <w:r>
        <w:tab/>
      </w:r>
      <w:r>
        <w:tab/>
        <w:t xml:space="preserve">For the purposes of the definition of </w:t>
      </w:r>
      <w:r>
        <w:rPr>
          <w:rStyle w:val="CharDefText"/>
        </w:rPr>
        <w:t>prescribed voltage</w:t>
      </w:r>
      <w:r>
        <w:t xml:space="preserve"> in section 3(1) of the Act, the voltage is 66 kV.</w:t>
      </w:r>
    </w:p>
    <w:p>
      <w:pPr>
        <w:pStyle w:val="zHeading5"/>
      </w:pPr>
      <w:bookmarkStart w:id="65" w:name="_Toc189142596"/>
      <w:bookmarkStart w:id="66" w:name="_Toc189561765"/>
      <w:r>
        <w:lastRenderedPageBreak/>
        <w:t>55B.</w:t>
      </w:r>
      <w:r>
        <w:tab/>
        <w:t>System voltage (Act s. 124B)</w:t>
      </w:r>
      <w:bookmarkEnd w:id="65"/>
      <w:bookmarkEnd w:id="66"/>
    </w:p>
    <w:p>
      <w:pPr>
        <w:pStyle w:val="zSubsection"/>
      </w:pPr>
      <w:r>
        <w:tab/>
        <w:t>(1)</w:t>
      </w:r>
      <w:r>
        <w:tab/>
        <w:t>This regulation applies in relation to distribution systems.</w:t>
      </w:r>
    </w:p>
    <w:p>
      <w:pPr>
        <w:pStyle w:val="zSubsection"/>
      </w:pPr>
      <w:r>
        <w:tab/>
        <w:t>(2)</w:t>
      </w:r>
      <w:r>
        <w:tab/>
        <w:t xml:space="preserve">A network operator must, to the extent practicable, maintain a system voltage, at the points where the electricity will pass beyond the service apparatus of the network operator, as follows — </w:t>
      </w:r>
    </w:p>
    <w:p>
      <w:pPr>
        <w:pStyle w:val="zIndenta"/>
      </w:pPr>
      <w:r>
        <w:tab/>
        <w:t>(a)</w:t>
      </w:r>
      <w:r>
        <w:tab/>
        <w:t>for a point in relation to which an agreement with the network operator deals with the voltage of the electricity supplied at that point — as specified or provided for in the agreement;</w:t>
      </w:r>
    </w:p>
    <w:p>
      <w:pPr>
        <w:pStyle w:val="zIndenta"/>
      </w:pPr>
      <w:r>
        <w:tab/>
        <w:t>(b)</w:t>
      </w:r>
      <w:r>
        <w:tab/>
        <w:t xml:space="preserve">otherwise — </w:t>
      </w:r>
    </w:p>
    <w:p>
      <w:pPr>
        <w:pStyle w:val="zIndenti"/>
      </w:pPr>
      <w:r>
        <w:tab/>
        <w:t>(i)</w:t>
      </w:r>
      <w:r>
        <w:tab/>
        <w:t>for single</w:t>
      </w:r>
      <w:r>
        <w:noBreakHyphen/>
        <w:t>phase connections — between 207 V and 254 V; or</w:t>
      </w:r>
    </w:p>
    <w:p>
      <w:pPr>
        <w:pStyle w:val="zIndenti"/>
      </w:pPr>
      <w:r>
        <w:tab/>
        <w:t>(ii)</w:t>
      </w:r>
      <w:r>
        <w:tab/>
        <w:t>for three</w:t>
      </w:r>
      <w:r>
        <w:noBreakHyphen/>
        <w:t>phase connections — between 360 V and 440 V.</w:t>
      </w:r>
    </w:p>
    <w:p>
      <w:pPr>
        <w:pStyle w:val="zSubsection"/>
      </w:pPr>
      <w:r>
        <w:tab/>
        <w:t>(3)</w:t>
      </w:r>
      <w:r>
        <w:tab/>
        <w:t>A network operator must take all reasonable steps to limit the extent and duration of voltage excursions.</w:t>
      </w:r>
    </w:p>
    <w:p>
      <w:pPr>
        <w:pStyle w:val="BlankClose"/>
      </w:pPr>
    </w:p>
    <w:p>
      <w:pPr>
        <w:pStyle w:val="Heading5"/>
      </w:pPr>
      <w:bookmarkStart w:id="67" w:name="_Toc189142597"/>
      <w:bookmarkStart w:id="68" w:name="_Toc189561766"/>
      <w:r>
        <w:rPr>
          <w:rStyle w:val="CharSectno"/>
        </w:rPr>
        <w:t>20</w:t>
      </w:r>
      <w:r>
        <w:t>.</w:t>
      </w:r>
      <w:r>
        <w:tab/>
        <w:t>Schedule 1 amended</w:t>
      </w:r>
      <w:bookmarkEnd w:id="67"/>
      <w:bookmarkEnd w:id="68"/>
    </w:p>
    <w:p>
      <w:pPr>
        <w:pStyle w:val="Subsection"/>
      </w:pPr>
      <w:r>
        <w:tab/>
      </w:r>
      <w:r>
        <w:tab/>
        <w:t>In Schedule 1:</w:t>
      </w:r>
    </w:p>
    <w:p>
      <w:pPr>
        <w:pStyle w:val="Indenta"/>
      </w:pPr>
      <w:r>
        <w:tab/>
        <w:t>(a)</w:t>
      </w:r>
      <w:r>
        <w:tab/>
        <w:t>in the row relating to cl. 2.16A.2 delete “</w:t>
      </w:r>
      <w:r>
        <w:rPr>
          <w:sz w:val="22"/>
          <w:szCs w:val="18"/>
        </w:rPr>
        <w:t>cl. 2.16A.2</w:t>
      </w:r>
      <w:r>
        <w:t>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</w:r>
      <w:r>
        <w:rPr>
          <w:sz w:val="22"/>
          <w:szCs w:val="18"/>
        </w:rPr>
        <w:t>cl. 2.16A.3</w:t>
      </w:r>
    </w:p>
    <w:p>
      <w:pPr>
        <w:pStyle w:val="BlankClose"/>
      </w:pPr>
    </w:p>
    <w:p>
      <w:pPr>
        <w:pStyle w:val="Indenta"/>
        <w:keepNext/>
      </w:pPr>
      <w:r>
        <w:lastRenderedPageBreak/>
        <w:tab/>
        <w:t>(b)</w:t>
      </w:r>
      <w:r>
        <w:tab/>
        <w:t>in the row relating to cl. 2.26C.2T delete “</w:t>
      </w:r>
      <w:r>
        <w:rPr>
          <w:sz w:val="22"/>
          <w:szCs w:val="18"/>
        </w:rPr>
        <w:t>cl. 2.26C.2T</w:t>
      </w:r>
      <w:r>
        <w:t>” and insert:</w:t>
      </w:r>
    </w:p>
    <w:p>
      <w:pPr>
        <w:pStyle w:val="BlankOpen"/>
      </w:pPr>
    </w:p>
    <w:p>
      <w:pPr>
        <w:pStyle w:val="Indenta"/>
        <w:keepNext/>
      </w:pPr>
      <w:r>
        <w:tab/>
      </w:r>
      <w:r>
        <w:tab/>
      </w:r>
      <w:r>
        <w:rPr>
          <w:sz w:val="22"/>
          <w:szCs w:val="18"/>
        </w:rPr>
        <w:t>cl. 2.26.2T</w:t>
      </w:r>
    </w:p>
    <w:p>
      <w:pPr>
        <w:pStyle w:val="BlankClose"/>
      </w:pPr>
    </w:p>
    <w:p>
      <w:pPr>
        <w:pStyle w:val="Indenta"/>
      </w:pPr>
      <w:r>
        <w:tab/>
        <w:t>(c)</w:t>
      </w:r>
      <w:r>
        <w:tab/>
        <w:t>after the row relating to cl. 2.26C.2T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  <w:rPr>
                <w:rStyle w:val="DraftersNotes"/>
                <w:b w:val="0"/>
                <w:i w:val="0"/>
              </w:rPr>
            </w:pPr>
            <w:r>
              <w:t>cl. 2.27.1A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A</w:t>
            </w:r>
          </w:p>
        </w:tc>
        <w:tc>
          <w:tcPr>
            <w:tcW w:w="4111" w:type="dxa"/>
            <w:noWrap/>
          </w:tcPr>
          <w:p>
            <w:pPr>
              <w:pStyle w:val="zyTableNAm"/>
              <w:rPr>
                <w:szCs w:val="22"/>
              </w:rPr>
            </w:pPr>
            <w:r>
              <w:rPr>
                <w:szCs w:val="22"/>
              </w:rPr>
              <w:t>first contravention: $10 000 plus a daily amount of $5 000</w:t>
            </w:r>
            <w:r>
              <w:rPr>
                <w:szCs w:val="22"/>
              </w:rPr>
              <w:br/>
              <w:t>subsequent contraventions: $20 000 plus a daily amount of $5 000</w:t>
            </w:r>
          </w:p>
        </w:tc>
      </w:tr>
    </w:tbl>
    <w:p>
      <w:pPr>
        <w:pStyle w:val="BlankClose"/>
      </w:pPr>
    </w:p>
    <w:p>
      <w:pPr>
        <w:pStyle w:val="Indenta"/>
      </w:pPr>
      <w:r>
        <w:tab/>
        <w:t>(d)</w:t>
      </w:r>
      <w:r>
        <w:tab/>
        <w:t>after the row relating to cl. 2.29.6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2.31.2L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B</w:t>
            </w:r>
          </w:p>
        </w:tc>
        <w:tc>
          <w:tcPr>
            <w:tcW w:w="4111" w:type="dxa"/>
            <w:noWrap/>
          </w:tcPr>
          <w:p>
            <w:pPr>
              <w:pStyle w:val="zyTableNAm"/>
              <w:rPr>
                <w:szCs w:val="22"/>
              </w:rPr>
            </w:pPr>
            <w:r>
              <w:rPr>
                <w:szCs w:val="22"/>
              </w:rPr>
              <w:t>first contravention: $50 000 plus a daily amount of $10 000</w:t>
            </w:r>
            <w:r>
              <w:rPr>
                <w:szCs w:val="22"/>
              </w:rPr>
              <w:br/>
              <w:t>subsequent contraventions: $75 000 plus a daily amount of $10 000</w:t>
            </w:r>
          </w:p>
        </w:tc>
      </w:tr>
    </w:tbl>
    <w:p>
      <w:pPr>
        <w:pStyle w:val="BlankClose"/>
      </w:pPr>
    </w:p>
    <w:p>
      <w:pPr>
        <w:pStyle w:val="Indenta"/>
      </w:pPr>
      <w:r>
        <w:tab/>
        <w:t>(e)</w:t>
      </w:r>
      <w:r>
        <w:tab/>
        <w:t>after the row relating to cl. 3.17.8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yTableNAm"/>
              <w:rPr>
                <w:rStyle w:val="DraftersNotes"/>
                <w:b w:val="0"/>
                <w:i w:val="0"/>
              </w:rPr>
            </w:pPr>
            <w:r>
              <w:t>cl. 3.18A.5</w:t>
            </w:r>
          </w:p>
        </w:tc>
        <w:tc>
          <w:tcPr>
            <w:tcW w:w="1276" w:type="dxa"/>
            <w:noWrap/>
          </w:tcPr>
          <w:p>
            <w:pPr>
              <w:pStyle w:val="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yTableNAm"/>
              <w:rPr>
                <w:szCs w:val="22"/>
              </w:rPr>
            </w:pPr>
            <w:r>
              <w:rPr>
                <w:szCs w:val="22"/>
              </w:rPr>
              <w:t>first contravention: $100 000 plus a daily amount of $20 000</w:t>
            </w:r>
            <w:r>
              <w:rPr>
                <w:szCs w:val="22"/>
              </w:rPr>
              <w:br/>
              <w:t>subsequent contraventions: $100 000 plus a daily amount of $20 000</w:t>
            </w:r>
          </w:p>
        </w:tc>
      </w:tr>
      <w:tr>
        <w:trPr>
          <w:cantSplit/>
        </w:trPr>
        <w:tc>
          <w:tcPr>
            <w:tcW w:w="1701" w:type="dxa"/>
            <w:noWrap/>
          </w:tcPr>
          <w:p>
            <w:pPr>
              <w:pStyle w:val="yTableNAm"/>
            </w:pPr>
            <w:r>
              <w:t>cl. 3.18A.10</w:t>
            </w:r>
          </w:p>
        </w:tc>
        <w:tc>
          <w:tcPr>
            <w:tcW w:w="1276" w:type="dxa"/>
            <w:noWrap/>
          </w:tcPr>
          <w:p>
            <w:pPr>
              <w:pStyle w:val="yTableNAm"/>
            </w:pPr>
            <w:r>
              <w:t>B</w:t>
            </w:r>
          </w:p>
        </w:tc>
        <w:tc>
          <w:tcPr>
            <w:tcW w:w="4111" w:type="dxa"/>
            <w:noWrap/>
          </w:tcPr>
          <w:p>
            <w:pPr>
              <w:pStyle w:val="yTableNAm"/>
              <w:rPr>
                <w:szCs w:val="22"/>
              </w:rPr>
            </w:pPr>
            <w:r>
              <w:rPr>
                <w:szCs w:val="22"/>
              </w:rPr>
              <w:t>first contravention: $50 000 plus a daily amount of $10 000</w:t>
            </w:r>
            <w:r>
              <w:rPr>
                <w:szCs w:val="22"/>
              </w:rPr>
              <w:br/>
              <w:t>subsequent contraventions: $75 000 plus a daily amount of $10 000</w:t>
            </w:r>
          </w:p>
        </w:tc>
      </w:tr>
    </w:tbl>
    <w:p>
      <w:pPr>
        <w:pStyle w:val="BlankClose"/>
      </w:pPr>
    </w:p>
    <w:p>
      <w:pPr>
        <w:pStyle w:val="Indenta"/>
        <w:keepNext/>
      </w:pPr>
      <w:r>
        <w:lastRenderedPageBreak/>
        <w:tab/>
        <w:t>(f)</w:t>
      </w:r>
      <w:r>
        <w:tab/>
        <w:t>in the row relating to cl. 3.21.2(a) delete “</w:t>
      </w:r>
      <w:r>
        <w:rPr>
          <w:sz w:val="22"/>
          <w:szCs w:val="18"/>
        </w:rPr>
        <w:t>cl. 3.21.2(a)</w:t>
      </w:r>
      <w:r>
        <w:t>” and insert:</w:t>
      </w:r>
    </w:p>
    <w:p>
      <w:pPr>
        <w:pStyle w:val="BlankOpen"/>
      </w:pPr>
    </w:p>
    <w:p>
      <w:pPr>
        <w:pStyle w:val="Indenta"/>
        <w:keepNext/>
      </w:pPr>
      <w:r>
        <w:tab/>
      </w:r>
      <w:r>
        <w:tab/>
      </w:r>
      <w:r>
        <w:rPr>
          <w:sz w:val="22"/>
          <w:szCs w:val="18"/>
        </w:rPr>
        <w:t>cl. 3.21.2</w:t>
      </w:r>
    </w:p>
    <w:p>
      <w:pPr>
        <w:pStyle w:val="BlankClose"/>
      </w:pPr>
    </w:p>
    <w:p>
      <w:pPr>
        <w:pStyle w:val="Indenta"/>
      </w:pPr>
      <w:r>
        <w:tab/>
        <w:t>(g)</w:t>
      </w:r>
      <w:r>
        <w:tab/>
        <w:t>after the row relating to cl. 4.5.4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4.13.1D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B</w:t>
            </w:r>
          </w:p>
        </w:tc>
        <w:tc>
          <w:tcPr>
            <w:tcW w:w="4111" w:type="dxa"/>
            <w:noWrap/>
          </w:tcPr>
          <w:p>
            <w:pPr>
              <w:pStyle w:val="zyTableNAm"/>
              <w:rPr>
                <w:szCs w:val="22"/>
              </w:rPr>
            </w:pPr>
            <w:r>
              <w:rPr>
                <w:szCs w:val="22"/>
              </w:rPr>
              <w:t>first contravention: $50 000 plus a daily amount of $10 000</w:t>
            </w:r>
            <w:r>
              <w:rPr>
                <w:szCs w:val="22"/>
              </w:rPr>
              <w:br/>
              <w:t>subsequent contraventions: $75 000 plus a daily amount of $10 000</w:t>
            </w:r>
          </w:p>
        </w:tc>
      </w:tr>
    </w:tbl>
    <w:p>
      <w:pPr>
        <w:pStyle w:val="BlankClose"/>
      </w:pPr>
    </w:p>
    <w:p>
      <w:pPr>
        <w:pStyle w:val="Indenta"/>
      </w:pPr>
      <w:r>
        <w:tab/>
        <w:t>(h)</w:t>
      </w:r>
      <w:r>
        <w:tab/>
        <w:t>after the row relating to cl. 7.4.2B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7.4.2C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Indenta"/>
      </w:pPr>
      <w:r>
        <w:tab/>
        <w:t>(i)</w:t>
      </w:r>
      <w:r>
        <w:tab/>
        <w:t>after the row relating to cl. 7.4.4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7.4.5A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Indenta"/>
      </w:pPr>
      <w:r>
        <w:tab/>
        <w:t>(j)</w:t>
      </w:r>
      <w:r>
        <w:tab/>
        <w:t>after the row relating to cl. 7.4.8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7.4.12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Indenta"/>
        <w:keepNext/>
      </w:pPr>
      <w:r>
        <w:lastRenderedPageBreak/>
        <w:tab/>
        <w:t>(k)</w:t>
      </w:r>
      <w:r>
        <w:tab/>
        <w:t>after the row relating to cl. 7.4.29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7.4.35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B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$50 000 plus a daily amount of $10 000</w:t>
            </w:r>
            <w:r>
              <w:br/>
              <w:t>subsequent contraventions: $75 000 plus a daily amount of $10 000</w:t>
            </w:r>
          </w:p>
        </w:tc>
      </w:tr>
    </w:tbl>
    <w:p>
      <w:pPr>
        <w:pStyle w:val="BlankClose"/>
      </w:pPr>
    </w:p>
    <w:p>
      <w:pPr>
        <w:pStyle w:val="Indenta"/>
      </w:pPr>
      <w:r>
        <w:tab/>
        <w:t>(l)</w:t>
      </w:r>
      <w:r>
        <w:tab/>
        <w:t>delete the row relating to cl. 7.9.10;</w:t>
      </w:r>
    </w:p>
    <w:p>
      <w:pPr>
        <w:pStyle w:val="Indenta"/>
      </w:pPr>
      <w:r>
        <w:tab/>
        <w:t>(m)</w:t>
      </w:r>
      <w:r>
        <w:tab/>
        <w:t>in the row relating to cl. 10.1.2 delete “</w:t>
      </w:r>
      <w:r>
        <w:rPr>
          <w:sz w:val="22"/>
          <w:szCs w:val="18"/>
        </w:rPr>
        <w:t>cl. 10.1.2</w:t>
      </w:r>
      <w:r>
        <w:t>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</w:r>
      <w:r>
        <w:rPr>
          <w:sz w:val="22"/>
          <w:szCs w:val="18"/>
        </w:rPr>
        <w:t>cl. 10.1.1</w:t>
      </w:r>
    </w:p>
    <w:p>
      <w:pPr>
        <w:pStyle w:val="BlankClose"/>
      </w:pPr>
    </w:p>
    <w:p>
      <w:pPr>
        <w:pStyle w:val="Heading2"/>
      </w:pPr>
      <w:bookmarkStart w:id="69" w:name="_Toc189142598"/>
      <w:bookmarkStart w:id="70" w:name="_Toc189142712"/>
      <w:bookmarkStart w:id="71" w:name="_Toc189142984"/>
      <w:bookmarkStart w:id="72" w:name="_Toc189143605"/>
      <w:bookmarkStart w:id="73" w:name="_Toc189561767"/>
      <w:r>
        <w:rPr>
          <w:rStyle w:val="CharPartNo"/>
        </w:rPr>
        <w:lastRenderedPageBreak/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Electricity Transmission Regulations 1996</w:t>
      </w:r>
      <w:r>
        <w:rPr>
          <w:rStyle w:val="CharPartText"/>
        </w:rPr>
        <w:t xml:space="preserve"> amended</w:t>
      </w:r>
      <w:bookmarkEnd w:id="69"/>
      <w:bookmarkEnd w:id="70"/>
      <w:bookmarkEnd w:id="71"/>
      <w:bookmarkEnd w:id="72"/>
      <w:bookmarkEnd w:id="73"/>
    </w:p>
    <w:p>
      <w:pPr>
        <w:pStyle w:val="Heading5"/>
        <w:rPr>
          <w:snapToGrid w:val="0"/>
        </w:rPr>
      </w:pPr>
      <w:bookmarkStart w:id="74" w:name="_Toc189142599"/>
      <w:bookmarkStart w:id="75" w:name="_Toc189561768"/>
      <w:r>
        <w:rPr>
          <w:rStyle w:val="CharSectno"/>
        </w:rPr>
        <w:t>21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4"/>
      <w:bookmarkEnd w:id="75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Electricity Transmission Regulations 1996</w:t>
      </w:r>
      <w:r>
        <w:t>.</w:t>
      </w:r>
    </w:p>
    <w:p>
      <w:pPr>
        <w:pStyle w:val="Heading5"/>
      </w:pPr>
      <w:bookmarkStart w:id="76" w:name="_Toc189142600"/>
      <w:bookmarkStart w:id="77" w:name="_Toc189561769"/>
      <w:r>
        <w:rPr>
          <w:rStyle w:val="CharSectno"/>
        </w:rPr>
        <w:t>22</w:t>
      </w:r>
      <w:r>
        <w:t>.</w:t>
      </w:r>
      <w:r>
        <w:tab/>
        <w:t>Regulation 20 amended</w:t>
      </w:r>
      <w:bookmarkEnd w:id="76"/>
      <w:bookmarkEnd w:id="77"/>
    </w:p>
    <w:p>
      <w:pPr>
        <w:pStyle w:val="Subsection"/>
      </w:pPr>
      <w:r>
        <w:tab/>
      </w:r>
      <w:r>
        <w:tab/>
        <w:t>In regulation 20(1a) delete “market”.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715FE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C88ADF7" w14:textId="540F74B8" w:rsidR="006B4CFD" w:rsidRDefault="006B4CF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5E7F29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286C242" w14:textId="77777777" w:rsidR="006B4CFD" w:rsidRDefault="006B4CF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6D73C9D" w14:textId="1CC51542" w:rsidR="006B4CFD" w:rsidRDefault="006B4CF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5E7F29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A3D1652" w14:textId="77777777" w:rsidR="006B4CFD" w:rsidRDefault="006B4CFD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8" w:name="Coversheet"/>
    <w:bookmarkEnd w:id="7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Regulations Amendment (Distributed Energy Resources)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Regulations Amendment (Distributed Energy Resources)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398"/>
      <w:gridCol w:w="317"/>
    </w:tblGrid>
    <w:tr>
      <w:trPr>
        <w:cantSplit/>
        <w:jc w:val="center"/>
      </w:trPr>
      <w:tc>
        <w:tcPr>
          <w:tcW w:w="7263" w:type="dxa"/>
          <w:gridSpan w:val="3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Regulations Amendment (Distributed Energy Resources)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gridAfter w:val="1"/>
        <w:wAfter w:w="317" w:type="dxa"/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398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gridSpan w:val="2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3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84"/>
      <w:gridCol w:w="5431"/>
      <w:gridCol w:w="1548"/>
    </w:tblGrid>
    <w:tr>
      <w:trPr>
        <w:cantSplit/>
        <w:jc w:val="center"/>
      </w:trPr>
      <w:tc>
        <w:tcPr>
          <w:tcW w:w="7263" w:type="dxa"/>
          <w:gridSpan w:val="3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Regulations Amendment (Distributed Energy Resources)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gridBefore w:val="1"/>
        <w:wBefore w:w="284" w:type="dxa"/>
        <w:jc w:val="center"/>
      </w:trPr>
      <w:tc>
        <w:tcPr>
          <w:tcW w:w="5431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gridSpan w:val="2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3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130151530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120414541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1204145412_GUID" w:val="5b0e0175-772e-485c-9342-22688639662e"/>
    <w:docVar w:name="WAFER_202412101531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10153110_GUID" w:val="8ec8bbf0-12d0-4d08-a196-24b9e322a336"/>
    <w:docVar w:name="WAFER_202412121242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12124244_GUID" w:val="a8cee255-b89b-41a7-bf36-29fbdc9bc407"/>
    <w:docVar w:name="WAFER_2025013015153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0130151530_GUID" w:val="e2821edd-7ecd-4b63-9691-b75e3c3ce189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."/>
  <w:listSeparator w:val=","/>
  <w15:docId w15:val="{E367CC9C-5FD6-4307-94EF-752DDC60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uiPriority w:val="39"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1580</Words>
  <Characters>8533</Characters>
  <Application>Microsoft Office Word</Application>
  <DocSecurity>0</DocSecurity>
  <Lines>406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Regulations Amendment (Distributed Energy Resources) Regulations 2025 - 00-00-00</dc:title>
  <dc:subject/>
  <dc:creator/>
  <cp:keywords/>
  <dc:description/>
  <cp:lastModifiedBy>Master Repository Process</cp:lastModifiedBy>
  <cp:revision>4</cp:revision>
  <cp:lastPrinted>2024-12-04T01:21:00Z</cp:lastPrinted>
  <dcterms:created xsi:type="dcterms:W3CDTF">2025-06-18T03:28:00Z</dcterms:created>
  <dcterms:modified xsi:type="dcterms:W3CDTF">2025-06-18T03:28:00Z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54835</vt:lpwstr>
  </property>
  <property fmtid="{D5CDD505-2E9C-101B-9397-08002B2CF9AE}" pid="3" name="DocumentType">
    <vt:lpwstr>Reg</vt:lpwstr>
  </property>
  <property fmtid="{D5CDD505-2E9C-101B-9397-08002B2CF9AE}" pid="4" name="AsAtDate">
    <vt:lpwstr>05 Feb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2025/37</vt:lpwstr>
  </property>
  <property fmtid="{D5CDD505-2E9C-101B-9397-08002B2CF9AE}" pid="8" name="PublishDate">
    <vt:lpwstr>5 Feb 2025</vt:lpwstr>
  </property>
  <property fmtid="{D5CDD505-2E9C-101B-9397-08002B2CF9AE}" pid="9" name="CommencementDate">
    <vt:lpwstr>20250205</vt:lpwstr>
  </property>
  <property fmtid="{D5CDD505-2E9C-101B-9397-08002B2CF9AE}" pid="10" name="CommencementAsAt">
    <vt:filetime>2025-02-04T16:00:00Z</vt:filetime>
  </property>
  <property fmtid="{D5CDD505-2E9C-101B-9397-08002B2CF9AE}" pid="11" name="CommencementYear">
    <vt:lpwstr>2025</vt:lpwstr>
  </property>
</Properties>
</file>