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2.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66" name="Picture 66"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Road Safety Council Act 2002</w:t>
      </w:r>
      <w:r>
        <w:rPr>
          <w:noProof/>
        </w:rPr>
        <w:br/>
        <w:t>Road Traffic Act 1974</w:t>
      </w:r>
      <w:r>
        <w:fldChar w:fldCharType="end"/>
      </w:r>
    </w:p>
    <w:p>
      <w:pPr>
        <w:pStyle w:val="NameofActRegPage1"/>
        <w:spacing w:before="1800" w:after="2000"/>
        <w:outlineLvl w:val="0"/>
      </w:pPr>
      <w:r>
        <w:fldChar w:fldCharType="begin"/>
      </w:r>
      <w:r>
        <w:instrText xml:space="preserve"> STYLEREF "Name Of Act/Reg"</w:instrText>
      </w:r>
      <w:r>
        <w:fldChar w:fldCharType="separate"/>
      </w:r>
      <w:r>
        <w:rPr>
          <w:noProof/>
        </w:rPr>
        <w:t>Road Safety Regulations Amendment Regulations 2025</w:t>
      </w:r>
      <w:r>
        <w:fldChar w:fldCharType="end"/>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Road Safety Regulations Amendment Regulations 2025</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tab/>
        <w:t>Citation</w:t>
      </w:r>
      <w:r>
        <w:tab/>
      </w:r>
      <w:r>
        <w:fldChar w:fldCharType="begin"/>
      </w:r>
      <w:r>
        <w:instrText xml:space="preserve"> PAGEREF _Toc189562080 \h </w:instrText>
      </w:r>
      <w:r>
        <w:fldChar w:fldCharType="separate"/>
      </w:r>
      <w:r>
        <w:t>1</w:t>
      </w:r>
      <w:r>
        <w:fldChar w:fldCharType="end"/>
      </w:r>
    </w:p>
    <w:p>
      <w:pPr>
        <w:pStyle w:val="TOC8"/>
        <w:rPr>
          <w:rFonts w:asciiTheme="minorHAnsi" w:eastAsiaTheme="minorEastAsia" w:hAnsiTheme="minorHAnsi" w:cstheme="minorBidi"/>
          <w:szCs w:val="22"/>
        </w:rPr>
      </w:pPr>
      <w:r>
        <w:t>2</w:t>
      </w:r>
      <w:r>
        <w:rPr>
          <w:spacing w:val="-2"/>
        </w:rPr>
        <w:t>.</w:t>
      </w:r>
      <w:r>
        <w:rPr>
          <w:spacing w:val="-2"/>
        </w:rPr>
        <w:tab/>
        <w:t>Commencement</w:t>
      </w:r>
      <w:r>
        <w:tab/>
      </w:r>
      <w:r>
        <w:fldChar w:fldCharType="begin"/>
      </w:r>
      <w:r>
        <w:instrText xml:space="preserve"> PAGEREF _Toc189562081 \h </w:instrText>
      </w:r>
      <w:r>
        <w:fldChar w:fldCharType="separate"/>
      </w:r>
      <w:r>
        <w:t>1</w:t>
      </w:r>
      <w:r>
        <w:fldChar w:fldCharType="end"/>
      </w:r>
    </w:p>
    <w:p>
      <w:pPr>
        <w:pStyle w:val="TOC2"/>
        <w:tabs>
          <w:tab w:val="right" w:leader="dot" w:pos="7077"/>
        </w:tabs>
        <w:rPr>
          <w:rFonts w:asciiTheme="minorHAnsi" w:eastAsiaTheme="minorEastAsia" w:hAnsiTheme="minorHAnsi" w:cstheme="minorBidi"/>
          <w:b w:val="0"/>
          <w:sz w:val="22"/>
          <w:szCs w:val="22"/>
        </w:rPr>
      </w:pPr>
      <w:r>
        <w:t>Part 2 — </w:t>
      </w:r>
      <w:r>
        <w:rPr>
          <w:i/>
          <w:iCs/>
        </w:rPr>
        <w:t>Road Safety Council (Specified Offences) Regulations 2002</w:t>
      </w:r>
      <w:r>
        <w:t xml:space="preserve"> amended</w:t>
      </w:r>
    </w:p>
    <w:p>
      <w:pPr>
        <w:pStyle w:val="TOC8"/>
        <w:rPr>
          <w:rFonts w:asciiTheme="minorHAnsi" w:eastAsiaTheme="minorEastAsia" w:hAnsiTheme="minorHAnsi" w:cstheme="minorBidi"/>
          <w:szCs w:val="22"/>
        </w:rPr>
      </w:pPr>
      <w:r>
        <w:t>3</w:t>
      </w:r>
      <w:r>
        <w:rPr>
          <w:snapToGrid w:val="0"/>
        </w:rPr>
        <w:t>.</w:t>
      </w:r>
      <w:r>
        <w:rPr>
          <w:snapToGrid w:val="0"/>
        </w:rPr>
        <w:tab/>
        <w:t>Regulations amended</w:t>
      </w:r>
      <w:r>
        <w:tab/>
      </w:r>
      <w:r>
        <w:fldChar w:fldCharType="begin"/>
      </w:r>
      <w:r>
        <w:instrText xml:space="preserve"> PAGEREF _Toc189562083 \h </w:instrText>
      </w:r>
      <w:r>
        <w:fldChar w:fldCharType="separate"/>
      </w:r>
      <w:r>
        <w:t>2</w:t>
      </w:r>
      <w:r>
        <w:fldChar w:fldCharType="end"/>
      </w:r>
    </w:p>
    <w:p>
      <w:pPr>
        <w:pStyle w:val="TOC8"/>
        <w:rPr>
          <w:rFonts w:asciiTheme="minorHAnsi" w:eastAsiaTheme="minorEastAsia" w:hAnsiTheme="minorHAnsi" w:cstheme="minorBidi"/>
          <w:szCs w:val="22"/>
        </w:rPr>
      </w:pPr>
      <w:r>
        <w:t>4.</w:t>
      </w:r>
      <w:r>
        <w:tab/>
        <w:t>Regulation 3 replaced</w:t>
      </w:r>
      <w:r>
        <w:tab/>
      </w:r>
      <w:r>
        <w:fldChar w:fldCharType="begin"/>
      </w:r>
      <w:r>
        <w:instrText xml:space="preserve"> PAGEREF _Toc189562084 \h </w:instrText>
      </w:r>
      <w:r>
        <w:fldChar w:fldCharType="separate"/>
      </w:r>
      <w:r>
        <w:t>2</w:t>
      </w:r>
      <w:r>
        <w:fldChar w:fldCharType="end"/>
      </w:r>
    </w:p>
    <w:p>
      <w:pPr>
        <w:pStyle w:val="TOC9"/>
        <w:rPr>
          <w:rFonts w:asciiTheme="minorHAnsi" w:eastAsiaTheme="minorEastAsia" w:hAnsiTheme="minorHAnsi" w:cstheme="minorBidi"/>
          <w:noProof/>
          <w:sz w:val="22"/>
          <w:szCs w:val="22"/>
        </w:rPr>
      </w:pPr>
      <w:r>
        <w:rPr>
          <w:noProof/>
        </w:rPr>
        <w:t>3.</w:t>
      </w:r>
      <w:r>
        <w:rPr>
          <w:noProof/>
        </w:rPr>
        <w:tab/>
        <w:t>Specified offences (Act s. 12(7))</w:t>
      </w:r>
      <w:r>
        <w:rPr>
          <w:noProof/>
        </w:rPr>
        <w:tab/>
      </w:r>
      <w:r>
        <w:rPr>
          <w:noProof/>
        </w:rPr>
        <w:fldChar w:fldCharType="begin"/>
      </w:r>
      <w:r>
        <w:rPr>
          <w:noProof/>
        </w:rPr>
        <w:instrText xml:space="preserve"> PAGEREF _Toc189562085 \h </w:instrText>
      </w:r>
      <w:r>
        <w:rPr>
          <w:noProof/>
        </w:rPr>
      </w:r>
      <w:r>
        <w:rPr>
          <w:noProof/>
        </w:rPr>
        <w:fldChar w:fldCharType="separate"/>
      </w:r>
      <w:r>
        <w:rPr>
          <w:noProof/>
        </w:rPr>
        <w:t>2</w:t>
      </w:r>
      <w:r>
        <w:rPr>
          <w:noProof/>
        </w:rPr>
        <w:fldChar w:fldCharType="end"/>
      </w:r>
    </w:p>
    <w:p>
      <w:pPr>
        <w:pStyle w:val="TOC2"/>
        <w:tabs>
          <w:tab w:val="right" w:leader="dot" w:pos="7077"/>
        </w:tabs>
        <w:rPr>
          <w:rFonts w:asciiTheme="minorHAnsi" w:eastAsiaTheme="minorEastAsia" w:hAnsiTheme="minorHAnsi" w:cstheme="minorBidi"/>
          <w:b w:val="0"/>
          <w:sz w:val="22"/>
          <w:szCs w:val="22"/>
        </w:rPr>
      </w:pPr>
      <w:r>
        <w:t>Part 3 — </w:t>
      </w:r>
      <w:r>
        <w:rPr>
          <w:i/>
          <w:iCs/>
        </w:rPr>
        <w:t>Road Traffic Code 2000</w:t>
      </w:r>
      <w:r>
        <w:t xml:space="preserve"> amended</w:t>
      </w:r>
    </w:p>
    <w:p>
      <w:pPr>
        <w:pStyle w:val="TOC4"/>
        <w:tabs>
          <w:tab w:val="right" w:leader="dot" w:pos="7077"/>
        </w:tabs>
        <w:rPr>
          <w:rFonts w:asciiTheme="minorHAnsi" w:eastAsiaTheme="minorEastAsia" w:hAnsiTheme="minorHAnsi" w:cstheme="minorBidi"/>
          <w:b w:val="0"/>
          <w:szCs w:val="22"/>
        </w:rPr>
      </w:pPr>
      <w:r>
        <w:t>Division 1 — Regulations amended</w:t>
      </w:r>
    </w:p>
    <w:p>
      <w:pPr>
        <w:pStyle w:val="TOC8"/>
        <w:rPr>
          <w:rFonts w:asciiTheme="minorHAnsi" w:eastAsiaTheme="minorEastAsia" w:hAnsiTheme="minorHAnsi" w:cstheme="minorBidi"/>
          <w:szCs w:val="22"/>
        </w:rPr>
      </w:pPr>
      <w:r>
        <w:t>5</w:t>
      </w:r>
      <w:r>
        <w:rPr>
          <w:snapToGrid w:val="0"/>
        </w:rPr>
        <w:t>.</w:t>
      </w:r>
      <w:r>
        <w:rPr>
          <w:snapToGrid w:val="0"/>
        </w:rPr>
        <w:tab/>
        <w:t>Regulations amended</w:t>
      </w:r>
      <w:r>
        <w:tab/>
      </w:r>
      <w:r>
        <w:fldChar w:fldCharType="begin"/>
      </w:r>
      <w:r>
        <w:instrText xml:space="preserve"> PAGEREF _Toc189562088 \h </w:instrText>
      </w:r>
      <w:r>
        <w:fldChar w:fldCharType="separate"/>
      </w:r>
      <w:r>
        <w:t>3</w:t>
      </w:r>
      <w:r>
        <w:fldChar w:fldCharType="end"/>
      </w:r>
    </w:p>
    <w:p>
      <w:pPr>
        <w:pStyle w:val="TOC4"/>
        <w:tabs>
          <w:tab w:val="right" w:leader="dot" w:pos="7077"/>
        </w:tabs>
        <w:rPr>
          <w:rFonts w:asciiTheme="minorHAnsi" w:eastAsiaTheme="minorEastAsia" w:hAnsiTheme="minorHAnsi" w:cstheme="minorBidi"/>
          <w:b w:val="0"/>
          <w:szCs w:val="22"/>
        </w:rPr>
      </w:pPr>
      <w:r>
        <w:t>Division 2 — Amendments commencing day after publication day</w:t>
      </w:r>
    </w:p>
    <w:p>
      <w:pPr>
        <w:pStyle w:val="TOC8"/>
        <w:rPr>
          <w:rFonts w:asciiTheme="minorHAnsi" w:eastAsiaTheme="minorEastAsia" w:hAnsiTheme="minorHAnsi" w:cstheme="minorBidi"/>
          <w:szCs w:val="22"/>
        </w:rPr>
      </w:pPr>
      <w:r>
        <w:t>6.</w:t>
      </w:r>
      <w:r>
        <w:tab/>
        <w:t>Regulation 18A amended</w:t>
      </w:r>
      <w:r>
        <w:tab/>
      </w:r>
      <w:r>
        <w:fldChar w:fldCharType="begin"/>
      </w:r>
      <w:r>
        <w:instrText xml:space="preserve"> PAGEREF _Toc189562090 \h </w:instrText>
      </w:r>
      <w:r>
        <w:fldChar w:fldCharType="separate"/>
      </w:r>
      <w:r>
        <w:t>3</w:t>
      </w:r>
      <w:r>
        <w:fldChar w:fldCharType="end"/>
      </w:r>
    </w:p>
    <w:p>
      <w:pPr>
        <w:pStyle w:val="TOC8"/>
        <w:rPr>
          <w:rFonts w:asciiTheme="minorHAnsi" w:eastAsiaTheme="minorEastAsia" w:hAnsiTheme="minorHAnsi" w:cstheme="minorBidi"/>
          <w:szCs w:val="22"/>
        </w:rPr>
      </w:pPr>
      <w:r>
        <w:t>7.</w:t>
      </w:r>
      <w:r>
        <w:tab/>
        <w:t>Regulation 285A amended</w:t>
      </w:r>
      <w:r>
        <w:tab/>
      </w:r>
      <w:r>
        <w:fldChar w:fldCharType="begin"/>
      </w:r>
      <w:r>
        <w:instrText xml:space="preserve"> PAGEREF _Toc189562091 \h </w:instrText>
      </w:r>
      <w:r>
        <w:fldChar w:fldCharType="separate"/>
      </w:r>
      <w:r>
        <w:t>4</w:t>
      </w:r>
      <w:r>
        <w:fldChar w:fldCharType="end"/>
      </w:r>
    </w:p>
    <w:p>
      <w:pPr>
        <w:pStyle w:val="TOC8"/>
        <w:rPr>
          <w:rFonts w:asciiTheme="minorHAnsi" w:eastAsiaTheme="minorEastAsia" w:hAnsiTheme="minorHAnsi" w:cstheme="minorBidi"/>
          <w:szCs w:val="22"/>
        </w:rPr>
      </w:pPr>
      <w:r>
        <w:t>8.</w:t>
      </w:r>
      <w:r>
        <w:tab/>
        <w:t>Regulation 285B deleted</w:t>
      </w:r>
      <w:r>
        <w:tab/>
      </w:r>
      <w:r>
        <w:fldChar w:fldCharType="begin"/>
      </w:r>
      <w:r>
        <w:instrText xml:space="preserve"> PAGEREF _Toc189562092 \h </w:instrText>
      </w:r>
      <w:r>
        <w:fldChar w:fldCharType="separate"/>
      </w:r>
      <w:r>
        <w:t>5</w:t>
      </w:r>
      <w:r>
        <w:fldChar w:fldCharType="end"/>
      </w:r>
    </w:p>
    <w:p>
      <w:pPr>
        <w:pStyle w:val="TOC4"/>
        <w:tabs>
          <w:tab w:val="right" w:leader="dot" w:pos="7077"/>
        </w:tabs>
        <w:rPr>
          <w:rFonts w:asciiTheme="minorHAnsi" w:eastAsiaTheme="minorEastAsia" w:hAnsiTheme="minorHAnsi" w:cstheme="minorBidi"/>
          <w:b w:val="0"/>
          <w:szCs w:val="22"/>
        </w:rPr>
      </w:pPr>
      <w:r>
        <w:t>Division 3 — Amendments commencing 31 March 2025</w:t>
      </w:r>
    </w:p>
    <w:p>
      <w:pPr>
        <w:pStyle w:val="TOC8"/>
        <w:rPr>
          <w:rFonts w:asciiTheme="minorHAnsi" w:eastAsiaTheme="minorEastAsia" w:hAnsiTheme="minorHAnsi" w:cstheme="minorBidi"/>
          <w:szCs w:val="22"/>
        </w:rPr>
      </w:pPr>
      <w:r>
        <w:t>9.</w:t>
      </w:r>
      <w:r>
        <w:tab/>
        <w:t>Regulation 9 amended</w:t>
      </w:r>
      <w:r>
        <w:tab/>
      </w:r>
      <w:r>
        <w:fldChar w:fldCharType="begin"/>
      </w:r>
      <w:r>
        <w:instrText xml:space="preserve"> PAGEREF _Toc189562094 \h </w:instrText>
      </w:r>
      <w:r>
        <w:fldChar w:fldCharType="separate"/>
      </w:r>
      <w:r>
        <w:t>5</w:t>
      </w:r>
      <w:r>
        <w:fldChar w:fldCharType="end"/>
      </w:r>
    </w:p>
    <w:p>
      <w:pPr>
        <w:pStyle w:val="TOC8"/>
        <w:rPr>
          <w:rFonts w:asciiTheme="minorHAnsi" w:eastAsiaTheme="minorEastAsia" w:hAnsiTheme="minorHAnsi" w:cstheme="minorBidi"/>
          <w:szCs w:val="22"/>
        </w:rPr>
      </w:pPr>
      <w:r>
        <w:t>10.</w:t>
      </w:r>
      <w:r>
        <w:tab/>
        <w:t>Regulation 231A inserted</w:t>
      </w:r>
      <w:r>
        <w:tab/>
      </w:r>
      <w:r>
        <w:fldChar w:fldCharType="begin"/>
      </w:r>
      <w:r>
        <w:instrText xml:space="preserve"> PAGEREF _Toc189562095 \h </w:instrText>
      </w:r>
      <w:r>
        <w:fldChar w:fldCharType="separate"/>
      </w:r>
      <w:r>
        <w:t>6</w:t>
      </w:r>
      <w:r>
        <w:fldChar w:fldCharType="end"/>
      </w:r>
    </w:p>
    <w:p>
      <w:pPr>
        <w:pStyle w:val="TOC9"/>
        <w:rPr>
          <w:rFonts w:asciiTheme="minorHAnsi" w:eastAsiaTheme="minorEastAsia" w:hAnsiTheme="minorHAnsi" w:cstheme="minorBidi"/>
          <w:noProof/>
          <w:sz w:val="22"/>
          <w:szCs w:val="22"/>
        </w:rPr>
      </w:pPr>
      <w:r>
        <w:rPr>
          <w:noProof/>
        </w:rPr>
        <w:lastRenderedPageBreak/>
        <w:t>231A.</w:t>
      </w:r>
      <w:r>
        <w:rPr>
          <w:noProof/>
        </w:rPr>
        <w:tab/>
        <w:t>When seatbelt is properly adjusted and securely fastened</w:t>
      </w:r>
      <w:r>
        <w:rPr>
          <w:noProof/>
        </w:rPr>
        <w:tab/>
      </w:r>
      <w:r>
        <w:rPr>
          <w:noProof/>
        </w:rPr>
        <w:fldChar w:fldCharType="begin"/>
      </w:r>
      <w:r>
        <w:rPr>
          <w:noProof/>
        </w:rPr>
        <w:instrText xml:space="preserve"> PAGEREF _Toc189562096 \h </w:instrText>
      </w:r>
      <w:r>
        <w:rPr>
          <w:noProof/>
        </w:rPr>
      </w:r>
      <w:r>
        <w:rPr>
          <w:noProof/>
        </w:rPr>
        <w:fldChar w:fldCharType="separate"/>
      </w:r>
      <w:r>
        <w:rPr>
          <w:noProof/>
        </w:rPr>
        <w:t>6</w:t>
      </w:r>
      <w:r>
        <w:rPr>
          <w:noProof/>
        </w:rPr>
        <w:fldChar w:fldCharType="end"/>
      </w:r>
    </w:p>
    <w:p>
      <w:pPr>
        <w:pStyle w:val="TOC8"/>
        <w:rPr>
          <w:rFonts w:asciiTheme="minorHAnsi" w:eastAsiaTheme="minorEastAsia" w:hAnsiTheme="minorHAnsi" w:cstheme="minorBidi"/>
          <w:szCs w:val="22"/>
        </w:rPr>
      </w:pPr>
      <w:r>
        <w:t>11.</w:t>
      </w:r>
      <w:r>
        <w:tab/>
        <w:t>Regulation 232A inserted</w:t>
      </w:r>
      <w:r>
        <w:tab/>
      </w:r>
      <w:r>
        <w:fldChar w:fldCharType="begin"/>
      </w:r>
      <w:r>
        <w:instrText xml:space="preserve"> PAGEREF _Toc189562097 \h </w:instrText>
      </w:r>
      <w:r>
        <w:fldChar w:fldCharType="separate"/>
      </w:r>
      <w:r>
        <w:t>7</w:t>
      </w:r>
      <w:r>
        <w:fldChar w:fldCharType="end"/>
      </w:r>
    </w:p>
    <w:p>
      <w:pPr>
        <w:pStyle w:val="TOC9"/>
        <w:rPr>
          <w:rFonts w:asciiTheme="minorHAnsi" w:eastAsiaTheme="minorEastAsia" w:hAnsiTheme="minorHAnsi" w:cstheme="minorBidi"/>
          <w:noProof/>
          <w:sz w:val="22"/>
          <w:szCs w:val="22"/>
        </w:rPr>
      </w:pPr>
      <w:r>
        <w:rPr>
          <w:noProof/>
        </w:rPr>
        <w:t>232A.</w:t>
      </w:r>
      <w:r>
        <w:rPr>
          <w:noProof/>
        </w:rPr>
        <w:tab/>
        <w:t>Driver responsible for passengers</w:t>
      </w:r>
      <w:r>
        <w:rPr>
          <w:noProof/>
        </w:rPr>
        <w:tab/>
      </w:r>
      <w:r>
        <w:rPr>
          <w:noProof/>
        </w:rPr>
        <w:fldChar w:fldCharType="begin"/>
      </w:r>
      <w:r>
        <w:rPr>
          <w:noProof/>
        </w:rPr>
        <w:instrText xml:space="preserve"> PAGEREF _Toc189562098 \h </w:instrText>
      </w:r>
      <w:r>
        <w:rPr>
          <w:noProof/>
        </w:rPr>
      </w:r>
      <w:r>
        <w:rPr>
          <w:noProof/>
        </w:rPr>
        <w:fldChar w:fldCharType="separate"/>
      </w:r>
      <w:r>
        <w:rPr>
          <w:noProof/>
        </w:rPr>
        <w:t>7</w:t>
      </w:r>
      <w:r>
        <w:rPr>
          <w:noProof/>
        </w:rPr>
        <w:fldChar w:fldCharType="end"/>
      </w:r>
    </w:p>
    <w:p>
      <w:pPr>
        <w:pStyle w:val="TOC8"/>
        <w:rPr>
          <w:rFonts w:asciiTheme="minorHAnsi" w:eastAsiaTheme="minorEastAsia" w:hAnsiTheme="minorHAnsi" w:cstheme="minorBidi"/>
          <w:szCs w:val="22"/>
        </w:rPr>
      </w:pPr>
      <w:r>
        <w:t>12.</w:t>
      </w:r>
      <w:r>
        <w:tab/>
        <w:t>Regulation 233 amended</w:t>
      </w:r>
      <w:r>
        <w:tab/>
      </w:r>
      <w:r>
        <w:fldChar w:fldCharType="begin"/>
      </w:r>
      <w:r>
        <w:instrText xml:space="preserve"> PAGEREF _Toc189562099 \h </w:instrText>
      </w:r>
      <w:r>
        <w:fldChar w:fldCharType="separate"/>
      </w:r>
      <w:r>
        <w:t>7</w:t>
      </w:r>
      <w:r>
        <w:fldChar w:fldCharType="end"/>
      </w:r>
    </w:p>
    <w:p>
      <w:pPr>
        <w:pStyle w:val="TOC8"/>
        <w:rPr>
          <w:rFonts w:asciiTheme="minorHAnsi" w:eastAsiaTheme="minorEastAsia" w:hAnsiTheme="minorHAnsi" w:cstheme="minorBidi"/>
          <w:szCs w:val="22"/>
        </w:rPr>
      </w:pPr>
      <w:r>
        <w:t>13.</w:t>
      </w:r>
      <w:r>
        <w:tab/>
        <w:t>Regulation 234 amended</w:t>
      </w:r>
      <w:r>
        <w:tab/>
      </w:r>
      <w:r>
        <w:fldChar w:fldCharType="begin"/>
      </w:r>
      <w:r>
        <w:instrText xml:space="preserve"> PAGEREF _Toc189562100 \h </w:instrText>
      </w:r>
      <w:r>
        <w:fldChar w:fldCharType="separate"/>
      </w:r>
      <w:r>
        <w:t>7</w:t>
      </w:r>
      <w:r>
        <w:fldChar w:fldCharType="end"/>
      </w:r>
    </w:p>
    <w:p>
      <w:pPr>
        <w:pStyle w:val="TOC8"/>
        <w:rPr>
          <w:rFonts w:asciiTheme="minorHAnsi" w:eastAsiaTheme="minorEastAsia" w:hAnsiTheme="minorHAnsi" w:cstheme="minorBidi"/>
          <w:szCs w:val="22"/>
        </w:rPr>
      </w:pPr>
      <w:r>
        <w:t>14.</w:t>
      </w:r>
      <w:r>
        <w:tab/>
        <w:t>Regulation 235 amended</w:t>
      </w:r>
      <w:r>
        <w:tab/>
      </w:r>
      <w:r>
        <w:fldChar w:fldCharType="begin"/>
      </w:r>
      <w:r>
        <w:instrText xml:space="preserve"> PAGEREF _Toc189562101 \h </w:instrText>
      </w:r>
      <w:r>
        <w:fldChar w:fldCharType="separate"/>
      </w:r>
      <w:r>
        <w:t>8</w:t>
      </w:r>
      <w:r>
        <w:fldChar w:fldCharType="end"/>
      </w:r>
    </w:p>
    <w:p>
      <w:pPr>
        <w:pStyle w:val="TOC8"/>
        <w:rPr>
          <w:rFonts w:asciiTheme="minorHAnsi" w:eastAsiaTheme="minorEastAsia" w:hAnsiTheme="minorHAnsi" w:cstheme="minorBidi"/>
          <w:szCs w:val="22"/>
        </w:rPr>
      </w:pPr>
      <w:r>
        <w:t>15.</w:t>
      </w:r>
      <w:r>
        <w:tab/>
        <w:t>Regulation 235A amended</w:t>
      </w:r>
      <w:r>
        <w:tab/>
      </w:r>
      <w:r>
        <w:fldChar w:fldCharType="begin"/>
      </w:r>
      <w:r>
        <w:instrText xml:space="preserve"> PAGEREF _Toc189562102 \h </w:instrText>
      </w:r>
      <w:r>
        <w:fldChar w:fldCharType="separate"/>
      </w:r>
      <w:r>
        <w:t>8</w:t>
      </w:r>
      <w:r>
        <w:fldChar w:fldCharType="end"/>
      </w:r>
    </w:p>
    <w:p>
      <w:pPr>
        <w:pStyle w:val="TOC8"/>
        <w:rPr>
          <w:rFonts w:asciiTheme="minorHAnsi" w:eastAsiaTheme="minorEastAsia" w:hAnsiTheme="minorHAnsi" w:cstheme="minorBidi"/>
          <w:szCs w:val="22"/>
        </w:rPr>
      </w:pPr>
      <w:r>
        <w:t>16.</w:t>
      </w:r>
      <w:r>
        <w:tab/>
        <w:t>Regulation 241 amended</w:t>
      </w:r>
      <w:r>
        <w:tab/>
      </w:r>
      <w:r>
        <w:fldChar w:fldCharType="begin"/>
      </w:r>
      <w:r>
        <w:instrText xml:space="preserve"> PAGEREF _Toc189562103 \h </w:instrText>
      </w:r>
      <w:r>
        <w:fldChar w:fldCharType="separate"/>
      </w:r>
      <w:r>
        <w:t>8</w:t>
      </w:r>
      <w:r>
        <w:fldChar w:fldCharType="end"/>
      </w:r>
    </w:p>
    <w:p>
      <w:pPr>
        <w:pStyle w:val="TOC8"/>
        <w:rPr>
          <w:rFonts w:asciiTheme="minorHAnsi" w:eastAsiaTheme="minorEastAsia" w:hAnsiTheme="minorHAnsi" w:cstheme="minorBidi"/>
          <w:szCs w:val="22"/>
        </w:rPr>
      </w:pPr>
      <w:r>
        <w:t>17.</w:t>
      </w:r>
      <w:r>
        <w:tab/>
        <w:t>Regulation 284 amended</w:t>
      </w:r>
      <w:r>
        <w:tab/>
      </w:r>
      <w:r>
        <w:fldChar w:fldCharType="begin"/>
      </w:r>
      <w:r>
        <w:instrText xml:space="preserve"> PAGEREF _Toc189562104 \h </w:instrText>
      </w:r>
      <w:r>
        <w:fldChar w:fldCharType="separate"/>
      </w:r>
      <w:r>
        <w:t>9</w:t>
      </w:r>
      <w:r>
        <w:fldChar w:fldCharType="end"/>
      </w:r>
    </w:p>
    <w:p>
      <w:pPr>
        <w:pStyle w:val="TOC8"/>
        <w:rPr>
          <w:rFonts w:asciiTheme="minorHAnsi" w:eastAsiaTheme="minorEastAsia" w:hAnsiTheme="minorHAnsi" w:cstheme="minorBidi"/>
          <w:szCs w:val="22"/>
        </w:rPr>
      </w:pPr>
      <w:r>
        <w:t>18.</w:t>
      </w:r>
      <w:r>
        <w:tab/>
        <w:t>Regulation 285 amended</w:t>
      </w:r>
      <w:r>
        <w:tab/>
      </w:r>
      <w:r>
        <w:fldChar w:fldCharType="begin"/>
      </w:r>
      <w:r>
        <w:instrText xml:space="preserve"> PAGEREF _Toc189562105 \h </w:instrText>
      </w:r>
      <w:r>
        <w:fldChar w:fldCharType="separate"/>
      </w:r>
      <w:r>
        <w:t>9</w:t>
      </w:r>
      <w:r>
        <w:fldChar w:fldCharType="end"/>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PrincipalActReg"/>
      </w:pPr>
      <w:r>
        <w:lastRenderedPageBreak/>
        <w:t>Road Safety Council Act 2002</w:t>
      </w:r>
      <w:r>
        <w:br/>
        <w:t>Road Traffic Act 1974</w:t>
      </w:r>
    </w:p>
    <w:p>
      <w:pPr>
        <w:pStyle w:val="NameofActReg"/>
      </w:pPr>
      <w:r>
        <w:t>Road Safety Regulations Amendment Regulations 2025</w:t>
      </w:r>
    </w:p>
    <w:p>
      <w:pPr>
        <w:pStyle w:val="MadeBy"/>
      </w:pPr>
      <w:r>
        <w:t>Made by the Governor in Executive Council.</w:t>
      </w:r>
    </w:p>
    <w:p>
      <w:pPr>
        <w:pStyle w:val="Heading2"/>
        <w:pageBreakBefore w:val="0"/>
        <w:spacing w:before="360"/>
      </w:pPr>
      <w:bookmarkStart w:id="2" w:name="_Toc189143677"/>
      <w:bookmarkStart w:id="3" w:name="_Toc189143772"/>
      <w:bookmarkStart w:id="4" w:name="_Toc189143837"/>
      <w:bookmarkStart w:id="5" w:name="_Toc189143945"/>
      <w:bookmarkStart w:id="6" w:name="_Toc189562079"/>
      <w:r>
        <w:rPr>
          <w:rStyle w:val="CharPartNo"/>
        </w:rPr>
        <w:t>Part 1</w:t>
      </w:r>
      <w:r>
        <w:rPr>
          <w:rStyle w:val="CharDivNo"/>
        </w:rPr>
        <w:t> </w:t>
      </w:r>
      <w:r>
        <w:t>—</w:t>
      </w:r>
      <w:r>
        <w:rPr>
          <w:rStyle w:val="CharDivText"/>
        </w:rPr>
        <w:t> </w:t>
      </w:r>
      <w:r>
        <w:rPr>
          <w:rStyle w:val="CharPartText"/>
        </w:rPr>
        <w:t>Preliminary</w:t>
      </w:r>
      <w:bookmarkEnd w:id="2"/>
      <w:bookmarkEnd w:id="3"/>
      <w:bookmarkEnd w:id="4"/>
      <w:bookmarkEnd w:id="5"/>
      <w:bookmarkEnd w:id="6"/>
    </w:p>
    <w:p>
      <w:pPr>
        <w:pStyle w:val="Heading5"/>
      </w:pPr>
      <w:bookmarkStart w:id="7" w:name="_Toc189143678"/>
      <w:bookmarkStart w:id="8" w:name="_Toc189562080"/>
      <w:r>
        <w:rPr>
          <w:rStyle w:val="CharSectno"/>
        </w:rPr>
        <w:t>1</w:t>
      </w:r>
      <w:r>
        <w:t>.</w:t>
      </w:r>
      <w:r>
        <w:tab/>
        <w:t>Citation</w:t>
      </w:r>
      <w:bookmarkEnd w:id="7"/>
      <w:bookmarkEnd w:id="8"/>
    </w:p>
    <w:p>
      <w:pPr>
        <w:pStyle w:val="Subsection"/>
      </w:pPr>
      <w:r>
        <w:tab/>
      </w:r>
      <w:r>
        <w:tab/>
      </w:r>
      <w:bookmarkStart w:id="9" w:name="Start_Cursor"/>
      <w:bookmarkEnd w:id="9"/>
      <w:r>
        <w:t xml:space="preserve">These </w:t>
      </w:r>
      <w:r>
        <w:rPr>
          <w:spacing w:val="-2"/>
        </w:rPr>
        <w:t>regulations</w:t>
      </w:r>
      <w:r>
        <w:t xml:space="preserve"> are the </w:t>
      </w:r>
      <w:r>
        <w:rPr>
          <w:i/>
        </w:rPr>
        <w:t>Road Safety Regulations Amendment Regulations 2025</w:t>
      </w:r>
      <w:r>
        <w:t>.</w:t>
      </w:r>
    </w:p>
    <w:p>
      <w:pPr>
        <w:pStyle w:val="Heading5"/>
        <w:rPr>
          <w:spacing w:val="-2"/>
        </w:rPr>
      </w:pPr>
      <w:bookmarkStart w:id="10" w:name="_Toc189143679"/>
      <w:bookmarkStart w:id="11" w:name="_Toc189562081"/>
      <w:r>
        <w:rPr>
          <w:rStyle w:val="CharSectno"/>
        </w:rPr>
        <w:t>2</w:t>
      </w:r>
      <w:r>
        <w:rPr>
          <w:spacing w:val="-2"/>
        </w:rPr>
        <w:t>.</w:t>
      </w:r>
      <w:r>
        <w:rPr>
          <w:spacing w:val="-2"/>
        </w:rPr>
        <w:tab/>
        <w:t>Commencement</w:t>
      </w:r>
      <w:bookmarkEnd w:id="10"/>
      <w:bookmarkEnd w:id="11"/>
    </w:p>
    <w:p>
      <w:pPr>
        <w:pStyle w:val="Subsection"/>
        <w:rPr>
          <w:spacing w:val="-2"/>
        </w:rPr>
      </w:pPr>
      <w:r>
        <w:rPr>
          <w:spacing w:val="-2"/>
        </w:rPr>
        <w:tab/>
      </w:r>
      <w:r>
        <w:rPr>
          <w:spacing w:val="-2"/>
        </w:rPr>
        <w:tab/>
      </w:r>
      <w:r>
        <w:t xml:space="preserve">These </w:t>
      </w:r>
      <w:r>
        <w:rPr>
          <w:spacing w:val="-2"/>
        </w:rPr>
        <w:t>regulations come into operation as follows</w:t>
      </w:r>
      <w:r>
        <w:t> —</w:t>
      </w:r>
    </w:p>
    <w:p>
      <w:pPr>
        <w:pStyle w:val="Indenta"/>
      </w:pPr>
      <w:r>
        <w:tab/>
        <w:t>(a)</w:t>
      </w:r>
      <w:r>
        <w:tab/>
      </w:r>
      <w:r>
        <w:rPr>
          <w:spacing w:val="-2"/>
        </w:rPr>
        <w:t>Part 1</w:t>
      </w:r>
      <w:r>
        <w:t xml:space="preserve"> — on the day on which these </w:t>
      </w:r>
      <w:r>
        <w:rPr>
          <w:spacing w:val="-2"/>
        </w:rPr>
        <w:t>regulations</w:t>
      </w:r>
      <w:r>
        <w:t xml:space="preserve"> are published on the WA legislation website (</w:t>
      </w:r>
      <w:r>
        <w:rPr>
          <w:rStyle w:val="CharDefText"/>
        </w:rPr>
        <w:t>publication day</w:t>
      </w:r>
      <w:r>
        <w:t>);</w:t>
      </w:r>
    </w:p>
    <w:p>
      <w:pPr>
        <w:pStyle w:val="Indenta"/>
      </w:pPr>
      <w:r>
        <w:tab/>
        <w:t>(b)</w:t>
      </w:r>
      <w:r>
        <w:tab/>
        <w:t>Part 3 (other than Division 3) — on the day after publication day;</w:t>
      </w:r>
    </w:p>
    <w:p>
      <w:pPr>
        <w:pStyle w:val="Indenta"/>
      </w:pPr>
      <w:r>
        <w:tab/>
        <w:t>(c)</w:t>
      </w:r>
      <w:r>
        <w:tab/>
        <w:t xml:space="preserve">the rest of the </w:t>
      </w:r>
      <w:r>
        <w:rPr>
          <w:spacing w:val="-2"/>
        </w:rPr>
        <w:t>regulations</w:t>
      </w:r>
      <w:r>
        <w:t> — on 31 March 2025.</w:t>
      </w:r>
    </w:p>
    <w:p>
      <w:pPr>
        <w:pStyle w:val="Heading2"/>
      </w:pPr>
      <w:bookmarkStart w:id="12" w:name="_Toc189143680"/>
      <w:bookmarkStart w:id="13" w:name="_Toc189143775"/>
      <w:bookmarkStart w:id="14" w:name="_Toc189143840"/>
      <w:bookmarkStart w:id="15" w:name="_Toc189143948"/>
      <w:bookmarkStart w:id="16" w:name="_Toc189562082"/>
      <w:r>
        <w:rPr>
          <w:rStyle w:val="CharPartNo"/>
        </w:rPr>
        <w:lastRenderedPageBreak/>
        <w:t>Part 2</w:t>
      </w:r>
      <w:r>
        <w:rPr>
          <w:rStyle w:val="CharDivNo"/>
        </w:rPr>
        <w:t> </w:t>
      </w:r>
      <w:r>
        <w:t>—</w:t>
      </w:r>
      <w:r>
        <w:rPr>
          <w:rStyle w:val="CharDivText"/>
        </w:rPr>
        <w:t> </w:t>
      </w:r>
      <w:r>
        <w:rPr>
          <w:rStyle w:val="CharPartText"/>
          <w:i/>
          <w:iCs/>
        </w:rPr>
        <w:t>Road Safety Council (Specified Offences) Regulations 2002</w:t>
      </w:r>
      <w:r>
        <w:rPr>
          <w:rStyle w:val="CharPartText"/>
        </w:rPr>
        <w:t xml:space="preserve"> amended</w:t>
      </w:r>
      <w:bookmarkEnd w:id="12"/>
      <w:bookmarkEnd w:id="13"/>
      <w:bookmarkEnd w:id="14"/>
      <w:bookmarkEnd w:id="15"/>
      <w:bookmarkEnd w:id="16"/>
    </w:p>
    <w:p>
      <w:pPr>
        <w:pStyle w:val="Heading5"/>
        <w:rPr>
          <w:snapToGrid w:val="0"/>
        </w:rPr>
      </w:pPr>
      <w:bookmarkStart w:id="17" w:name="_Toc189143681"/>
      <w:bookmarkStart w:id="18" w:name="_Toc189562083"/>
      <w:r>
        <w:rPr>
          <w:rStyle w:val="CharSectno"/>
        </w:rPr>
        <w:t>3</w:t>
      </w:r>
      <w:r>
        <w:rPr>
          <w:snapToGrid w:val="0"/>
        </w:rPr>
        <w:t>.</w:t>
      </w:r>
      <w:r>
        <w:rPr>
          <w:snapToGrid w:val="0"/>
        </w:rPr>
        <w:tab/>
        <w:t>Regulations amended</w:t>
      </w:r>
      <w:bookmarkEnd w:id="17"/>
      <w:bookmarkEnd w:id="18"/>
    </w:p>
    <w:p>
      <w:pPr>
        <w:pStyle w:val="Subsection"/>
      </w:pPr>
      <w:r>
        <w:tab/>
      </w:r>
      <w:r>
        <w:tab/>
        <w:t xml:space="preserve">This Part amends the </w:t>
      </w:r>
      <w:r>
        <w:rPr>
          <w:i/>
        </w:rPr>
        <w:t>Road Safety Council (Specified Offences) Regulations 2002</w:t>
      </w:r>
      <w:r>
        <w:t>.</w:t>
      </w:r>
    </w:p>
    <w:p>
      <w:pPr>
        <w:pStyle w:val="Heading5"/>
      </w:pPr>
      <w:bookmarkStart w:id="19" w:name="_Toc189143682"/>
      <w:bookmarkStart w:id="20" w:name="_Toc189562084"/>
      <w:r>
        <w:rPr>
          <w:rStyle w:val="CharSectno"/>
        </w:rPr>
        <w:t>4</w:t>
      </w:r>
      <w:r>
        <w:t>.</w:t>
      </w:r>
      <w:r>
        <w:tab/>
        <w:t>Regulation 3 replaced</w:t>
      </w:r>
      <w:bookmarkEnd w:id="19"/>
      <w:bookmarkEnd w:id="20"/>
    </w:p>
    <w:p>
      <w:pPr>
        <w:pStyle w:val="Subsection"/>
      </w:pPr>
      <w:r>
        <w:tab/>
      </w:r>
      <w:r>
        <w:tab/>
        <w:t>Delete regulation 3 and insert:</w:t>
      </w:r>
    </w:p>
    <w:p>
      <w:pPr>
        <w:pStyle w:val="BlankOpen"/>
      </w:pPr>
    </w:p>
    <w:p>
      <w:pPr>
        <w:pStyle w:val="zHeading5"/>
      </w:pPr>
      <w:bookmarkStart w:id="21" w:name="_Toc189143683"/>
      <w:bookmarkStart w:id="22" w:name="_Toc189562085"/>
      <w:r>
        <w:t>3.</w:t>
      </w:r>
      <w:r>
        <w:tab/>
        <w:t>Specified offences (Act s. 12(7))</w:t>
      </w:r>
      <w:bookmarkEnd w:id="21"/>
      <w:bookmarkEnd w:id="22"/>
    </w:p>
    <w:p>
      <w:pPr>
        <w:pStyle w:val="zSubsection"/>
      </w:pPr>
      <w:r>
        <w:tab/>
      </w:r>
      <w:r>
        <w:tab/>
        <w:t xml:space="preserve">Section 12(2)(a) of the Act applies to an offence under — </w:t>
      </w:r>
    </w:p>
    <w:p>
      <w:pPr>
        <w:pStyle w:val="zIndenta"/>
      </w:pPr>
      <w:r>
        <w:tab/>
        <w:t>(a)</w:t>
      </w:r>
      <w:r>
        <w:tab/>
        <w:t xml:space="preserve">the </w:t>
      </w:r>
      <w:r>
        <w:rPr>
          <w:i/>
          <w:iCs/>
        </w:rPr>
        <w:t>Road Traffic (Administration) Act 2008</w:t>
      </w:r>
      <w:r>
        <w:t xml:space="preserve"> section 97(1); and</w:t>
      </w:r>
    </w:p>
    <w:p>
      <w:pPr>
        <w:pStyle w:val="zIndenta"/>
      </w:pPr>
      <w:r>
        <w:tab/>
        <w:t>(b)</w:t>
      </w:r>
      <w:r>
        <w:tab/>
        <w:t xml:space="preserve">each of the following provisions of the </w:t>
      </w:r>
      <w:r>
        <w:rPr>
          <w:i/>
          <w:iCs/>
        </w:rPr>
        <w:t>Road Traffic Code 2000</w:t>
      </w:r>
      <w:r>
        <w:t xml:space="preserve"> — </w:t>
      </w:r>
    </w:p>
    <w:p>
      <w:pPr>
        <w:pStyle w:val="zIndenti"/>
      </w:pPr>
      <w:r>
        <w:tab/>
        <w:t>(i)</w:t>
      </w:r>
      <w:r>
        <w:tab/>
        <w:t>regulation 11(1), (2), (3), (4), (5), (6) and (7);</w:t>
      </w:r>
    </w:p>
    <w:p>
      <w:pPr>
        <w:pStyle w:val="zIndenti"/>
      </w:pPr>
      <w:r>
        <w:tab/>
        <w:t>(ii)</w:t>
      </w:r>
      <w:r>
        <w:tab/>
        <w:t>regulation 12(1);</w:t>
      </w:r>
    </w:p>
    <w:p>
      <w:pPr>
        <w:pStyle w:val="zIndenti"/>
      </w:pPr>
      <w:r>
        <w:tab/>
        <w:t>(iii)</w:t>
      </w:r>
      <w:r>
        <w:tab/>
        <w:t>regulation 13(2), (3) and (4);</w:t>
      </w:r>
    </w:p>
    <w:p>
      <w:pPr>
        <w:pStyle w:val="zIndenti"/>
      </w:pPr>
      <w:r>
        <w:tab/>
        <w:t>(iv)</w:t>
      </w:r>
      <w:r>
        <w:tab/>
        <w:t>regulation 14;</w:t>
      </w:r>
    </w:p>
    <w:p>
      <w:pPr>
        <w:pStyle w:val="zIndenti"/>
      </w:pPr>
      <w:r>
        <w:tab/>
        <w:t>(v)</w:t>
      </w:r>
      <w:r>
        <w:tab/>
        <w:t>regulation 16;</w:t>
      </w:r>
    </w:p>
    <w:p>
      <w:pPr>
        <w:pStyle w:val="zIndenti"/>
      </w:pPr>
      <w:r>
        <w:tab/>
        <w:t>(vi)</w:t>
      </w:r>
      <w:r>
        <w:tab/>
        <w:t>regulation 40(1) and (2);</w:t>
      </w:r>
    </w:p>
    <w:p>
      <w:pPr>
        <w:pStyle w:val="zIndenti"/>
      </w:pPr>
      <w:r>
        <w:tab/>
        <w:t>(vii)</w:t>
      </w:r>
      <w:r>
        <w:tab/>
        <w:t>regulation 131(1) and (3);</w:t>
      </w:r>
    </w:p>
    <w:p>
      <w:pPr>
        <w:pStyle w:val="zIndenti"/>
      </w:pPr>
      <w:r>
        <w:tab/>
        <w:t>(viii)</w:t>
      </w:r>
      <w:r>
        <w:tab/>
        <w:t>regulation 232(2);</w:t>
      </w:r>
    </w:p>
    <w:p>
      <w:pPr>
        <w:pStyle w:val="zIndenti"/>
      </w:pPr>
      <w:r>
        <w:tab/>
        <w:t>(ix)</w:t>
      </w:r>
      <w:r>
        <w:tab/>
        <w:t>regulation 232A(1);</w:t>
      </w:r>
    </w:p>
    <w:p>
      <w:pPr>
        <w:pStyle w:val="zIndenti"/>
        <w:keepNext/>
      </w:pPr>
      <w:r>
        <w:tab/>
        <w:t>(x)</w:t>
      </w:r>
      <w:r>
        <w:tab/>
        <w:t>regulation 265(2).</w:t>
      </w:r>
    </w:p>
    <w:p>
      <w:pPr>
        <w:pStyle w:val="BlankClose"/>
      </w:pPr>
    </w:p>
    <w:p>
      <w:pPr>
        <w:pStyle w:val="Heading2"/>
      </w:pPr>
      <w:bookmarkStart w:id="23" w:name="_Toc189143684"/>
      <w:bookmarkStart w:id="24" w:name="_Toc189143779"/>
      <w:bookmarkStart w:id="25" w:name="_Toc189143844"/>
      <w:bookmarkStart w:id="26" w:name="_Toc189143952"/>
      <w:bookmarkStart w:id="27" w:name="_Toc189562086"/>
      <w:r>
        <w:rPr>
          <w:rStyle w:val="CharPartNo"/>
        </w:rPr>
        <w:lastRenderedPageBreak/>
        <w:t>Part 3</w:t>
      </w:r>
      <w:r>
        <w:t> — </w:t>
      </w:r>
      <w:r>
        <w:rPr>
          <w:rStyle w:val="CharPartText"/>
          <w:i/>
          <w:iCs/>
        </w:rPr>
        <w:t>Road Traffic Code 2000</w:t>
      </w:r>
      <w:r>
        <w:rPr>
          <w:rStyle w:val="CharPartText"/>
        </w:rPr>
        <w:t xml:space="preserve"> amended</w:t>
      </w:r>
      <w:bookmarkEnd w:id="23"/>
      <w:bookmarkEnd w:id="24"/>
      <w:bookmarkEnd w:id="25"/>
      <w:bookmarkEnd w:id="26"/>
      <w:bookmarkEnd w:id="27"/>
    </w:p>
    <w:p>
      <w:pPr>
        <w:pStyle w:val="Heading3"/>
      </w:pPr>
      <w:bookmarkStart w:id="28" w:name="_Toc189143685"/>
      <w:bookmarkStart w:id="29" w:name="_Toc189143780"/>
      <w:bookmarkStart w:id="30" w:name="_Toc189143845"/>
      <w:bookmarkStart w:id="31" w:name="_Toc189143953"/>
      <w:bookmarkStart w:id="32" w:name="_Toc189562087"/>
      <w:r>
        <w:rPr>
          <w:rStyle w:val="CharDivNo"/>
        </w:rPr>
        <w:t>Division 1</w:t>
      </w:r>
      <w:r>
        <w:t> — </w:t>
      </w:r>
      <w:r>
        <w:rPr>
          <w:rStyle w:val="CharDivText"/>
        </w:rPr>
        <w:t>Regulations amended</w:t>
      </w:r>
      <w:bookmarkEnd w:id="28"/>
      <w:bookmarkEnd w:id="29"/>
      <w:bookmarkEnd w:id="30"/>
      <w:bookmarkEnd w:id="31"/>
      <w:bookmarkEnd w:id="32"/>
    </w:p>
    <w:p>
      <w:pPr>
        <w:pStyle w:val="Heading5"/>
        <w:rPr>
          <w:snapToGrid w:val="0"/>
        </w:rPr>
      </w:pPr>
      <w:bookmarkStart w:id="33" w:name="_Toc189143686"/>
      <w:bookmarkStart w:id="34" w:name="_Toc189562088"/>
      <w:r>
        <w:rPr>
          <w:rStyle w:val="CharSectno"/>
        </w:rPr>
        <w:t>5</w:t>
      </w:r>
      <w:r>
        <w:rPr>
          <w:snapToGrid w:val="0"/>
        </w:rPr>
        <w:t>.</w:t>
      </w:r>
      <w:r>
        <w:rPr>
          <w:snapToGrid w:val="0"/>
        </w:rPr>
        <w:tab/>
        <w:t>Regulations amended</w:t>
      </w:r>
      <w:bookmarkEnd w:id="33"/>
      <w:bookmarkEnd w:id="34"/>
    </w:p>
    <w:p>
      <w:pPr>
        <w:pStyle w:val="Subsection"/>
      </w:pPr>
      <w:r>
        <w:tab/>
      </w:r>
      <w:r>
        <w:tab/>
        <w:t xml:space="preserve">This Part amends the </w:t>
      </w:r>
      <w:r>
        <w:rPr>
          <w:i/>
        </w:rPr>
        <w:t>Road Traffic Code 2000</w:t>
      </w:r>
      <w:r>
        <w:t>.</w:t>
      </w:r>
    </w:p>
    <w:p>
      <w:pPr>
        <w:pStyle w:val="Heading3"/>
      </w:pPr>
      <w:bookmarkStart w:id="35" w:name="_Toc189143687"/>
      <w:bookmarkStart w:id="36" w:name="_Toc189143782"/>
      <w:bookmarkStart w:id="37" w:name="_Toc189143847"/>
      <w:bookmarkStart w:id="38" w:name="_Toc189143955"/>
      <w:bookmarkStart w:id="39" w:name="_Toc189562089"/>
      <w:r>
        <w:rPr>
          <w:rStyle w:val="CharDivNo"/>
        </w:rPr>
        <w:t>Division 2</w:t>
      </w:r>
      <w:r>
        <w:t> — </w:t>
      </w:r>
      <w:r>
        <w:rPr>
          <w:rStyle w:val="CharDivText"/>
        </w:rPr>
        <w:t>Amendments commencing day after publication day</w:t>
      </w:r>
      <w:bookmarkEnd w:id="35"/>
      <w:bookmarkEnd w:id="36"/>
      <w:bookmarkEnd w:id="37"/>
      <w:bookmarkEnd w:id="38"/>
      <w:bookmarkEnd w:id="39"/>
    </w:p>
    <w:p>
      <w:pPr>
        <w:pStyle w:val="Heading5"/>
      </w:pPr>
      <w:bookmarkStart w:id="40" w:name="_Toc189143688"/>
      <w:bookmarkStart w:id="41" w:name="_Toc189562090"/>
      <w:r>
        <w:rPr>
          <w:rStyle w:val="CharSectno"/>
        </w:rPr>
        <w:t>6</w:t>
      </w:r>
      <w:r>
        <w:t>.</w:t>
      </w:r>
      <w:r>
        <w:tab/>
        <w:t>Regulation 18A amended</w:t>
      </w:r>
      <w:bookmarkEnd w:id="40"/>
      <w:bookmarkEnd w:id="41"/>
    </w:p>
    <w:p>
      <w:pPr>
        <w:pStyle w:val="Subsection"/>
        <w:keepNext/>
      </w:pPr>
      <w:r>
        <w:tab/>
        <w:t>(1)</w:t>
      </w:r>
      <w:r>
        <w:tab/>
        <w:t>In regulation 18A(1) insert in alphabetical order:</w:t>
      </w:r>
    </w:p>
    <w:p>
      <w:pPr>
        <w:pStyle w:val="BlankOpen"/>
      </w:pPr>
    </w:p>
    <w:p>
      <w:pPr>
        <w:pStyle w:val="zDefstart"/>
      </w:pPr>
      <w:r>
        <w:tab/>
      </w:r>
      <w:r>
        <w:rPr>
          <w:rStyle w:val="CharDefText"/>
        </w:rPr>
        <w:t>visual detection equipment</w:t>
      </w:r>
      <w:r>
        <w:t xml:space="preserve"> has the meaning given in the </w:t>
      </w:r>
      <w:r>
        <w:rPr>
          <w:i/>
          <w:iCs/>
        </w:rPr>
        <w:t>Road Traffic (Administration) Act 2008</w:t>
      </w:r>
      <w:r>
        <w:t xml:space="preserve"> section 117(1).</w:t>
      </w:r>
    </w:p>
    <w:p>
      <w:pPr>
        <w:pStyle w:val="BlankClose"/>
      </w:pPr>
    </w:p>
    <w:p>
      <w:pPr>
        <w:pStyle w:val="Subsection"/>
      </w:pPr>
      <w:r>
        <w:tab/>
        <w:t>(2)</w:t>
      </w:r>
      <w:r>
        <w:tab/>
        <w:t xml:space="preserve">In regulation 18A(1) in the definition of </w:t>
      </w:r>
      <w:r>
        <w:rPr>
          <w:b/>
          <w:i/>
        </w:rPr>
        <w:t>speed measuring and recording equipment</w:t>
      </w:r>
      <w:r>
        <w:t xml:space="preserve"> delete “117(1).” and insert:</w:t>
      </w:r>
    </w:p>
    <w:p>
      <w:pPr>
        <w:pStyle w:val="BlankOpen"/>
      </w:pPr>
    </w:p>
    <w:p>
      <w:pPr>
        <w:pStyle w:val="Subsection"/>
      </w:pPr>
      <w:r>
        <w:tab/>
      </w:r>
      <w:r>
        <w:tab/>
        <w:t>117(1);</w:t>
      </w:r>
    </w:p>
    <w:p>
      <w:pPr>
        <w:pStyle w:val="BlankClose"/>
      </w:pPr>
    </w:p>
    <w:p>
      <w:pPr>
        <w:pStyle w:val="Subsection"/>
      </w:pPr>
      <w:r>
        <w:tab/>
        <w:t>(3)</w:t>
      </w:r>
      <w:r>
        <w:tab/>
        <w:t>In regulation 18A(2) and (3) delete “recording equipment” and insert:</w:t>
      </w:r>
    </w:p>
    <w:p>
      <w:pPr>
        <w:pStyle w:val="BlankOpen"/>
      </w:pPr>
    </w:p>
    <w:p>
      <w:pPr>
        <w:pStyle w:val="Subsection"/>
      </w:pPr>
      <w:r>
        <w:tab/>
      </w:r>
      <w:r>
        <w:tab/>
        <w:t>recording equipment, visual detection equipment</w:t>
      </w:r>
    </w:p>
    <w:p>
      <w:pPr>
        <w:pStyle w:val="BlankClose"/>
      </w:pPr>
    </w:p>
    <w:p>
      <w:pPr>
        <w:pStyle w:val="Subsection"/>
      </w:pPr>
      <w:r>
        <w:tab/>
        <w:t>(4)</w:t>
      </w:r>
      <w:r>
        <w:tab/>
        <w:t>After regulation 18A(4)(a) insert:</w:t>
      </w:r>
    </w:p>
    <w:p>
      <w:pPr>
        <w:pStyle w:val="BlankOpen"/>
      </w:pPr>
    </w:p>
    <w:p>
      <w:pPr>
        <w:pStyle w:val="zIndenta"/>
      </w:pPr>
      <w:r>
        <w:tab/>
        <w:t>(aa)</w:t>
      </w:r>
      <w:r>
        <w:tab/>
        <w:t>visual detection equipment; or</w:t>
      </w:r>
    </w:p>
    <w:p>
      <w:pPr>
        <w:pStyle w:val="BlankClose"/>
      </w:pPr>
    </w:p>
    <w:p>
      <w:pPr>
        <w:pStyle w:val="SectAltNote"/>
      </w:pPr>
      <w:r>
        <w:lastRenderedPageBreak/>
        <w:tab/>
        <w:t>Note: The heading to amended regulation 18A is to read:</w:t>
      </w:r>
    </w:p>
    <w:p>
      <w:pPr>
        <w:pStyle w:val="SectAltHeading"/>
      </w:pPr>
      <w:r>
        <w:tab/>
      </w:r>
      <w:r>
        <w:tab/>
        <w:t>Evasive action in relation to speed cameras or other detection equipment</w:t>
      </w:r>
    </w:p>
    <w:p>
      <w:pPr>
        <w:pStyle w:val="Heading5"/>
      </w:pPr>
      <w:bookmarkStart w:id="42" w:name="_Toc189143689"/>
      <w:bookmarkStart w:id="43" w:name="_Toc189562091"/>
      <w:r>
        <w:rPr>
          <w:rStyle w:val="CharSectno"/>
        </w:rPr>
        <w:t>7</w:t>
      </w:r>
      <w:r>
        <w:t>.</w:t>
      </w:r>
      <w:r>
        <w:tab/>
        <w:t>Regulation 285A amended</w:t>
      </w:r>
      <w:bookmarkEnd w:id="42"/>
      <w:bookmarkEnd w:id="43"/>
    </w:p>
    <w:p>
      <w:pPr>
        <w:pStyle w:val="Subsection"/>
      </w:pPr>
      <w:r>
        <w:tab/>
        <w:t>(1)</w:t>
      </w:r>
      <w:r>
        <w:tab/>
        <w:t xml:space="preserve">In regulation 285A(1) in the definition of </w:t>
      </w:r>
      <w:r>
        <w:rPr>
          <w:b/>
          <w:i/>
        </w:rPr>
        <w:t>approved equipment</w:t>
      </w:r>
      <w:r>
        <w:t>:</w:t>
      </w:r>
    </w:p>
    <w:p>
      <w:pPr>
        <w:pStyle w:val="Indenta"/>
      </w:pPr>
      <w:r>
        <w:tab/>
        <w:t>(a)</w:t>
      </w:r>
      <w:r>
        <w:tab/>
        <w:t>in paragraph (c) delete “117(1).” and insert:</w:t>
      </w:r>
    </w:p>
    <w:p>
      <w:pPr>
        <w:pStyle w:val="BlankOpen"/>
      </w:pPr>
    </w:p>
    <w:p>
      <w:pPr>
        <w:pStyle w:val="Indenta"/>
      </w:pPr>
      <w:r>
        <w:tab/>
      </w:r>
      <w:r>
        <w:tab/>
        <w:t>117(1); or</w:t>
      </w:r>
    </w:p>
    <w:p>
      <w:pPr>
        <w:pStyle w:val="BlankClose"/>
      </w:pPr>
    </w:p>
    <w:p>
      <w:pPr>
        <w:pStyle w:val="Indenta"/>
      </w:pPr>
      <w:r>
        <w:tab/>
        <w:t>(b)</w:t>
      </w:r>
      <w:r>
        <w:tab/>
        <w:t>after paragraph (c) insert:</w:t>
      </w:r>
    </w:p>
    <w:p>
      <w:pPr>
        <w:pStyle w:val="BlankOpen"/>
      </w:pPr>
    </w:p>
    <w:p>
      <w:pPr>
        <w:pStyle w:val="zDefpara"/>
      </w:pPr>
      <w:r>
        <w:tab/>
        <w:t>(d)</w:t>
      </w:r>
      <w:r>
        <w:tab/>
        <w:t xml:space="preserve">visual detection equipment, as defined in the </w:t>
      </w:r>
      <w:r>
        <w:rPr>
          <w:i/>
          <w:iCs/>
        </w:rPr>
        <w:t>Road Traffic (Administration) Act 2008</w:t>
      </w:r>
      <w:r>
        <w:t xml:space="preserve"> section 117(1).</w:t>
      </w:r>
    </w:p>
    <w:p>
      <w:pPr>
        <w:pStyle w:val="BlankClose"/>
      </w:pPr>
    </w:p>
    <w:p>
      <w:pPr>
        <w:pStyle w:val="Subsection"/>
      </w:pPr>
      <w:r>
        <w:tab/>
        <w:t>(2)</w:t>
      </w:r>
      <w:r>
        <w:tab/>
        <w:t>In regulation 285A(2):</w:t>
      </w:r>
    </w:p>
    <w:p>
      <w:pPr>
        <w:pStyle w:val="Indenta"/>
      </w:pPr>
      <w:r>
        <w:tab/>
        <w:t>(a)</w:t>
      </w:r>
      <w:r>
        <w:tab/>
        <w:t>in paragraph (a) delete “operation” and insert:</w:t>
      </w:r>
    </w:p>
    <w:p>
      <w:pPr>
        <w:pStyle w:val="BlankOpen"/>
      </w:pPr>
    </w:p>
    <w:p>
      <w:pPr>
        <w:pStyle w:val="Indenta"/>
      </w:pPr>
      <w:r>
        <w:tab/>
      </w:r>
      <w:r>
        <w:tab/>
        <w:t>installation, operation, maintenance or cleaning</w:t>
      </w:r>
    </w:p>
    <w:p>
      <w:pPr>
        <w:pStyle w:val="BlankClose"/>
      </w:pPr>
    </w:p>
    <w:p>
      <w:pPr>
        <w:pStyle w:val="Indenta"/>
      </w:pPr>
      <w:r>
        <w:tab/>
        <w:t>(b)</w:t>
      </w:r>
      <w:r>
        <w:tab/>
        <w:t>in paragraph (b) delete “operate” and insert:</w:t>
      </w:r>
    </w:p>
    <w:p>
      <w:pPr>
        <w:pStyle w:val="BlankOpen"/>
      </w:pPr>
    </w:p>
    <w:p>
      <w:pPr>
        <w:pStyle w:val="Indenta"/>
      </w:pPr>
      <w:r>
        <w:tab/>
      </w:r>
      <w:r>
        <w:tab/>
        <w:t>install, operate, maintain or clean (as applicable)</w:t>
      </w:r>
    </w:p>
    <w:p>
      <w:pPr>
        <w:pStyle w:val="BlankClose"/>
      </w:pPr>
    </w:p>
    <w:p>
      <w:pPr>
        <w:pStyle w:val="Indenta"/>
      </w:pPr>
      <w:r>
        <w:tab/>
        <w:t>(c)</w:t>
      </w:r>
      <w:r>
        <w:tab/>
        <w:t>in the Table in the row relating to regulation 141 delete “or parking”;</w:t>
      </w:r>
    </w:p>
    <w:p>
      <w:pPr>
        <w:pStyle w:val="Indenta"/>
        <w:keepNext/>
      </w:pPr>
      <w:r>
        <w:lastRenderedPageBreak/>
        <w:tab/>
        <w:t>(d)</w:t>
      </w:r>
      <w:r>
        <w:tab/>
        <w:t>in the Table after the row relating to regulation 142 insert:</w:t>
      </w:r>
    </w:p>
    <w:p>
      <w:pPr>
        <w:pStyle w:val="BlankOpen"/>
      </w:pP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2127"/>
        <w:gridCol w:w="3940"/>
      </w:tblGrid>
      <w:tr>
        <w:tc>
          <w:tcPr>
            <w:tcW w:w="2127" w:type="dxa"/>
          </w:tcPr>
          <w:p>
            <w:pPr>
              <w:pStyle w:val="zTableNAmLeft0cm"/>
            </w:pPr>
            <w:r>
              <w:t>r. 143(2)</w:t>
            </w:r>
          </w:p>
        </w:tc>
        <w:tc>
          <w:tcPr>
            <w:tcW w:w="3940" w:type="dxa"/>
          </w:tcPr>
          <w:p>
            <w:pPr>
              <w:pStyle w:val="zTableNAm"/>
            </w:pPr>
            <w:r>
              <w:t>Stopping within 20 m of an intersection with traffic-control signals</w:t>
            </w:r>
          </w:p>
        </w:tc>
      </w:tr>
    </w:tbl>
    <w:p>
      <w:pPr>
        <w:pStyle w:val="BlankClose"/>
      </w:pPr>
    </w:p>
    <w:p>
      <w:pPr>
        <w:pStyle w:val="Indenta"/>
      </w:pPr>
      <w:r>
        <w:tab/>
        <w:t>(e)</w:t>
      </w:r>
      <w:r>
        <w:tab/>
        <w:t>in the Table after the row relating to regulation 150 insert:</w:t>
      </w:r>
    </w:p>
    <w:p>
      <w:pPr>
        <w:pStyle w:val="BlankOpen"/>
      </w:pP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2127"/>
        <w:gridCol w:w="3940"/>
      </w:tblGrid>
      <w:tr>
        <w:tc>
          <w:tcPr>
            <w:tcW w:w="2127" w:type="dxa"/>
          </w:tcPr>
          <w:p>
            <w:pPr>
              <w:pStyle w:val="zTableNAmLeft0cm"/>
            </w:pPr>
            <w:r>
              <w:t>r. 158</w:t>
            </w:r>
          </w:p>
        </w:tc>
        <w:tc>
          <w:tcPr>
            <w:tcW w:w="3940" w:type="dxa"/>
          </w:tcPr>
          <w:p>
            <w:pPr>
              <w:pStyle w:val="zTableNAm"/>
            </w:pPr>
            <w:r>
              <w:t>Stopping in a shared zone</w:t>
            </w:r>
          </w:p>
        </w:tc>
      </w:tr>
    </w:tbl>
    <w:p>
      <w:pPr>
        <w:pStyle w:val="BlankClose"/>
      </w:pPr>
    </w:p>
    <w:p>
      <w:pPr>
        <w:pStyle w:val="Indenta"/>
      </w:pPr>
      <w:r>
        <w:tab/>
        <w:t>(f)</w:t>
      </w:r>
      <w:r>
        <w:tab/>
        <w:t>in the Table after the row relating to regulation 195 insert:</w:t>
      </w:r>
    </w:p>
    <w:p>
      <w:pPr>
        <w:pStyle w:val="BlankOpen"/>
      </w:pP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2127"/>
        <w:gridCol w:w="3940"/>
      </w:tblGrid>
      <w:tr>
        <w:tc>
          <w:tcPr>
            <w:tcW w:w="2127" w:type="dxa"/>
          </w:tcPr>
          <w:p>
            <w:pPr>
              <w:pStyle w:val="zTableNAmLeft0cm"/>
            </w:pPr>
            <w:r>
              <w:t>r. 201(1)</w:t>
            </w:r>
          </w:p>
        </w:tc>
        <w:tc>
          <w:tcPr>
            <w:tcW w:w="3940" w:type="dxa"/>
          </w:tcPr>
          <w:p>
            <w:pPr>
              <w:pStyle w:val="zTableNAm"/>
            </w:pPr>
            <w:r>
              <w:t>Person obstructing pedestrians or vehicles on a path or carriageway</w:t>
            </w:r>
          </w:p>
        </w:tc>
      </w:tr>
    </w:tbl>
    <w:p>
      <w:pPr>
        <w:pStyle w:val="BlankClose"/>
      </w:pPr>
    </w:p>
    <w:p>
      <w:pPr>
        <w:pStyle w:val="Heading5"/>
      </w:pPr>
      <w:bookmarkStart w:id="44" w:name="_Toc189143690"/>
      <w:bookmarkStart w:id="45" w:name="_Toc189562092"/>
      <w:r>
        <w:rPr>
          <w:rStyle w:val="CharSectno"/>
        </w:rPr>
        <w:t>8</w:t>
      </w:r>
      <w:r>
        <w:t>.</w:t>
      </w:r>
      <w:r>
        <w:tab/>
        <w:t>Regulation 285B deleted</w:t>
      </w:r>
      <w:bookmarkEnd w:id="44"/>
      <w:bookmarkEnd w:id="45"/>
    </w:p>
    <w:p>
      <w:pPr>
        <w:pStyle w:val="Subsection"/>
      </w:pPr>
      <w:r>
        <w:tab/>
      </w:r>
      <w:r>
        <w:tab/>
        <w:t>Delete regulation 285B.</w:t>
      </w:r>
    </w:p>
    <w:p>
      <w:pPr>
        <w:pStyle w:val="Heading3"/>
      </w:pPr>
      <w:bookmarkStart w:id="46" w:name="_Toc189143691"/>
      <w:bookmarkStart w:id="47" w:name="_Toc189143786"/>
      <w:bookmarkStart w:id="48" w:name="_Toc189143851"/>
      <w:bookmarkStart w:id="49" w:name="_Toc189143959"/>
      <w:bookmarkStart w:id="50" w:name="_Toc189562093"/>
      <w:r>
        <w:rPr>
          <w:rStyle w:val="CharDivNo"/>
        </w:rPr>
        <w:t>Division 3</w:t>
      </w:r>
      <w:r>
        <w:t> — </w:t>
      </w:r>
      <w:r>
        <w:rPr>
          <w:rStyle w:val="CharDivText"/>
        </w:rPr>
        <w:t>Amendments commencing 31 March 2025</w:t>
      </w:r>
      <w:bookmarkEnd w:id="46"/>
      <w:bookmarkEnd w:id="47"/>
      <w:bookmarkEnd w:id="48"/>
      <w:bookmarkEnd w:id="49"/>
      <w:bookmarkEnd w:id="50"/>
    </w:p>
    <w:p>
      <w:pPr>
        <w:pStyle w:val="Heading5"/>
      </w:pPr>
      <w:bookmarkStart w:id="51" w:name="_Toc189143692"/>
      <w:bookmarkStart w:id="52" w:name="_Toc189562094"/>
      <w:r>
        <w:rPr>
          <w:rStyle w:val="CharSectno"/>
        </w:rPr>
        <w:t>9</w:t>
      </w:r>
      <w:r>
        <w:t>.</w:t>
      </w:r>
      <w:r>
        <w:tab/>
        <w:t>Regulation 9 amended</w:t>
      </w:r>
      <w:bookmarkEnd w:id="51"/>
      <w:bookmarkEnd w:id="52"/>
    </w:p>
    <w:p>
      <w:pPr>
        <w:pStyle w:val="Subsection"/>
      </w:pPr>
      <w:r>
        <w:tab/>
      </w:r>
      <w:r>
        <w:tab/>
        <w:t>In regulation 9(4):</w:t>
      </w:r>
    </w:p>
    <w:p>
      <w:pPr>
        <w:pStyle w:val="Indenta"/>
      </w:pPr>
      <w:r>
        <w:tab/>
        <w:t>(a)</w:t>
      </w:r>
      <w:r>
        <w:tab/>
        <w:t>delete “regulation 24(2)” and insert:</w:t>
      </w:r>
    </w:p>
    <w:p>
      <w:pPr>
        <w:pStyle w:val="BlankOpen"/>
      </w:pPr>
    </w:p>
    <w:p>
      <w:pPr>
        <w:pStyle w:val="Indenta"/>
      </w:pPr>
      <w:r>
        <w:tab/>
      </w:r>
      <w:r>
        <w:tab/>
        <w:t>regulation 24</w:t>
      </w:r>
    </w:p>
    <w:p>
      <w:pPr>
        <w:pStyle w:val="BlankClose"/>
      </w:pPr>
    </w:p>
    <w:p>
      <w:pPr>
        <w:pStyle w:val="Indenta"/>
        <w:keepNext/>
      </w:pPr>
      <w:r>
        <w:lastRenderedPageBreak/>
        <w:tab/>
        <w:t>(b)</w:t>
      </w:r>
      <w:r>
        <w:tab/>
        <w:t>before “penalties” insert:</w:t>
      </w:r>
    </w:p>
    <w:p>
      <w:pPr>
        <w:pStyle w:val="BlankOpen"/>
      </w:pPr>
    </w:p>
    <w:p>
      <w:pPr>
        <w:pStyle w:val="Indenta"/>
      </w:pPr>
      <w:r>
        <w:tab/>
      </w:r>
      <w:r>
        <w:tab/>
        <w:t>modified</w:t>
      </w:r>
    </w:p>
    <w:p>
      <w:pPr>
        <w:pStyle w:val="BlankClose"/>
      </w:pPr>
    </w:p>
    <w:p>
      <w:pPr>
        <w:pStyle w:val="Heading5"/>
      </w:pPr>
      <w:bookmarkStart w:id="53" w:name="_Toc189143693"/>
      <w:bookmarkStart w:id="54" w:name="_Toc189562095"/>
      <w:r>
        <w:rPr>
          <w:rStyle w:val="CharSectno"/>
        </w:rPr>
        <w:t>10</w:t>
      </w:r>
      <w:r>
        <w:t>.</w:t>
      </w:r>
      <w:r>
        <w:tab/>
        <w:t>Regulation 231A inserted</w:t>
      </w:r>
      <w:bookmarkEnd w:id="53"/>
      <w:bookmarkEnd w:id="54"/>
    </w:p>
    <w:p>
      <w:pPr>
        <w:pStyle w:val="Subsection"/>
      </w:pPr>
      <w:r>
        <w:tab/>
      </w:r>
      <w:r>
        <w:tab/>
        <w:t>At the end of Part 16 Division 1 insert:</w:t>
      </w:r>
    </w:p>
    <w:p>
      <w:pPr>
        <w:pStyle w:val="BlankOpen"/>
      </w:pPr>
    </w:p>
    <w:p>
      <w:pPr>
        <w:pStyle w:val="zHeading5"/>
      </w:pPr>
      <w:bookmarkStart w:id="55" w:name="_Toc189143694"/>
      <w:bookmarkStart w:id="56" w:name="_Toc189562096"/>
      <w:r>
        <w:t>231A.</w:t>
      </w:r>
      <w:r>
        <w:tab/>
        <w:t>When seatbelt is properly adjusted and securely fastened</w:t>
      </w:r>
      <w:bookmarkEnd w:id="55"/>
      <w:bookmarkEnd w:id="56"/>
    </w:p>
    <w:p>
      <w:pPr>
        <w:pStyle w:val="zSubsection"/>
      </w:pPr>
      <w:r>
        <w:tab/>
        <w:t>(1)</w:t>
      </w:r>
      <w:r>
        <w:tab/>
        <w:t xml:space="preserve">For the purposes of this Part, a lap and sash type seatbelt is properly adjusted and securely fastened in relation to a person if — </w:t>
      </w:r>
    </w:p>
    <w:p>
      <w:pPr>
        <w:pStyle w:val="zIndenta"/>
      </w:pPr>
      <w:r>
        <w:tab/>
        <w:t>(a)</w:t>
      </w:r>
      <w:r>
        <w:tab/>
        <w:t>the seatbelt is secured in the buckle; and</w:t>
      </w:r>
    </w:p>
    <w:p>
      <w:pPr>
        <w:pStyle w:val="zIndenta"/>
      </w:pPr>
      <w:r>
        <w:tab/>
        <w:t>(b)</w:t>
      </w:r>
      <w:r>
        <w:tab/>
        <w:t>the lap portion of the seatbelt is sitting low and firmly over the person’s hips; and</w:t>
      </w:r>
    </w:p>
    <w:p>
      <w:pPr>
        <w:pStyle w:val="zIndenta"/>
      </w:pPr>
      <w:r>
        <w:tab/>
        <w:t>(c)</w:t>
      </w:r>
      <w:r>
        <w:tab/>
        <w:t xml:space="preserve">the sash portion of the seatbelt — </w:t>
      </w:r>
    </w:p>
    <w:p>
      <w:pPr>
        <w:pStyle w:val="zIndenti"/>
      </w:pPr>
      <w:r>
        <w:tab/>
        <w:t>(i)</w:t>
      </w:r>
      <w:r>
        <w:tab/>
        <w:t>is positioned firmly over the person’s shoulder furthest from the secured buckle; and</w:t>
      </w:r>
    </w:p>
    <w:p>
      <w:pPr>
        <w:pStyle w:val="zIndenti"/>
      </w:pPr>
      <w:r>
        <w:tab/>
        <w:t>(ii)</w:t>
      </w:r>
      <w:r>
        <w:tab/>
        <w:t>is not under the person’s arm furthest from the secured buckle or behind the person’s back.</w:t>
      </w:r>
    </w:p>
    <w:p>
      <w:pPr>
        <w:pStyle w:val="zSubsection"/>
      </w:pPr>
      <w:r>
        <w:tab/>
        <w:t>(2)</w:t>
      </w:r>
      <w:r>
        <w:tab/>
        <w:t xml:space="preserve">For the purposes of this Part, a lap only type seatbelt is properly adjusted and securely fastened in relation to a person if — </w:t>
      </w:r>
    </w:p>
    <w:p>
      <w:pPr>
        <w:pStyle w:val="zIndenta"/>
      </w:pPr>
      <w:r>
        <w:tab/>
        <w:t>(a)</w:t>
      </w:r>
      <w:r>
        <w:tab/>
        <w:t>the seatbelt is secured in the buckle; and</w:t>
      </w:r>
    </w:p>
    <w:p>
      <w:pPr>
        <w:pStyle w:val="zIndenta"/>
      </w:pPr>
      <w:r>
        <w:tab/>
        <w:t>(b)</w:t>
      </w:r>
      <w:r>
        <w:tab/>
        <w:t>the seatbelt is sitting low and firmly over the person’s hips.</w:t>
      </w:r>
    </w:p>
    <w:p>
      <w:pPr>
        <w:pStyle w:val="zSubsection"/>
      </w:pPr>
      <w:r>
        <w:tab/>
        <w:t>(3)</w:t>
      </w:r>
      <w:r>
        <w:tab/>
        <w:t xml:space="preserve">Nothing in this regulation affects how a seatbelt that is not a lap and sash type seatbelt or a lap only type </w:t>
      </w:r>
      <w:r>
        <w:lastRenderedPageBreak/>
        <w:t>seatbelt may be properly adjusted and securely fastened in relation to a person.</w:t>
      </w:r>
    </w:p>
    <w:p>
      <w:pPr>
        <w:pStyle w:val="BlankClose"/>
      </w:pPr>
    </w:p>
    <w:p>
      <w:pPr>
        <w:pStyle w:val="Heading5"/>
      </w:pPr>
      <w:bookmarkStart w:id="57" w:name="_Toc189143695"/>
      <w:bookmarkStart w:id="58" w:name="_Toc189562097"/>
      <w:r>
        <w:rPr>
          <w:rStyle w:val="CharSectno"/>
        </w:rPr>
        <w:t>11</w:t>
      </w:r>
      <w:r>
        <w:t>.</w:t>
      </w:r>
      <w:r>
        <w:tab/>
        <w:t>Regulation 232A inserted</w:t>
      </w:r>
      <w:bookmarkEnd w:id="57"/>
      <w:bookmarkEnd w:id="58"/>
    </w:p>
    <w:p>
      <w:pPr>
        <w:pStyle w:val="Subsection"/>
      </w:pPr>
      <w:r>
        <w:tab/>
      </w:r>
      <w:r>
        <w:tab/>
        <w:t>After regulation 232 insert:</w:t>
      </w:r>
    </w:p>
    <w:p>
      <w:pPr>
        <w:pStyle w:val="BlankOpen"/>
      </w:pPr>
    </w:p>
    <w:p>
      <w:pPr>
        <w:pStyle w:val="zHeading5"/>
      </w:pPr>
      <w:bookmarkStart w:id="59" w:name="_Toc189143696"/>
      <w:bookmarkStart w:id="60" w:name="_Toc189562098"/>
      <w:r>
        <w:t>232A.</w:t>
      </w:r>
      <w:r>
        <w:tab/>
        <w:t>Driver responsible for passengers</w:t>
      </w:r>
      <w:bookmarkEnd w:id="59"/>
      <w:bookmarkEnd w:id="60"/>
    </w:p>
    <w:p>
      <w:pPr>
        <w:pStyle w:val="zSubsection"/>
      </w:pPr>
      <w:r>
        <w:tab/>
        <w:t>(1)</w:t>
      </w:r>
      <w:r>
        <w:tab/>
        <w:t>The driver of a motor vehicle (other than a motor cycle) that is moving, or is stationary but not parked, must ensure that each passenger in or on the vehicle complies with the requirements in regulation 233 or 234 that are applicable to the passenger.</w:t>
      </w:r>
    </w:p>
    <w:p>
      <w:pPr>
        <w:pStyle w:val="zPenstart"/>
      </w:pPr>
      <w:r>
        <w:tab/>
        <w:t xml:space="preserve">Points and modified penalty: </w:t>
      </w:r>
      <w:r>
        <w:rPr>
          <w:i/>
          <w:iCs/>
        </w:rPr>
        <w:t>see regulation 235A</w:t>
      </w:r>
      <w:r>
        <w:t>.</w:t>
      </w:r>
    </w:p>
    <w:p>
      <w:pPr>
        <w:pStyle w:val="zSubsection"/>
      </w:pPr>
      <w:r>
        <w:tab/>
        <w:t>(2)</w:t>
      </w:r>
      <w:r>
        <w:tab/>
        <w:t xml:space="preserve">It is a defence to a charge of an offence under subregulation (1) to prove that — </w:t>
      </w:r>
    </w:p>
    <w:p>
      <w:pPr>
        <w:pStyle w:val="zIndenta"/>
      </w:pPr>
      <w:r>
        <w:tab/>
        <w:t>(a)</w:t>
      </w:r>
      <w:r>
        <w:tab/>
        <w:t>the passenger had reached 16 years of age; and</w:t>
      </w:r>
    </w:p>
    <w:p>
      <w:pPr>
        <w:pStyle w:val="zIndenta"/>
      </w:pPr>
      <w:r>
        <w:tab/>
        <w:t>(b)</w:t>
      </w:r>
      <w:r>
        <w:tab/>
        <w:t>the vehicle was a passenger transport vehicle.</w:t>
      </w:r>
    </w:p>
    <w:p>
      <w:pPr>
        <w:pStyle w:val="BlankClose"/>
      </w:pPr>
    </w:p>
    <w:p>
      <w:pPr>
        <w:pStyle w:val="Heading5"/>
      </w:pPr>
      <w:bookmarkStart w:id="61" w:name="_Toc189143697"/>
      <w:bookmarkStart w:id="62" w:name="_Toc189562099"/>
      <w:r>
        <w:rPr>
          <w:rStyle w:val="CharSectno"/>
        </w:rPr>
        <w:t>12</w:t>
      </w:r>
      <w:r>
        <w:t>.</w:t>
      </w:r>
      <w:r>
        <w:tab/>
        <w:t>Regulation 233 amended</w:t>
      </w:r>
      <w:bookmarkEnd w:id="61"/>
      <w:bookmarkEnd w:id="62"/>
    </w:p>
    <w:p>
      <w:pPr>
        <w:pStyle w:val="Subsection"/>
      </w:pPr>
      <w:r>
        <w:tab/>
        <w:t>(1)</w:t>
      </w:r>
      <w:r>
        <w:tab/>
        <w:t>Delete regulation 233(3).</w:t>
      </w:r>
    </w:p>
    <w:p>
      <w:pPr>
        <w:pStyle w:val="Subsection"/>
      </w:pPr>
      <w:r>
        <w:tab/>
        <w:t>(2)</w:t>
      </w:r>
      <w:r>
        <w:tab/>
        <w:t>In regulation 233 delete the note.</w:t>
      </w:r>
    </w:p>
    <w:p>
      <w:pPr>
        <w:pStyle w:val="Heading5"/>
      </w:pPr>
      <w:bookmarkStart w:id="63" w:name="_Toc189143698"/>
      <w:bookmarkStart w:id="64" w:name="_Toc189562100"/>
      <w:r>
        <w:rPr>
          <w:rStyle w:val="CharSectno"/>
        </w:rPr>
        <w:t>13</w:t>
      </w:r>
      <w:r>
        <w:t>.</w:t>
      </w:r>
      <w:r>
        <w:tab/>
        <w:t>Regulation 234 amended</w:t>
      </w:r>
      <w:bookmarkEnd w:id="63"/>
      <w:bookmarkEnd w:id="64"/>
    </w:p>
    <w:p>
      <w:pPr>
        <w:pStyle w:val="Subsection"/>
      </w:pPr>
      <w:r>
        <w:tab/>
        <w:t>(1)</w:t>
      </w:r>
      <w:r>
        <w:tab/>
        <w:t>Delete regulation 234(1) and insert:</w:t>
      </w:r>
    </w:p>
    <w:p>
      <w:pPr>
        <w:pStyle w:val="BlankOpen"/>
      </w:pPr>
    </w:p>
    <w:p>
      <w:pPr>
        <w:pStyle w:val="zSubsection"/>
        <w:keepNext/>
      </w:pPr>
      <w:r>
        <w:tab/>
        <w:t>(1)</w:t>
      </w:r>
      <w:r>
        <w:tab/>
        <w:t xml:space="preserve">This regulation states, for the purposes of regulation 232A(1), the requirements that apply to a </w:t>
      </w:r>
      <w:r>
        <w:lastRenderedPageBreak/>
        <w:t>passenger in or on a motor vehicle who is under 16 years of age.</w:t>
      </w:r>
    </w:p>
    <w:p>
      <w:pPr>
        <w:pStyle w:val="BlankClose"/>
      </w:pPr>
    </w:p>
    <w:p>
      <w:pPr>
        <w:pStyle w:val="Subsection"/>
      </w:pPr>
      <w:r>
        <w:tab/>
        <w:t>(2)</w:t>
      </w:r>
      <w:r>
        <w:tab/>
        <w:t>In regulation 234(8) delete “(5) and (6)” and insert:</w:t>
      </w:r>
    </w:p>
    <w:p>
      <w:pPr>
        <w:pStyle w:val="BlankOpen"/>
      </w:pPr>
    </w:p>
    <w:p>
      <w:pPr>
        <w:pStyle w:val="Subsection"/>
      </w:pPr>
      <w:r>
        <w:tab/>
      </w:r>
      <w:r>
        <w:tab/>
        <w:t>(5), (6) and (7)</w:t>
      </w:r>
    </w:p>
    <w:p>
      <w:pPr>
        <w:pStyle w:val="BlankClose"/>
      </w:pPr>
    </w:p>
    <w:p>
      <w:pPr>
        <w:pStyle w:val="Subsection"/>
      </w:pPr>
      <w:r>
        <w:tab/>
        <w:t>(3)</w:t>
      </w:r>
      <w:r>
        <w:tab/>
        <w:t>In regulation 234 delete the note.</w:t>
      </w:r>
    </w:p>
    <w:p>
      <w:pPr>
        <w:pStyle w:val="Heading5"/>
      </w:pPr>
      <w:bookmarkStart w:id="65" w:name="_Toc189143699"/>
      <w:bookmarkStart w:id="66" w:name="_Toc189562101"/>
      <w:r>
        <w:rPr>
          <w:rStyle w:val="CharSectno"/>
        </w:rPr>
        <w:t>14</w:t>
      </w:r>
      <w:r>
        <w:t>.</w:t>
      </w:r>
      <w:r>
        <w:tab/>
        <w:t>Regulation 235 amended</w:t>
      </w:r>
      <w:bookmarkEnd w:id="65"/>
      <w:bookmarkEnd w:id="66"/>
    </w:p>
    <w:p>
      <w:pPr>
        <w:pStyle w:val="Subsection"/>
      </w:pPr>
      <w:r>
        <w:tab/>
      </w:r>
      <w:r>
        <w:tab/>
        <w:t>In regulation 235(4) and (6A) delete “234(1)” and insert:</w:t>
      </w:r>
    </w:p>
    <w:p>
      <w:pPr>
        <w:pStyle w:val="BlankOpen"/>
      </w:pPr>
    </w:p>
    <w:p>
      <w:pPr>
        <w:pStyle w:val="Subsection"/>
      </w:pPr>
      <w:r>
        <w:tab/>
      </w:r>
      <w:r>
        <w:tab/>
        <w:t>232A(1)</w:t>
      </w:r>
    </w:p>
    <w:p>
      <w:pPr>
        <w:pStyle w:val="BlankClose"/>
      </w:pPr>
    </w:p>
    <w:p>
      <w:pPr>
        <w:pStyle w:val="Heading5"/>
      </w:pPr>
      <w:bookmarkStart w:id="67" w:name="_Toc189143700"/>
      <w:bookmarkStart w:id="68" w:name="_Toc189562102"/>
      <w:r>
        <w:rPr>
          <w:rStyle w:val="CharSectno"/>
        </w:rPr>
        <w:t>15</w:t>
      </w:r>
      <w:r>
        <w:t>.</w:t>
      </w:r>
      <w:r>
        <w:tab/>
        <w:t>Regulation 235A amended</w:t>
      </w:r>
      <w:bookmarkEnd w:id="67"/>
      <w:bookmarkEnd w:id="68"/>
    </w:p>
    <w:p>
      <w:pPr>
        <w:pStyle w:val="Subsection"/>
      </w:pPr>
      <w:r>
        <w:tab/>
      </w:r>
      <w:r>
        <w:tab/>
        <w:t>In regulation 235A(2) in the Table and (3) in the Table delete “</w:t>
      </w:r>
      <w:r>
        <w:rPr>
          <w:b/>
          <w:bCs/>
        </w:rPr>
        <w:t>r. 233(3) or 234(1)</w:t>
      </w:r>
      <w:r>
        <w:t>” (each occurrence) and insert:</w:t>
      </w:r>
    </w:p>
    <w:p>
      <w:pPr>
        <w:pStyle w:val="BlankOpen"/>
      </w:pPr>
    </w:p>
    <w:p>
      <w:pPr>
        <w:pStyle w:val="Subsection"/>
        <w:rPr>
          <w:b/>
          <w:bCs/>
        </w:rPr>
      </w:pPr>
      <w:r>
        <w:tab/>
      </w:r>
      <w:r>
        <w:tab/>
      </w:r>
      <w:r>
        <w:rPr>
          <w:b/>
          <w:bCs/>
        </w:rPr>
        <w:t>r. 232A(1)</w:t>
      </w:r>
    </w:p>
    <w:p>
      <w:pPr>
        <w:pStyle w:val="BlankClose"/>
      </w:pPr>
    </w:p>
    <w:p>
      <w:pPr>
        <w:pStyle w:val="Heading5"/>
      </w:pPr>
      <w:bookmarkStart w:id="69" w:name="_Toc189143701"/>
      <w:bookmarkStart w:id="70" w:name="_Toc189562103"/>
      <w:r>
        <w:rPr>
          <w:rStyle w:val="CharSectno"/>
        </w:rPr>
        <w:t>16</w:t>
      </w:r>
      <w:r>
        <w:t>.</w:t>
      </w:r>
      <w:r>
        <w:tab/>
        <w:t>Regulation 241 amended</w:t>
      </w:r>
      <w:bookmarkEnd w:id="69"/>
      <w:bookmarkEnd w:id="70"/>
    </w:p>
    <w:p>
      <w:pPr>
        <w:pStyle w:val="Subsection"/>
      </w:pPr>
      <w:r>
        <w:tab/>
      </w:r>
      <w:r>
        <w:tab/>
        <w:t>In regulation 241(1) and (3) delete “234(1)” and insert:</w:t>
      </w:r>
    </w:p>
    <w:p>
      <w:pPr>
        <w:pStyle w:val="BlankOpen"/>
      </w:pPr>
    </w:p>
    <w:p>
      <w:pPr>
        <w:pStyle w:val="Subsection"/>
      </w:pPr>
      <w:r>
        <w:tab/>
      </w:r>
      <w:r>
        <w:tab/>
        <w:t>232(2), 232A(1) or 233(2)</w:t>
      </w:r>
    </w:p>
    <w:p>
      <w:pPr>
        <w:pStyle w:val="BlankClose"/>
      </w:pPr>
    </w:p>
    <w:p>
      <w:pPr>
        <w:pStyle w:val="Heading5"/>
      </w:pPr>
      <w:bookmarkStart w:id="71" w:name="_Toc189143702"/>
      <w:bookmarkStart w:id="72" w:name="_Toc189562104"/>
      <w:r>
        <w:rPr>
          <w:rStyle w:val="CharSectno"/>
        </w:rPr>
        <w:lastRenderedPageBreak/>
        <w:t>17</w:t>
      </w:r>
      <w:r>
        <w:t>.</w:t>
      </w:r>
      <w:r>
        <w:tab/>
        <w:t>Regulation 284 amended</w:t>
      </w:r>
      <w:bookmarkEnd w:id="71"/>
      <w:bookmarkEnd w:id="72"/>
    </w:p>
    <w:p>
      <w:pPr>
        <w:pStyle w:val="Subsection"/>
        <w:keepNext/>
      </w:pPr>
      <w:r>
        <w:tab/>
        <w:t>(1)</w:t>
      </w:r>
      <w:r>
        <w:tab/>
        <w:t>In regulation 284(3) delete “Regulations 233 and 234 do” and insert:</w:t>
      </w:r>
    </w:p>
    <w:p>
      <w:pPr>
        <w:pStyle w:val="BlankOpen"/>
      </w:pPr>
    </w:p>
    <w:p>
      <w:pPr>
        <w:pStyle w:val="Subsection"/>
      </w:pPr>
      <w:r>
        <w:tab/>
      </w:r>
      <w:r>
        <w:tab/>
        <w:t>Regulation 232A(1) does</w:t>
      </w:r>
    </w:p>
    <w:p>
      <w:pPr>
        <w:pStyle w:val="BlankClose"/>
      </w:pPr>
    </w:p>
    <w:p>
      <w:pPr>
        <w:pStyle w:val="Subsection"/>
      </w:pPr>
      <w:r>
        <w:tab/>
        <w:t>(2)</w:t>
      </w:r>
      <w:r>
        <w:tab/>
        <w:t>In regulation 284(4)(a) and (b) delete “the driver of, or passengers on or in,” and insert:</w:t>
      </w:r>
    </w:p>
    <w:p>
      <w:pPr>
        <w:pStyle w:val="BlankOpen"/>
      </w:pPr>
    </w:p>
    <w:p>
      <w:pPr>
        <w:pStyle w:val="Subsection"/>
      </w:pPr>
      <w:r>
        <w:tab/>
      </w:r>
      <w:r>
        <w:tab/>
        <w:t>passengers on or in</w:t>
      </w:r>
    </w:p>
    <w:p>
      <w:pPr>
        <w:pStyle w:val="BlankClose"/>
      </w:pPr>
    </w:p>
    <w:p>
      <w:pPr>
        <w:pStyle w:val="Heading5"/>
      </w:pPr>
      <w:bookmarkStart w:id="73" w:name="_Toc189143703"/>
      <w:bookmarkStart w:id="74" w:name="_Toc189562105"/>
      <w:r>
        <w:rPr>
          <w:rStyle w:val="CharSectno"/>
        </w:rPr>
        <w:t>18</w:t>
      </w:r>
      <w:r>
        <w:t>.</w:t>
      </w:r>
      <w:r>
        <w:tab/>
        <w:t>Regulation 285 amended</w:t>
      </w:r>
      <w:bookmarkEnd w:id="73"/>
      <w:bookmarkEnd w:id="74"/>
    </w:p>
    <w:p>
      <w:pPr>
        <w:pStyle w:val="Subsection"/>
      </w:pPr>
      <w:r>
        <w:tab/>
      </w:r>
      <w:r>
        <w:tab/>
        <w:t>In regulation 285(2) in the Table:</w:t>
      </w:r>
    </w:p>
    <w:p>
      <w:pPr>
        <w:pStyle w:val="Indenta"/>
      </w:pPr>
      <w:r>
        <w:tab/>
        <w:t>(a)</w:t>
      </w:r>
      <w:r>
        <w:tab/>
        <w:t>after the row relating to regulation 232(2) insert:</w:t>
      </w:r>
    </w:p>
    <w:p>
      <w:pPr>
        <w:pStyle w:val="BlankOpen"/>
      </w:pPr>
    </w:p>
    <w:tbl>
      <w:tblPr>
        <w:tblW w:w="0" w:type="auto"/>
        <w:tblInd w:w="990" w:type="dxa"/>
        <w:tblLayout w:type="fixed"/>
        <w:tblLook w:val="0000" w:firstRow="0" w:lastRow="0" w:firstColumn="0" w:lastColumn="0" w:noHBand="0" w:noVBand="0"/>
      </w:tblPr>
      <w:tblGrid>
        <w:gridCol w:w="6198"/>
      </w:tblGrid>
      <w:tr>
        <w:tc>
          <w:tcPr>
            <w:tcW w:w="6198" w:type="dxa"/>
            <w:tcBorders>
              <w:top w:val="single" w:sz="4" w:space="0" w:color="auto"/>
              <w:bottom w:val="single" w:sz="4" w:space="0" w:color="auto"/>
            </w:tcBorders>
          </w:tcPr>
          <w:p>
            <w:pPr>
              <w:pStyle w:val="zTableNAm"/>
              <w:spacing w:before="0"/>
            </w:pPr>
            <w:r>
              <w:t>Regulation 232A(1) (Driver responsible for passengers)</w:t>
            </w:r>
          </w:p>
        </w:tc>
      </w:tr>
    </w:tbl>
    <w:p>
      <w:pPr>
        <w:pStyle w:val="BlankClose"/>
      </w:pPr>
    </w:p>
    <w:p>
      <w:pPr>
        <w:pStyle w:val="Indenta"/>
      </w:pPr>
      <w:r>
        <w:tab/>
        <w:t>(b)</w:t>
      </w:r>
      <w:r>
        <w:tab/>
        <w:t>delete the rows relating to regulations 233(3) and 234(3).</w:t>
      </w:r>
    </w:p>
    <w:p>
      <w:pPr>
        <w:pStyle w:val="ByCommand"/>
        <w:sectPr>
          <w:headerReference w:type="even" r:id="rId21"/>
          <w:headerReference w:type="default" r:id="rId22"/>
          <w:headerReference w:type="first" r:id="rId23"/>
          <w:endnotePr>
            <w:numFmt w:val="decimal"/>
          </w:endnotePr>
          <w:pgSz w:w="11907" w:h="16840" w:code="9"/>
          <w:pgMar w:top="2381" w:right="2410" w:bottom="3544" w:left="2410" w:header="720" w:footer="3544" w:gutter="0"/>
          <w:pgNumType w:start="1"/>
          <w:cols w:space="720"/>
          <w:noEndnote/>
          <w:titlePg/>
        </w:sectPr>
      </w:pPr>
      <w:r>
        <w:t>K. COLLERAN, Clerk of the Executive Council</w:t>
      </w:r>
    </w:p>
    <w:p>
      <w:r>
        <w:rPr>
          <w:noProof/>
        </w:rPr>
        <mc:AlternateContent>
          <mc:Choice Requires="wps">
            <w:drawing>
              <wp:anchor distT="0" distB="0" distL="114300" distR="114300" simplePos="0" relativeHeight="251660288" behindDoc="0" locked="0" layoutInCell="1" allowOverlap="1">
                <wp:simplePos x="0" y="0"/>
                <wp:positionH relativeFrom="page">
                  <wp:align>center</wp:align>
                </wp:positionH>
                <wp:positionV relativeFrom="page">
                  <wp:posOffset>7505700</wp:posOffset>
                </wp:positionV>
                <wp:extent cx="127000" cy="647700"/>
                <wp:effectExtent l="0" t="0" r="1905" b="0"/>
                <wp:wrapNone/>
                <wp:docPr id="1"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2025</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2025</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w14:anchorId="7768ECA5" id="_x0000_t202" coordsize="21600,21600" o:spt="202" path="m,l,21600r21600,l21600,xe">
                <v:stroke joinstyle="miter"/>
                <v:path gradientshapeok="t" o:connecttype="rect"/>
              </v:shapetype>
              <v:shape id="Authority" o:spid="_x0000_s1026" type="#_x0000_t202" style="position:absolute;margin-left:0;margin-top:591pt;width:10pt;height:51pt;z-index:251660288;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" stroked="f" strokeweight=".5pt">
                <v:textbox>
                  <w:txbxContent>
                    <w:p w14:paraId="4543E9A7" w14:textId="13EF65EF" w:rsidR="00263CC4" w:rsidRDefault="00263CC4">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sidR="00C56006">
                        <w:rPr>
                          <w:sz w:val="16"/>
                        </w:rPr>
                        <w:t>2025</w:t>
                      </w:r>
                      <w:r>
                        <w:rPr>
                          <w:sz w:val="16"/>
                        </w:rPr>
                        <w:fldChar w:fldCharType="end"/>
                      </w:r>
                      <w:r>
                        <w:rPr>
                          <w:sz w:val="16"/>
                        </w:rPr>
                        <w:t>.</w:t>
                      </w:r>
                    </w:p>
                    <w:p w14:paraId="59679803" w14:textId="77777777" w:rsidR="00263CC4" w:rsidRDefault="00263CC4">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14:paraId="763F9DF4" w14:textId="5FD2D711" w:rsidR="00263CC4" w:rsidRDefault="00263CC4">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sidR="00C56006">
                        <w:rPr>
                          <w:sz w:val="16"/>
                        </w:rPr>
                        <w:t>2025</w:t>
                      </w:r>
                      <w:r>
                        <w:rPr>
                          <w:sz w:val="16"/>
                        </w:rPr>
                        <w:fldChar w:fldCharType="end"/>
                      </w:r>
                      <w:r>
                        <w:rPr>
                          <w:sz w:val="16"/>
                        </w:rPr>
                        <w:t>.</w:t>
                      </w:r>
                    </w:p>
                    <w:p w14:paraId="019B84F1" w14:textId="77777777" w:rsidR="00263CC4" w:rsidRDefault="00263CC4">
                      <w:pPr>
                        <w:ind w:left="2438" w:right="2098"/>
                        <w:jc w:val="center"/>
                        <w:rPr>
                          <w:rFonts w:ascii="Arial" w:hAnsi="Arial" w:cs="Arial"/>
                          <w:sz w:val="12"/>
                        </w:rPr>
                      </w:pPr>
                      <w:r>
                        <w:rPr>
                          <w:rFonts w:ascii="Arial" w:hAnsi="Arial" w:cs="Arial"/>
                          <w:sz w:val="12"/>
                        </w:rPr>
                        <w:t>By Authority: GEOFF O. LAWN, Government Printer</w:t>
                      </w:r>
                    </w:p>
                  </w:txbxContent>
                </v:textbox>
                <w10:wrap anchorx="page" anchory="page"/>
              </v:shape>
            </w:pict>
          </mc:Fallback>
        </mc:AlternateContent>
      </w:r>
    </w:p>
    <w:sectPr>
      <w:headerReference w:type="even" r:id="rId24"/>
      <w:headerReference w:type="default" r:id="rId25"/>
      <w:footerReference w:type="even" r:id="rId26"/>
      <w:footerReference w:type="default" r:id="rId27"/>
      <w:headerReference w:type="first" r:id="rId28"/>
      <w:footerReference w:type="first" r:id="rId29"/>
      <w:endnotePr>
        <w:numFmt w:val="decimal"/>
      </w:endnotePr>
      <w:type w:val="continuous"/>
      <w:pgSz w:w="11907" w:h="16840" w:code="9"/>
      <w:pgMar w:top="567" w:right="1701" w:bottom="567" w:left="1701" w:header="720" w:footer="72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ab/>
    </w:r>
    <w:r>
      <w:rPr>
        <w:sz w:val="20"/>
      </w:rPr>
      <w:fldChar w:fldCharType="begin"/>
    </w:r>
    <w:r>
      <w:rPr>
        <w:sz w:val="20"/>
      </w:rPr>
      <w:instrText xml:space="preserve"> DOCPROPERTY "Official" </w:instrText>
    </w:r>
    <w:r>
      <w:rPr>
        <w:sz w:val="20"/>
      </w:rPr>
      <w:fldChar w:fldCharType="end"/>
    </w:r>
    <w:r>
      <w:rPr>
        <w:sz w:val="20"/>
      </w:rPr>
      <w:tab/>
      <w:t xml:space="preserve">SL </w:t>
    </w:r>
    <w:r>
      <w:rPr>
        <w:sz w:val="20"/>
      </w:rPr>
      <w:fldChar w:fldCharType="begin"/>
    </w:r>
    <w:r>
      <w:rPr>
        <w:sz w:val="20"/>
      </w:rPr>
      <w:instrText xml:space="preserve"> DOCPROPERTY "SLAPId" </w:instrText>
    </w:r>
    <w:r>
      <w:rPr>
        <w:sz w:val="20"/>
      </w:rPr>
      <w:fldChar w:fldCharType="separate"/>
    </w:r>
    <w:r>
      <w:rPr>
        <w:sz w:val="20"/>
      </w:rPr>
      <w:t>2025/36</w:t>
    </w:r>
    <w:r>
      <w:rPr>
        <w:sz w:val="20"/>
      </w:rPr>
      <w:fldChar w:fldCharType="end"/>
    </w:r>
  </w:p>
  <w:p>
    <w:pPr>
      <w:pStyle w:val="Footer"/>
      <w:tabs>
        <w:tab w:val="center" w:pos="3600"/>
        <w:tab w:val="right" w:pos="7080"/>
      </w:tabs>
      <w:rPr>
        <w:sz w:val="16"/>
      </w:rPr>
    </w:pPr>
    <w:r>
      <w:rPr>
        <w:sz w:val="16"/>
      </w:rPr>
      <w:tab/>
      <w:t xml:space="preserve">Published </w:t>
    </w:r>
    <w:r>
      <w:rPr>
        <w:sz w:val="16"/>
      </w:rPr>
      <w:fldChar w:fldCharType="begin"/>
    </w:r>
    <w:r>
      <w:rPr>
        <w:sz w:val="16"/>
      </w:rPr>
      <w:instrText xml:space="preserve"> DOCPROPERTY "AsAtDate" </w:instrText>
    </w:r>
    <w:r>
      <w:rPr>
        <w:sz w:val="16"/>
      </w:rPr>
      <w:fldChar w:fldCharType="separate"/>
    </w:r>
    <w:r>
      <w:rPr>
        <w:sz w:val="16"/>
      </w:rPr>
      <w:t>05 Feb 2025</w:t>
    </w:r>
    <w:r>
      <w:rPr>
        <w:sz w:val="16"/>
      </w:rPr>
      <w:fldChar w:fldCharType="end"/>
    </w:r>
    <w:r>
      <w:rPr>
        <w:sz w:val="16"/>
      </w:rPr>
      <w:t xml:space="preserve"> on www.legislation.wa.gov.au</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SL </w:t>
    </w:r>
    <w:r>
      <w:rPr>
        <w:sz w:val="20"/>
      </w:rPr>
      <w:fldChar w:fldCharType="begin"/>
    </w:r>
    <w:r>
      <w:rPr>
        <w:sz w:val="20"/>
      </w:rPr>
      <w:instrText xml:space="preserve"> DOCPROPERTY "SLAPId" </w:instrText>
    </w:r>
    <w:r>
      <w:rPr>
        <w:sz w:val="20"/>
      </w:rPr>
      <w:fldChar w:fldCharType="separate"/>
    </w:r>
    <w:r>
      <w:rPr>
        <w:sz w:val="20"/>
      </w:rPr>
      <w:t>2025/36</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ab/>
      <w:t xml:space="preserve">Published </w:t>
    </w:r>
    <w:r>
      <w:rPr>
        <w:sz w:val="16"/>
      </w:rPr>
      <w:fldChar w:fldCharType="begin"/>
    </w:r>
    <w:r>
      <w:rPr>
        <w:sz w:val="16"/>
      </w:rPr>
      <w:instrText xml:space="preserve"> DOCPROPERTY "AsAtDate" </w:instrText>
    </w:r>
    <w:r>
      <w:rPr>
        <w:sz w:val="16"/>
      </w:rPr>
      <w:fldChar w:fldCharType="separate"/>
    </w:r>
    <w:r>
      <w:rPr>
        <w:sz w:val="16"/>
      </w:rPr>
      <w:t>05 Feb 2025</w:t>
    </w:r>
    <w:r>
      <w:rPr>
        <w:sz w:val="16"/>
      </w:rPr>
      <w:fldChar w:fldCharType="end"/>
    </w:r>
    <w:r>
      <w:rPr>
        <w:sz w:val="16"/>
      </w:rPr>
      <w:t xml:space="preserve">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SL </w:t>
    </w:r>
    <w:r>
      <w:rPr>
        <w:sz w:val="20"/>
      </w:rPr>
      <w:fldChar w:fldCharType="begin"/>
    </w:r>
    <w:r>
      <w:rPr>
        <w:sz w:val="20"/>
      </w:rPr>
      <w:instrText xml:space="preserve"> DOCPROPERTY "SLAPId" </w:instrText>
    </w:r>
    <w:r>
      <w:rPr>
        <w:sz w:val="20"/>
      </w:rPr>
      <w:fldChar w:fldCharType="separate"/>
    </w:r>
    <w:r>
      <w:rPr>
        <w:sz w:val="20"/>
      </w:rPr>
      <w:t>2025/36</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ab/>
      <w:t xml:space="preserve">Published </w:t>
    </w:r>
    <w:r>
      <w:rPr>
        <w:sz w:val="16"/>
      </w:rPr>
      <w:fldChar w:fldCharType="begin"/>
    </w:r>
    <w:r>
      <w:rPr>
        <w:sz w:val="16"/>
      </w:rPr>
      <w:instrText xml:space="preserve"> DOCPROPERTY "AsAtDate" </w:instrText>
    </w:r>
    <w:r>
      <w:rPr>
        <w:sz w:val="16"/>
      </w:rPr>
      <w:fldChar w:fldCharType="separate"/>
    </w:r>
    <w:r>
      <w:rPr>
        <w:sz w:val="16"/>
      </w:rPr>
      <w:t>05 Feb 2025</w:t>
    </w:r>
    <w:r>
      <w:rPr>
        <w:sz w:val="16"/>
      </w:rPr>
      <w:fldChar w:fldCharType="end"/>
    </w:r>
    <w:r>
      <w:rPr>
        <w:sz w:val="16"/>
      </w:rPr>
      <w:t xml:space="preserve">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ii</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SL </w:t>
    </w:r>
    <w:r>
      <w:rPr>
        <w:sz w:val="20"/>
      </w:rPr>
      <w:fldChar w:fldCharType="begin"/>
    </w:r>
    <w:r>
      <w:rPr>
        <w:sz w:val="20"/>
      </w:rPr>
      <w:instrText xml:space="preserve"> DOCPROPERTY "SLAPId" </w:instrText>
    </w:r>
    <w:r>
      <w:rPr>
        <w:sz w:val="20"/>
      </w:rPr>
      <w:fldChar w:fldCharType="separate"/>
    </w:r>
    <w:r>
      <w:rPr>
        <w:sz w:val="20"/>
      </w:rPr>
      <w:t>2025/36</w:t>
    </w:r>
    <w:r>
      <w:rPr>
        <w:sz w:val="20"/>
      </w:rPr>
      <w:fldChar w:fldCharType="end"/>
    </w:r>
  </w:p>
  <w:p>
    <w:pPr>
      <w:pStyle w:val="Footer"/>
      <w:tabs>
        <w:tab w:val="center" w:pos="3600"/>
        <w:tab w:val="right" w:pos="7080"/>
      </w:tabs>
      <w:rPr>
        <w:sz w:val="16"/>
      </w:rPr>
    </w:pPr>
    <w:r>
      <w:rPr>
        <w:sz w:val="16"/>
      </w:rPr>
      <w:tab/>
      <w:t xml:space="preserve">Published </w:t>
    </w:r>
    <w:r>
      <w:rPr>
        <w:sz w:val="16"/>
      </w:rPr>
      <w:fldChar w:fldCharType="begin"/>
    </w:r>
    <w:r>
      <w:rPr>
        <w:sz w:val="16"/>
      </w:rPr>
      <w:instrText xml:space="preserve"> DOCPROPERTY "AsAtDate" </w:instrText>
    </w:r>
    <w:r>
      <w:rPr>
        <w:sz w:val="16"/>
      </w:rPr>
      <w:fldChar w:fldCharType="separate"/>
    </w:r>
    <w:r>
      <w:rPr>
        <w:sz w:val="16"/>
      </w:rPr>
      <w:t>05 Feb 2025</w:t>
    </w:r>
    <w:r>
      <w:rPr>
        <w:sz w:val="16"/>
      </w:rPr>
      <w:fldChar w:fldCharType="end"/>
    </w:r>
    <w:r>
      <w:rPr>
        <w:sz w:val="16"/>
      </w:rPr>
      <w:t xml:space="preserve">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SL </w:t>
    </w:r>
    <w:r>
      <w:rPr>
        <w:sz w:val="20"/>
      </w:rPr>
      <w:fldChar w:fldCharType="begin"/>
    </w:r>
    <w:r>
      <w:rPr>
        <w:sz w:val="20"/>
      </w:rPr>
      <w:instrText xml:space="preserve"> DOCPROPERTY "SLAPId" </w:instrText>
    </w:r>
    <w:r>
      <w:rPr>
        <w:sz w:val="20"/>
      </w:rPr>
      <w:fldChar w:fldCharType="separate"/>
    </w:r>
    <w:r>
      <w:rPr>
        <w:sz w:val="20"/>
      </w:rPr>
      <w:t>2025/36</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 w:val="right" w:pos="7080"/>
      </w:tabs>
      <w:rPr>
        <w:sz w:val="16"/>
      </w:rPr>
    </w:pPr>
    <w:r>
      <w:rPr>
        <w:sz w:val="16"/>
      </w:rPr>
      <w:tab/>
      <w:t xml:space="preserve">Published </w:t>
    </w:r>
    <w:r>
      <w:rPr>
        <w:sz w:val="16"/>
      </w:rPr>
      <w:fldChar w:fldCharType="begin"/>
    </w:r>
    <w:r>
      <w:rPr>
        <w:sz w:val="16"/>
      </w:rPr>
      <w:instrText xml:space="preserve"> DOCPROPERTY "AsAtDate" </w:instrText>
    </w:r>
    <w:r>
      <w:rPr>
        <w:sz w:val="16"/>
      </w:rPr>
      <w:fldChar w:fldCharType="separate"/>
    </w:r>
    <w:r>
      <w:rPr>
        <w:sz w:val="16"/>
      </w:rPr>
      <w:t>05 Feb 2025</w:t>
    </w:r>
    <w:r>
      <w:rPr>
        <w:sz w:val="16"/>
      </w:rPr>
      <w:fldChar w:fldCharType="end"/>
    </w:r>
    <w:r>
      <w:rPr>
        <w:sz w:val="16"/>
      </w:rPr>
      <w:t xml:space="preserve">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SL </w:t>
    </w:r>
    <w:r>
      <w:rPr>
        <w:sz w:val="20"/>
      </w:rPr>
      <w:fldChar w:fldCharType="begin"/>
    </w:r>
    <w:r>
      <w:rPr>
        <w:sz w:val="20"/>
      </w:rPr>
      <w:instrText xml:space="preserve"> DOCPROPERTY "SLAPId" </w:instrText>
    </w:r>
    <w:r>
      <w:rPr>
        <w:sz w:val="20"/>
      </w:rPr>
      <w:fldChar w:fldCharType="separate"/>
    </w:r>
    <w:r>
      <w:rPr>
        <w:sz w:val="20"/>
      </w:rPr>
      <w:t>2025/36</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 w:val="right" w:pos="7080"/>
      </w:tabs>
      <w:rPr>
        <w:sz w:val="16"/>
      </w:rPr>
    </w:pPr>
    <w:r>
      <w:rPr>
        <w:sz w:val="16"/>
      </w:rPr>
      <w:tab/>
      <w:t xml:space="preserve">Published </w:t>
    </w:r>
    <w:r>
      <w:rPr>
        <w:sz w:val="16"/>
      </w:rPr>
      <w:fldChar w:fldCharType="begin"/>
    </w:r>
    <w:r>
      <w:rPr>
        <w:sz w:val="16"/>
      </w:rPr>
      <w:instrText xml:space="preserve"> DOCPROPERTY "AsAtDate" </w:instrText>
    </w:r>
    <w:r>
      <w:rPr>
        <w:sz w:val="16"/>
      </w:rPr>
      <w:fldChar w:fldCharType="separate"/>
    </w:r>
    <w:r>
      <w:rPr>
        <w:sz w:val="16"/>
      </w:rPr>
      <w:t>05 Feb 2025</w:t>
    </w:r>
    <w:r>
      <w:rPr>
        <w:sz w:val="16"/>
      </w:rPr>
      <w:fldChar w:fldCharType="end"/>
    </w:r>
    <w:r>
      <w:rPr>
        <w:sz w:val="16"/>
      </w:rPr>
      <w:t xml:space="preserve">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Road Safety Regulations Amendment Regulations 2025</w:t>
          </w:r>
          <w:r>
            <w:rPr>
              <w:b/>
              <w:i/>
            </w:rP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Road Safety Regulations Amendment Regulations 2025</w:t>
          </w:r>
          <w:r>
            <w:rPr>
              <w:b/>
              <w:i/>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r>
            <w:t>Contents</w:t>
          </w:r>
        </w:p>
      </w:tc>
    </w:tr>
  </w:tbl>
  <w:p>
    <w:pPr>
      <w:pStyle w:val="Header"/>
      <w:pBdr>
        <w:top w:val="single" w:sz="4" w:space="1" w:color="auto"/>
      </w:pBdr>
    </w:pPr>
    <w:bookmarkStart w:id="1" w:name="TOC"/>
    <w:bookmarkEnd w:id="1"/>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Road Safety Regulations Amendment Regulations 2025</w:t>
          </w:r>
          <w:r>
            <w:rPr>
              <w:b/>
              <w:i/>
            </w:rP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rPr>
        <w:jc w:val="center"/>
      </w:trPr>
      <w:tc>
        <w:tcPr>
          <w:tcW w:w="1548" w:type="dxa"/>
        </w:tcPr>
        <w:p>
          <w:pPr>
            <w:pStyle w:val="Header"/>
            <w:spacing w:before="40"/>
          </w:pPr>
          <w:r>
            <w:rPr>
              <w:b/>
            </w:rPr>
            <w:fldChar w:fldCharType="begin"/>
          </w:r>
          <w:r>
            <w:rPr>
              <w:b/>
            </w:rPr>
            <w:instrText>STYLEREF CharDivNo</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jc w:val="center"/>
      </w:trPr>
      <w:tc>
        <w:tcPr>
          <w:tcW w:w="7263"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spacing w:before="40"/>
            <w:jc w:val="right"/>
          </w:pPr>
          <w:r>
            <w:rPr>
              <w:b/>
              <w:i/>
            </w:rPr>
            <w:fldChar w:fldCharType="begin"/>
          </w:r>
          <w:r>
            <w:rPr>
              <w:b/>
              <w:i/>
            </w:rPr>
            <w:instrText xml:space="preserve"> STYLEREF "Name of Act/Reg" </w:instrText>
          </w:r>
          <w:r>
            <w:rPr>
              <w:b/>
              <w:i/>
            </w:rPr>
            <w:fldChar w:fldCharType="separate"/>
          </w:r>
          <w:r>
            <w:rPr>
              <w:b/>
              <w:i/>
            </w:rPr>
            <w:t>Road Safety Regulations Amendment Regulations 2025</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jc w:val="right"/>
          </w:pPr>
          <w:r>
            <w:rPr>
              <w:b/>
            </w:rPr>
            <w:fldChar w:fldCharType="begin"/>
          </w:r>
          <w:r>
            <w:rPr>
              <w:b/>
            </w:rPr>
            <w:instrText>STYLEREF CharPartNo</w:instrText>
          </w:r>
          <w:r>
            <w:rPr>
              <w:b/>
            </w:rPr>
            <w:fldChar w:fldCharType="end"/>
          </w:r>
        </w:p>
      </w:tc>
    </w:tr>
    <w:tr>
      <w:trPr>
        <w:jc w:val="center"/>
      </w:trPr>
      <w:tc>
        <w:tcPr>
          <w:tcW w:w="5715" w:type="dxa"/>
          <w:vAlign w:val="bottom"/>
        </w:tcPr>
        <w:p>
          <w:pPr>
            <w:pStyle w:val="Header"/>
            <w:jc w:val="right"/>
          </w:pPr>
          <w:r>
            <w:fldChar w:fldCharType="begin"/>
          </w:r>
          <w:r>
            <w:instrText xml:space="preserve"> styleref CharDivText </w:instrText>
          </w:r>
          <w:r>
            <w:fldChar w:fldCharType="end"/>
          </w:r>
        </w:p>
      </w:tc>
      <w:tc>
        <w:tcPr>
          <w:tcW w:w="1548" w:type="dxa"/>
        </w:tcPr>
        <w:p>
          <w:pPr>
            <w:pStyle w:val="Header"/>
            <w:spacing w:before="40"/>
            <w:jc w:val="right"/>
          </w:pPr>
          <w:r>
            <w:rPr>
              <w:b/>
            </w:rPr>
            <w:fldChar w:fldCharType="begin"/>
          </w:r>
          <w:r>
            <w:rPr>
              <w:b/>
            </w:rPr>
            <w:instrText>STYLEREF CharDivNo</w:instrText>
          </w:r>
          <w:r>
            <w:rPr>
              <w:b/>
            </w:rPr>
            <w:fldChar w:fldCharType="end"/>
          </w:r>
        </w:p>
      </w:tc>
    </w:tr>
    <w:tr>
      <w:trPr>
        <w:cantSplit/>
        <w:jc w:val="center"/>
      </w:trPr>
      <w:tc>
        <w:tcPr>
          <w:tcW w:w="7263" w:type="dxa"/>
          <w:gridSpan w:val="2"/>
        </w:tcPr>
        <w:p>
          <w:pPr>
            <w:pStyle w:val="Header"/>
            <w:spacing w:before="40"/>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75" w:name="Coversheet"/>
    <w:bookmarkEnd w:id="75"/>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1F066C2C"/>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EF88F740"/>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4E44E0D6"/>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615A2A1E"/>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F54AD31C"/>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5784C556"/>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56E6702"/>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7006F51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83E2D3D6"/>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3A149938"/>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BBA1437"/>
    <w:multiLevelType w:val="singleLevel"/>
    <w:tmpl w:val="0C09000F"/>
    <w:lvl w:ilvl="0">
      <w:start w:val="1"/>
      <w:numFmt w:val="decimal"/>
      <w:lvlText w:val="%1."/>
      <w:lvlJc w:val="left"/>
      <w:pPr>
        <w:ind w:left="720" w:hanging="360"/>
      </w:pPr>
    </w:lvl>
  </w:abstractNum>
  <w:abstractNum w:abstractNumId="17" w15:restartNumberingAfterBreak="0">
    <w:nsid w:val="3C2808C0"/>
    <w:multiLevelType w:val="singleLevel"/>
    <w:tmpl w:val="58E827E4"/>
    <w:lvl w:ilvl="0">
      <w:start w:val="1"/>
      <w:numFmt w:val="bullet"/>
      <w:lvlText w:val=""/>
      <w:lvlJc w:val="left"/>
      <w:pPr>
        <w:tabs>
          <w:tab w:val="num" w:pos="1446"/>
        </w:tabs>
        <w:ind w:left="1446" w:hanging="567"/>
      </w:pPr>
      <w:rPr>
        <w:rFonts w:ascii="Symbol" w:hAnsi="Symbol" w:hint="default"/>
      </w:rPr>
    </w:lvl>
  </w:abstractNum>
  <w:abstractNum w:abstractNumId="18" w15:restartNumberingAfterBreak="0">
    <w:nsid w:val="41B90854"/>
    <w:multiLevelType w:val="singleLevel"/>
    <w:tmpl w:val="0C090001"/>
    <w:lvl w:ilvl="0">
      <w:start w:val="1"/>
      <w:numFmt w:val="bullet"/>
      <w:lvlText w:val=""/>
      <w:lvlJc w:val="left"/>
      <w:rPr>
        <w:rFonts w:ascii="Symbol" w:hAnsi="Symbol" w:hint="default"/>
      </w:rPr>
    </w:lvl>
  </w:abstractNum>
  <w:abstractNum w:abstractNumId="19"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4CC03303"/>
    <w:multiLevelType w:val="singleLevel"/>
    <w:tmpl w:val="0809000F"/>
    <w:lvl w:ilvl="0">
      <w:start w:val="1"/>
      <w:numFmt w:val="decimal"/>
      <w:lvlText w:val="%1."/>
      <w:lvlJc w:val="left"/>
      <w:pPr>
        <w:tabs>
          <w:tab w:val="num" w:pos="360"/>
        </w:tabs>
        <w:ind w:left="360" w:hanging="360"/>
      </w:pPr>
    </w:lvl>
  </w:abstractNum>
  <w:abstractNum w:abstractNumId="21"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4"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1"/>
  </w:num>
  <w:num w:numId="2">
    <w:abstractNumId w:val="12"/>
  </w:num>
  <w:num w:numId="3">
    <w:abstractNumId w:val="18"/>
  </w:num>
  <w:num w:numId="4">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isplayHorizontalDrawingGridEvery w:val="0"/>
  <w:displayVerticalDrawingGridEvery w:val="0"/>
  <w:doNotUseMarginsForDrawingGridOrigin/>
  <w:noPunctuationKerning/>
  <w:characterSpacingControl w:val="doNotCompress"/>
  <w:hdrShapeDefaults>
    <o:shapedefaults v:ext="edit" spidmax="32769"/>
  </w:hdrShapeDefaults>
  <w:footnotePr>
    <w:footnote w:id="-1"/>
    <w:footnote w:id="0"/>
  </w:footnotePr>
  <w:endnotePr>
    <w:pos w:val="sectEnd"/>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RuleResults" w:val="&lt;AllLaws&gt;&lt;/AllLaws&gt;"/>
    <w:docVar w:name="WAFER" w:val="20250130153339"/>
    <w:docVar w:name="WAFER_20150206084300" w:val="b265764f-9cc9-4051-b597-28966bcc0033"/>
    <w:docVar w:name="WAFER_20150206084300_GUID" w:val="UsedStyles"/>
    <w:docVar w:name="WAFER_20151016170500" w:val="65b8bf31-20ff-4e33-a7f5-3e8a982d38e1"/>
    <w:docVar w:name="WAFER_20151016170500_GUID" w:val="UpdateStyles"/>
    <w:docVar w:name="WAFER_20151016171156" w:val="6c2db7ef-daac-4b3e-9dc6-438f5d0ef0de"/>
    <w:docVar w:name="WAFER_20151016171156_GUID" w:val="UpdateStyles,UsedStyles"/>
    <w:docVar w:name="WAFER_20151016171216" w:val="94d94bff-48d8-4137-a72c-5fd727eea17c"/>
    <w:docVar w:name="WAFER_20151016171216_GUID" w:val="UpdateStyles,UsedStyles"/>
    <w:docVar w:name="WAFER_20151019113755" w:val="2391df09-cb41-4aa3-adeb-85763481adf4"/>
    <w:docVar w:name="WAFER_20151019113755_GUID" w:val="UpdateStyles"/>
    <w:docVar w:name="WAFER_20151102150240" w:val="b5d22a23-aebe-4a72-ade9-c7eb5fe3ff91"/>
    <w:docVar w:name="WAFER_20151102150240_GUID" w:val="UpdateStyles"/>
    <w:docVar w:name="WAFER_20190125160029" w:val="5f5bd124-b00b-412a-a7b5-01fcf0a689e4"/>
    <w:docVar w:name="WAFER_20190125160029_GUID" w:val="UpdateStyles"/>
    <w:docVar w:name="WAFER_20190213151332" w:val="ba422db1-9a36-4369-9917-270567d09a43"/>
    <w:docVar w:name="WAFER_20190213151332_GUID" w:val="UpdateStyles"/>
    <w:docVar w:name="WAFER_20190214104147" w:val="462c59b5-9a0c-4a8b-a415-d2eeb9a467c9"/>
    <w:docVar w:name="WAFER_20190214104147_GUID" w:val="UpdateStyles"/>
    <w:docVar w:name="WAFER_20190227114746" w:val="b6cf0004-89c3-4ce4-92f2-c7ba61597248"/>
    <w:docVar w:name="WAFER_20190227114746_GUID" w:val="UpdateStyles.ProcessFixes,UpdateStyles.ProcessFixes,RemoveIncorrectStyles.ProcessStyles,RemoveIncorrectStyles.ProcessStyles"/>
    <w:docVar w:name="WAFER_20191031134536" w:val="22d86058-aa5d-4625-8196-006bb3c08a21"/>
    <w:docVar w:name="WAFER_20191031134536_GUID" w:val="RemoveAutoUpdateStyles.CheckForAutoUpdateStyles,ResetPageSize.CountPageSizes,ResetPageFooter.CountPageFooters,RemoveDocumentProtection.CheckForDocumentProtection,RemoveCustomizations.CheckForCustomization,RemoveBackground.CheckForBackground,ChangeTrackAuthors.CountDifferentAuthors,RemoveAutoUpdateStyles.CheckForAutoUpdateStyles,ResetPageSize.CountPageSizes,ResetPageFooter.CountPageFooters,RemoveDocumentProtection.CheckForDocumentProtection,RemoveCustomizations.CheckForCustomization,RemoveBackground.CheckForBackground,ChangeTrackAuthors.CountDifferentAuthors,ResetPageSize.ResetPageSize,ResetPageFooter.ResetPageFooter"/>
    <w:docVar w:name="WAFER_20200207102504" w:val="6a1c105a-3450-41aa-9a46-e934e904a723"/>
    <w:docVar w:name="WAFER_20200207102504_GUID" w:val="6a1c105a-3450-41aa-9a46-e934e904a723"/>
    <w:docVar w:name="WAFER_20230403110444" w:val="6a1c105a-3450-41aa-9a46-e934e904a723"/>
    <w:docVar w:name="WAFER_20230403110444_GUID" w:val="6a1c105a-3450-41aa-9a46-e934e904a723"/>
    <w:docVar w:name="WAFER_20250110122450"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RemoveIncorrectStyles.ProcessStyles"/>
    <w:docVar w:name="WAFER_20250110122450_GUID" w:val="36157fd9-a281-4756-8471-06a5b289aa5c"/>
    <w:docVar w:name="WAFER_20250115090229"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RemoveIncorrectStyles.ProcessStyles"/>
    <w:docVar w:name="WAFER_20250115090229_GUID" w:val="1423cd90-e7df-4836-aa78-672eac4e3ac1"/>
    <w:docVar w:name="WAFER_20250130153339"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
    <w:docVar w:name="WAFER_20250130153339_GUID" w:val="235904a0-8797-415f-95b7-38d43346358b"/>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2769"/>
    <o:shapelayout v:ext="edit">
      <o:idmap v:ext="edit" data="1"/>
    </o:shapelayout>
  </w:shapeDefaults>
  <w:decimalSymbol w:val="."/>
  <w:listSeparator w:val=","/>
  <w15:docId w15:val="{7AC24D79-6571-4D80-9170-40515124E5F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BlankClose">
    <w:name w:val="BlankClose"/>
    <w:basedOn w:val="Normal"/>
    <w:pPr>
      <w:keepLines/>
      <w:jc w:val="center"/>
    </w:pPr>
    <w:rPr>
      <w:szCs w:val="24"/>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right" w:pos="7088"/>
      </w:tabs>
      <w:spacing w:before="108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TableNAm">
    <w:name w:val="zTableNAm"/>
    <w:basedOn w:val="TableNAm"/>
  </w:style>
  <w:style w:type="paragraph" w:customStyle="1" w:styleId="zTHeadingNAm">
    <w:name w:val="zTHeadingNAm"/>
    <w:basedOn w:val="THeadingNAm"/>
  </w:style>
  <w:style w:type="paragraph" w:customStyle="1" w:styleId="zyTableNAm">
    <w:name w:val="zyTableNAm"/>
    <w:basedOn w:val="yTableNAm"/>
  </w:style>
  <w:style w:type="paragraph" w:customStyle="1" w:styleId="zyTHeadingNAm">
    <w:name w:val="zyTHeadingNAm"/>
    <w:basedOn w:val="yTHeadingNAm"/>
  </w:style>
  <w:style w:type="paragraph" w:customStyle="1" w:styleId="SignatureText">
    <w:name w:val="SignatureText"/>
    <w:basedOn w:val="Normal"/>
  </w:style>
  <w:style w:type="paragraph" w:customStyle="1" w:styleId="ExCo">
    <w:name w:val="ExCo"/>
    <w:qFormat/>
    <w:rPr>
      <w:sz w:val="24"/>
    </w:rPr>
  </w:style>
  <w:style w:type="paragraph" w:customStyle="1" w:styleId="Certificate">
    <w:name w:val="Certificate"/>
    <w:qFormat/>
    <w:rPr>
      <w:sz w:val="24"/>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paragraph" w:customStyle="1" w:styleId="zTableNAmLeft0cm">
    <w:name w:val="zTableNAm + Left:  0 cm"/>
    <w:aliases w:val="Hanging:  1 cm"/>
    <w:basedOn w:val="TableNAm"/>
    <w:pPr>
      <w:ind w:left="567" w:hanging="567"/>
    </w:pPr>
  </w:style>
  <w:style w:type="table" w:styleId="TableGrid">
    <w:name w:val="Table Grid"/>
    <w:basedOn w:val="TableNormal"/>
    <w:uiPriority w:val="59"/>
    <w:rPr>
      <w:rFonts w:asciiTheme="minorHAnsi" w:eastAsia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footer" Target="footer7.xml"/><Relationship Id="rId3" Type="http://schemas.openxmlformats.org/officeDocument/2006/relationships/styles" Target="style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oter" Target="footer9.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2.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footer" Target="footer8.xml"/><Relationship Id="rId30"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E03AD0A-1845-4554-BCAE-54384942730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1398</Words>
  <Characters>7314</Characters>
  <Application>Microsoft Office Word</Application>
  <DocSecurity>0</DocSecurity>
  <Lines>332</Lines>
  <Paragraphs>217</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8495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Road Safety Regulations Amendment Regulations 2025 - 00-00-00</dc:title>
  <dc:subject/>
  <dc:creator/>
  <cp:keywords/>
  <dc:description/>
  <cp:lastModifiedBy>Master Repository Process</cp:lastModifiedBy>
  <cp:revision>4</cp:revision>
  <cp:lastPrinted>2025-01-10T01:37:00Z</cp:lastPrinted>
  <dcterms:created xsi:type="dcterms:W3CDTF">2025-06-04T05:13:00Z</dcterms:created>
  <dcterms:modified xsi:type="dcterms:W3CDTF">2025-06-04T05:13:00Z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RegID">
    <vt:lpwstr>54891</vt:lpwstr>
  </property>
  <property fmtid="{D5CDD505-2E9C-101B-9397-08002B2CF9AE}" pid="3" name="DocumentType">
    <vt:lpwstr>Reg</vt:lpwstr>
  </property>
  <property fmtid="{D5CDD505-2E9C-101B-9397-08002B2CF9AE}" pid="4" name="AsAtDate">
    <vt:lpwstr>05 Feb 2025</vt:lpwstr>
  </property>
  <property fmtid="{D5CDD505-2E9C-101B-9397-08002B2CF9AE}" pid="5" name="Suffix">
    <vt:lpwstr>00-00-00</vt:lpwstr>
  </property>
  <property fmtid="{D5CDD505-2E9C-101B-9397-08002B2CF9AE}" pid="6" name="Official">
    <vt:lpwstr/>
  </property>
  <property fmtid="{D5CDD505-2E9C-101B-9397-08002B2CF9AE}" pid="7" name="SLAPId">
    <vt:lpwstr>2025/36</vt:lpwstr>
  </property>
  <property fmtid="{D5CDD505-2E9C-101B-9397-08002B2CF9AE}" pid="8" name="PublishDate">
    <vt:lpwstr>5 Feb 2025</vt:lpwstr>
  </property>
  <property fmtid="{D5CDD505-2E9C-101B-9397-08002B2CF9AE}" pid="9" name="CommencementDate">
    <vt:lpwstr>20250205</vt:lpwstr>
  </property>
  <property fmtid="{D5CDD505-2E9C-101B-9397-08002B2CF9AE}" pid="10" name="CommencementAsAt">
    <vt:filetime>2025-02-04T16:00:00Z</vt:filetime>
  </property>
  <property fmtid="{D5CDD505-2E9C-101B-9397-08002B2CF9AE}" pid="11" name="CommencementYear">
    <vt:lpwstr>2025</vt:lpwstr>
  </property>
</Properties>
</file>